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5"/>
        <w:gridCol w:w="10829"/>
      </w:tblGrid>
      <w:tr w:rsidR="00736ABD" w:rsidRPr="00D95B49" w14:paraId="63CBBAC1" w14:textId="77777777" w:rsidTr="00916292">
        <w:tc>
          <w:tcPr>
            <w:tcW w:w="1131" w:type="pct"/>
            <w:shd w:val="clear" w:color="auto" w:fill="FFC000"/>
          </w:tcPr>
          <w:p w14:paraId="026BAEC2" w14:textId="77777777" w:rsidR="00736ABD" w:rsidRPr="00D95B49" w:rsidRDefault="00736ABD" w:rsidP="00916292">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781BF67B" w14:textId="605C0223" w:rsidR="00736ABD" w:rsidRPr="00D95B49" w:rsidRDefault="00736ABD" w:rsidP="00916292">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r w:rsidR="0098450C">
              <w:rPr>
                <w:rFonts w:ascii="Arial" w:eastAsia="Times New Roman" w:hAnsi="Arial" w:cs="Arial"/>
                <w:b/>
                <w:sz w:val="24"/>
                <w:szCs w:val="24"/>
              </w:rPr>
              <w:t xml:space="preserve"> </w:t>
            </w:r>
          </w:p>
        </w:tc>
      </w:tr>
      <w:tr w:rsidR="00736ABD" w:rsidRPr="00D95B49" w14:paraId="249FBF66" w14:textId="77777777" w:rsidTr="00916292">
        <w:tc>
          <w:tcPr>
            <w:tcW w:w="1131" w:type="pct"/>
            <w:shd w:val="clear" w:color="auto" w:fill="FFC000"/>
          </w:tcPr>
          <w:p w14:paraId="19C86870" w14:textId="77777777" w:rsidR="00736ABD" w:rsidRPr="00D95B49" w:rsidRDefault="00736ABD" w:rsidP="00916292">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385B60DD" w14:textId="77777777" w:rsidR="00736ABD" w:rsidRPr="00D95B49" w:rsidRDefault="00736ABD" w:rsidP="00916292">
            <w:pPr>
              <w:spacing w:before="60" w:after="120" w:line="240" w:lineRule="auto"/>
              <w:rPr>
                <w:rFonts w:ascii="Arial" w:hAnsi="Arial" w:cs="Arial"/>
                <w:b/>
                <w:sz w:val="24"/>
                <w:szCs w:val="24"/>
              </w:rPr>
            </w:pPr>
            <w:r>
              <w:rPr>
                <w:rFonts w:ascii="Arial" w:hAnsi="Arial" w:cs="Arial"/>
                <w:b/>
                <w:sz w:val="24"/>
                <w:szCs w:val="24"/>
              </w:rPr>
              <w:t>6.22</w:t>
            </w:r>
            <w:r w:rsidRPr="00D95B49">
              <w:rPr>
                <w:rFonts w:ascii="Arial" w:hAnsi="Arial" w:cs="Arial"/>
                <w:b/>
                <w:sz w:val="24"/>
                <w:szCs w:val="24"/>
              </w:rPr>
              <w:t xml:space="preserve"> Wspar</w:t>
            </w:r>
            <w:r>
              <w:rPr>
                <w:rFonts w:ascii="Arial" w:hAnsi="Arial" w:cs="Arial"/>
                <w:b/>
                <w:sz w:val="24"/>
                <w:szCs w:val="24"/>
              </w:rPr>
              <w:t>cie usług społecznych i zdrowotnych w regionie - RLKS</w:t>
            </w:r>
          </w:p>
        </w:tc>
      </w:tr>
      <w:tr w:rsidR="00736ABD" w:rsidRPr="00D95B49" w14:paraId="50261150" w14:textId="77777777" w:rsidTr="00916292">
        <w:tc>
          <w:tcPr>
            <w:tcW w:w="1131" w:type="pct"/>
            <w:shd w:val="clear" w:color="auto" w:fill="FFC000"/>
          </w:tcPr>
          <w:p w14:paraId="1F7E7FFA" w14:textId="77777777" w:rsidR="00736ABD" w:rsidRPr="00D95B49" w:rsidRDefault="00736ABD" w:rsidP="00916292">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3005E14" w14:textId="77777777" w:rsidR="00736ABD" w:rsidRPr="00D95B49" w:rsidRDefault="00736ABD" w:rsidP="00916292">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Arial" w:hAnsi="Arial" w:cs="Arial"/>
                <w:b/>
                <w:sz w:val="24"/>
                <w:szCs w:val="24"/>
              </w:rPr>
              <w:t>.</w:t>
            </w:r>
          </w:p>
        </w:tc>
      </w:tr>
      <w:tr w:rsidR="00736ABD" w:rsidRPr="00D95B49" w14:paraId="3EE97066" w14:textId="77777777" w:rsidTr="00916292">
        <w:trPr>
          <w:trHeight w:val="70"/>
        </w:trPr>
        <w:tc>
          <w:tcPr>
            <w:tcW w:w="1131" w:type="pct"/>
            <w:shd w:val="clear" w:color="auto" w:fill="FFC000"/>
          </w:tcPr>
          <w:p w14:paraId="5F73010D" w14:textId="77777777" w:rsidR="00736ABD" w:rsidRPr="00D95B49" w:rsidRDefault="00736ABD" w:rsidP="00916292">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59FC4B81" w14:textId="77777777" w:rsidR="00736ABD" w:rsidRPr="00D95B49" w:rsidRDefault="00736ABD" w:rsidP="00916292">
            <w:pPr>
              <w:spacing w:after="120" w:line="240" w:lineRule="auto"/>
              <w:rPr>
                <w:rFonts w:ascii="Arial" w:hAnsi="Arial" w:cs="Arial"/>
                <w:b/>
                <w:sz w:val="24"/>
                <w:szCs w:val="24"/>
              </w:rPr>
            </w:pPr>
            <w:r>
              <w:rPr>
                <w:rFonts w:ascii="Arial" w:hAnsi="Arial" w:cs="Arial"/>
                <w:b/>
                <w:sz w:val="24"/>
                <w:szCs w:val="24"/>
              </w:rPr>
              <w:t>A.</w:t>
            </w:r>
            <w:r w:rsidRPr="00D95B49">
              <w:rPr>
                <w:rFonts w:ascii="Arial" w:hAnsi="Arial" w:cs="Arial"/>
                <w:b/>
                <w:sz w:val="24"/>
                <w:szCs w:val="24"/>
              </w:rPr>
              <w:t xml:space="preserve"> Tworzenie nowych oraz rozwój już istniejących placówek wsparcia dziennego dla dzieci i młodzieży</w:t>
            </w:r>
            <w:r>
              <w:rPr>
                <w:rFonts w:ascii="Arial" w:hAnsi="Arial" w:cs="Arial"/>
                <w:b/>
                <w:sz w:val="24"/>
                <w:szCs w:val="24"/>
              </w:rPr>
              <w:t>.</w:t>
            </w:r>
          </w:p>
        </w:tc>
      </w:tr>
    </w:tbl>
    <w:p w14:paraId="2CF33FDB" w14:textId="47282042" w:rsidR="00916292" w:rsidRPr="002868D6" w:rsidRDefault="004715A1" w:rsidP="004B2D75">
      <w:pPr>
        <w:spacing w:after="0" w:line="276" w:lineRule="auto"/>
        <w:jc w:val="right"/>
        <w:rPr>
          <w:rFonts w:ascii="Arial" w:hAnsi="Arial" w:cs="Arial"/>
          <w:szCs w:val="24"/>
        </w:rPr>
      </w:pPr>
      <w:r w:rsidRPr="002868D6">
        <w:rPr>
          <w:rFonts w:ascii="Arial" w:hAnsi="Arial" w:cs="Arial"/>
          <w:szCs w:val="24"/>
        </w:rPr>
        <w:t>Załącznik nr 1</w:t>
      </w:r>
      <w:r w:rsidR="00DB1926" w:rsidRPr="002868D6">
        <w:rPr>
          <w:rFonts w:ascii="Arial" w:hAnsi="Arial" w:cs="Arial"/>
          <w:szCs w:val="24"/>
        </w:rPr>
        <w:t>A</w:t>
      </w:r>
      <w:r w:rsidRPr="002868D6">
        <w:rPr>
          <w:rFonts w:ascii="Arial" w:hAnsi="Arial" w:cs="Arial"/>
          <w:szCs w:val="24"/>
        </w:rPr>
        <w:br/>
        <w:t xml:space="preserve">do Regulaminu naboru wniosków </w:t>
      </w:r>
    </w:p>
    <w:p w14:paraId="73DD14B0" w14:textId="74B4AB77" w:rsidR="004715A1" w:rsidRPr="002868D6" w:rsidRDefault="00FA3208" w:rsidP="00263FC6">
      <w:pPr>
        <w:spacing w:line="276" w:lineRule="auto"/>
        <w:jc w:val="right"/>
        <w:rPr>
          <w:rFonts w:ascii="Arial" w:hAnsi="Arial" w:cs="Arial"/>
          <w:szCs w:val="24"/>
        </w:rPr>
      </w:pPr>
      <w:r>
        <w:rPr>
          <w:rFonts w:ascii="Arial" w:hAnsi="Arial" w:cs="Arial"/>
          <w:szCs w:val="24"/>
        </w:rPr>
        <w:t>nr …</w:t>
      </w:r>
    </w:p>
    <w:p w14:paraId="704C7743" w14:textId="170E0B80" w:rsidR="00736ABD" w:rsidRDefault="00736ABD"/>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095"/>
        <w:gridCol w:w="2268"/>
        <w:gridCol w:w="6"/>
        <w:gridCol w:w="1695"/>
        <w:gridCol w:w="964"/>
      </w:tblGrid>
      <w:tr w:rsidR="00736ABD" w:rsidRPr="002677FC" w14:paraId="500FD338" w14:textId="77777777" w:rsidTr="002868D6">
        <w:trPr>
          <w:trHeight w:val="547"/>
          <w:tblHeader/>
        </w:trPr>
        <w:tc>
          <w:tcPr>
            <w:tcW w:w="3114" w:type="dxa"/>
            <w:shd w:val="clear" w:color="auto" w:fill="FFC000"/>
            <w:vAlign w:val="center"/>
          </w:tcPr>
          <w:p w14:paraId="4088476A"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nazwa kryterium</w:t>
            </w:r>
          </w:p>
        </w:tc>
        <w:tc>
          <w:tcPr>
            <w:tcW w:w="6095" w:type="dxa"/>
            <w:shd w:val="clear" w:color="auto" w:fill="FFC000"/>
            <w:vAlign w:val="center"/>
          </w:tcPr>
          <w:p w14:paraId="472893EF"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definicja kryterium</w:t>
            </w:r>
          </w:p>
        </w:tc>
        <w:tc>
          <w:tcPr>
            <w:tcW w:w="2274" w:type="dxa"/>
            <w:gridSpan w:val="2"/>
            <w:shd w:val="clear" w:color="auto" w:fill="FFC000"/>
            <w:vAlign w:val="center"/>
          </w:tcPr>
          <w:p w14:paraId="7AC01D46"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ocena</w:t>
            </w:r>
          </w:p>
        </w:tc>
        <w:tc>
          <w:tcPr>
            <w:tcW w:w="1695" w:type="dxa"/>
            <w:shd w:val="clear" w:color="auto" w:fill="FFC000"/>
            <w:vAlign w:val="center"/>
          </w:tcPr>
          <w:p w14:paraId="37300463"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oceniający</w:t>
            </w:r>
          </w:p>
        </w:tc>
        <w:tc>
          <w:tcPr>
            <w:tcW w:w="964" w:type="dxa"/>
            <w:shd w:val="clear" w:color="auto" w:fill="FFC000"/>
            <w:vAlign w:val="center"/>
          </w:tcPr>
          <w:p w14:paraId="48250A7A"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waga</w:t>
            </w:r>
          </w:p>
        </w:tc>
      </w:tr>
      <w:tr w:rsidR="00736ABD" w:rsidRPr="002677FC" w14:paraId="12E7FA17" w14:textId="77777777" w:rsidTr="002868D6">
        <w:trPr>
          <w:trHeight w:val="553"/>
        </w:trPr>
        <w:tc>
          <w:tcPr>
            <w:tcW w:w="14142" w:type="dxa"/>
            <w:gridSpan w:val="6"/>
            <w:shd w:val="clear" w:color="auto" w:fill="D9D9D9" w:themeFill="background1" w:themeFillShade="D9"/>
            <w:vAlign w:val="center"/>
          </w:tcPr>
          <w:p w14:paraId="0A26F093" w14:textId="77777777" w:rsidR="00736ABD" w:rsidRPr="002677FC" w:rsidRDefault="00736ABD" w:rsidP="006C034D">
            <w:pPr>
              <w:spacing w:after="60" w:line="276" w:lineRule="auto"/>
              <w:jc w:val="center"/>
              <w:rPr>
                <w:rFonts w:ascii="Arial" w:eastAsia="Times New Roman" w:hAnsi="Arial" w:cs="Arial"/>
                <w:b/>
              </w:rPr>
            </w:pPr>
            <w:r w:rsidRPr="002677FC">
              <w:rPr>
                <w:rFonts w:ascii="Arial" w:eastAsia="Times New Roman" w:hAnsi="Arial" w:cs="Arial"/>
                <w:b/>
              </w:rPr>
              <w:t>Kryteria oceny zgodności z programem</w:t>
            </w:r>
          </w:p>
        </w:tc>
      </w:tr>
      <w:tr w:rsidR="00736ABD" w:rsidRPr="002677FC" w14:paraId="3F976442" w14:textId="77777777" w:rsidTr="002868D6">
        <w:tc>
          <w:tcPr>
            <w:tcW w:w="3114" w:type="dxa"/>
            <w:vMerge w:val="restart"/>
            <w:shd w:val="clear" w:color="auto" w:fill="auto"/>
            <w:vAlign w:val="center"/>
          </w:tcPr>
          <w:p w14:paraId="68721128" w14:textId="0C57B888" w:rsidR="00736ABD" w:rsidRPr="002677FC" w:rsidRDefault="00736ABD" w:rsidP="006C034D">
            <w:pPr>
              <w:pStyle w:val="Akapitzlist"/>
              <w:numPr>
                <w:ilvl w:val="0"/>
                <w:numId w:val="18"/>
              </w:numPr>
              <w:spacing w:after="60"/>
              <w:rPr>
                <w:rFonts w:ascii="Arial" w:hAnsi="Arial" w:cs="Arial"/>
                <w:b/>
              </w:rPr>
            </w:pPr>
            <w:r w:rsidRPr="002677FC">
              <w:rPr>
                <w:rFonts w:ascii="Arial" w:hAnsi="Arial" w:cs="Arial"/>
                <w:b/>
              </w:rPr>
              <w:t>Prawidłowość złożonych podpisów</w:t>
            </w:r>
          </w:p>
          <w:p w14:paraId="7B090C56"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252B3329"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Ocenie podlega, czy wniosek o dofinansowanie projektu i załączniki, a także wszystkie wymagane dokumenty zostały złożone w języku polskim oraz czy wniosek o dofinansowanie projektu i załączniki zostały prawidłowo podpisane przez osobę prawnie upoważnioną do złożenia </w:t>
            </w:r>
            <w:r w:rsidRPr="002677FC">
              <w:rPr>
                <w:rFonts w:ascii="Arial" w:eastAsia="Times New Roman" w:hAnsi="Arial" w:cs="Arial"/>
                <w:lang w:eastAsia="pl-PL"/>
              </w:rPr>
              <w:lastRenderedPageBreak/>
              <w:t>wniosku oraz czy przedstawiono załącznik: Upoważnienie do składania wniosku o dofinansowanie (jeżeli dotyczy).</w:t>
            </w:r>
          </w:p>
        </w:tc>
        <w:tc>
          <w:tcPr>
            <w:tcW w:w="2274" w:type="dxa"/>
            <w:gridSpan w:val="2"/>
            <w:tcBorders>
              <w:bottom w:val="nil"/>
            </w:tcBorders>
            <w:vAlign w:val="center"/>
          </w:tcPr>
          <w:p w14:paraId="05565F6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Kryterium wyrażone zero-jedynkowo (tak/nie).</w:t>
            </w:r>
          </w:p>
          <w:p w14:paraId="5D95912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Niespełnienie kryterium skutkuje </w:t>
            </w:r>
            <w:r w:rsidRPr="002677FC">
              <w:rPr>
                <w:rFonts w:ascii="Arial" w:eastAsia="Times New Roman" w:hAnsi="Arial" w:cs="Arial"/>
              </w:rPr>
              <w:lastRenderedPageBreak/>
              <w:t>negatywną oceną projektu.</w:t>
            </w:r>
          </w:p>
        </w:tc>
        <w:tc>
          <w:tcPr>
            <w:tcW w:w="1695" w:type="dxa"/>
            <w:tcBorders>
              <w:bottom w:val="nil"/>
            </w:tcBorders>
            <w:shd w:val="clear" w:color="auto" w:fill="auto"/>
            <w:vAlign w:val="center"/>
          </w:tcPr>
          <w:p w14:paraId="4DEF9177"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7AAC507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5B65D8B5" w14:textId="77777777" w:rsidTr="002868D6">
        <w:tc>
          <w:tcPr>
            <w:tcW w:w="3114" w:type="dxa"/>
            <w:vMerge/>
            <w:shd w:val="clear" w:color="auto" w:fill="auto"/>
            <w:vAlign w:val="center"/>
          </w:tcPr>
          <w:p w14:paraId="2DEE0408"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F1D6865"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463ABB1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5628375F"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FE1256E" w14:textId="77777777" w:rsidR="00736ABD" w:rsidRPr="002677FC" w:rsidRDefault="00736ABD" w:rsidP="006C034D">
            <w:pPr>
              <w:spacing w:after="60" w:line="276" w:lineRule="auto"/>
              <w:rPr>
                <w:rFonts w:ascii="Arial" w:eastAsia="Times New Roman" w:hAnsi="Arial" w:cs="Arial"/>
              </w:rPr>
            </w:pPr>
          </w:p>
        </w:tc>
      </w:tr>
      <w:tr w:rsidR="00736ABD" w:rsidRPr="002677FC" w14:paraId="572A672E" w14:textId="77777777" w:rsidTr="002868D6">
        <w:tc>
          <w:tcPr>
            <w:tcW w:w="3114" w:type="dxa"/>
            <w:vMerge/>
            <w:shd w:val="clear" w:color="auto" w:fill="auto"/>
            <w:vAlign w:val="center"/>
          </w:tcPr>
          <w:p w14:paraId="6D37793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432D8B4"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2DB02611" w14:textId="46D4EF1F"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9B1284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7C62036D" w14:textId="77777777" w:rsidR="00736ABD" w:rsidRPr="002677FC" w:rsidRDefault="00736ABD" w:rsidP="006C034D">
            <w:pPr>
              <w:spacing w:after="60" w:line="276" w:lineRule="auto"/>
              <w:rPr>
                <w:rFonts w:ascii="Arial" w:eastAsia="Times New Roman" w:hAnsi="Arial" w:cs="Arial"/>
              </w:rPr>
            </w:pPr>
          </w:p>
        </w:tc>
      </w:tr>
      <w:tr w:rsidR="00736ABD" w:rsidRPr="002677FC" w14:paraId="3429A69C" w14:textId="77777777" w:rsidTr="002868D6">
        <w:tc>
          <w:tcPr>
            <w:tcW w:w="3114" w:type="dxa"/>
            <w:vMerge w:val="restart"/>
            <w:shd w:val="clear" w:color="auto" w:fill="auto"/>
            <w:vAlign w:val="center"/>
          </w:tcPr>
          <w:p w14:paraId="346D4311" w14:textId="4A3F3029" w:rsidR="00736ABD" w:rsidRPr="002677FC" w:rsidRDefault="00736ABD" w:rsidP="006C034D">
            <w:pPr>
              <w:pStyle w:val="Akapitzlist"/>
              <w:numPr>
                <w:ilvl w:val="0"/>
                <w:numId w:val="18"/>
              </w:numPr>
              <w:spacing w:after="0"/>
              <w:rPr>
                <w:rFonts w:ascii="Arial" w:hAnsi="Arial" w:cs="Arial"/>
                <w:b/>
              </w:rPr>
            </w:pPr>
            <w:r w:rsidRPr="002677FC">
              <w:rPr>
                <w:rFonts w:ascii="Arial" w:hAnsi="Arial" w:cs="Arial"/>
                <w:b/>
              </w:rPr>
              <w:t>Kwalifikowalność Wnioskodawcy i partnerów (jeśli dotyczy)</w:t>
            </w:r>
          </w:p>
          <w:p w14:paraId="5EB2A782"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val="restart"/>
            <w:shd w:val="clear" w:color="auto" w:fill="auto"/>
            <w:vAlign w:val="center"/>
          </w:tcPr>
          <w:p w14:paraId="06D1193F"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Ocenie w ramach kryterium podlega, czy:</w:t>
            </w:r>
          </w:p>
          <w:p w14:paraId="328EC413"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 (warunek musi zostać spełniony zarówno dla beneficjenta, jak i partnerów),</w:t>
            </w:r>
          </w:p>
          <w:p w14:paraId="15C567C8"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przypadku podmiotów wskazanych w katalogu typów beneficjentów w SZOP w wersji aktualnej na dzień ogłoszenia naboru dla danego Działania / typu projektu, niemających osobowości prawnej - czy wniosek został złożony przez właściwego wnioskodawcę,</w:t>
            </w:r>
          </w:p>
          <w:p w14:paraId="6E7BC80F" w14:textId="19E232D9" w:rsidR="002C2B9A"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 xml:space="preserve">wnioskodawca i partnerzy (jeśli dotyczy) nie podlegają wykluczeniu z ubiegania się o dofinansowanie, tj. w </w:t>
            </w:r>
            <w:r w:rsidRPr="002677FC">
              <w:rPr>
                <w:rFonts w:ascii="Arial" w:hAnsi="Arial" w:cs="Arial"/>
              </w:rPr>
              <w:lastRenderedPageBreak/>
              <w:t>odniesieniu do wnioskodawcy i partnerów (jeśli dotyczy) nie zachodzą przesłanki określone w:</w:t>
            </w:r>
          </w:p>
          <w:p w14:paraId="6F2AB6D4" w14:textId="281D71DB"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 xml:space="preserve">art. 207 </w:t>
            </w:r>
            <w:r w:rsidR="00C5141F">
              <w:rPr>
                <w:rFonts w:ascii="Arial" w:hAnsi="Arial" w:cs="Arial"/>
              </w:rPr>
              <w:t xml:space="preserve">oraz art. 210 </w:t>
            </w:r>
            <w:r w:rsidRPr="002677FC">
              <w:rPr>
                <w:rFonts w:ascii="Arial" w:hAnsi="Arial" w:cs="Arial"/>
              </w:rPr>
              <w:t>ustawy z dn. 27 sierpnia 2009 r. o finansach publicznych (t.j. Dz.U. z 2023 r., poz. 1270 z późn. zm.),</w:t>
            </w:r>
          </w:p>
          <w:p w14:paraId="4CBADC7D" w14:textId="77777777"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12 ust. 1 pkt 1 ustawy z dn. 15 czerwca 2012 r. o skutkach powierzania wykonywania pracy cudzoziemcom przebywającym wbrew przepisom na terytorium Rzeczypospolitej Polskiej (Dz.U. z 2021 r., poz. 1745),</w:t>
            </w:r>
          </w:p>
          <w:p w14:paraId="465DEDAD" w14:textId="580C6EF7" w:rsidR="002C2B9A"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9 ust. 1 pkt 2a ustawy z dn. 28 października 2002 r. o odpowiedzialności podmiotów zbiorowych za czyny zabronione pod groźbą kary (t.j. Dz.</w:t>
            </w:r>
            <w:r w:rsidR="002868D6" w:rsidRPr="002677FC">
              <w:rPr>
                <w:rFonts w:ascii="Arial" w:hAnsi="Arial" w:cs="Arial"/>
              </w:rPr>
              <w:t>U. z  2023 r.</w:t>
            </w:r>
            <w:r w:rsidR="00B11FF9">
              <w:rPr>
                <w:rFonts w:ascii="Arial" w:hAnsi="Arial" w:cs="Arial"/>
              </w:rPr>
              <w:t>,</w:t>
            </w:r>
            <w:r w:rsidR="002868D6" w:rsidRPr="002677FC">
              <w:rPr>
                <w:rFonts w:ascii="Arial" w:hAnsi="Arial" w:cs="Arial"/>
              </w:rPr>
              <w:t xml:space="preserve"> poz. 659.).</w:t>
            </w:r>
          </w:p>
          <w:p w14:paraId="1C73CDDB" w14:textId="6EBF2803"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pkt 3 odbywa się w oparciu o oświadczenia przedstawione przez wnioskodawcę i partnerów (jeśli dotyczy).</w:t>
            </w:r>
          </w:p>
          <w:p w14:paraId="21AD1364" w14:textId="35163F8D" w:rsidR="002C2B9A" w:rsidRPr="002677FC" w:rsidRDefault="002C2B9A" w:rsidP="006C034D">
            <w:pPr>
              <w:pStyle w:val="Akapitzlist"/>
              <w:numPr>
                <w:ilvl w:val="0"/>
                <w:numId w:val="19"/>
              </w:numPr>
              <w:spacing w:after="60"/>
              <w:ind w:hanging="357"/>
              <w:contextualSpacing w:val="0"/>
              <w:rPr>
                <w:rFonts w:ascii="Arial" w:hAnsi="Arial" w:cs="Arial"/>
              </w:rPr>
            </w:pPr>
            <w:r w:rsidRPr="002677FC">
              <w:rPr>
                <w:rFonts w:ascii="Arial" w:hAnsi="Arial" w:cs="Arial"/>
              </w:rPr>
              <w:t>wnioskodawca i partnerzy (jeśli dotyczy) nie podlega/nie podlegają wykluczeniu z otrzymania wsparcia wynikające</w:t>
            </w:r>
            <w:r w:rsidR="00DB1926" w:rsidRPr="002677FC">
              <w:rPr>
                <w:rFonts w:ascii="Arial" w:hAnsi="Arial" w:cs="Arial"/>
              </w:rPr>
              <w:t>go</w:t>
            </w:r>
            <w:r w:rsidRPr="002677FC">
              <w:rPr>
                <w:rFonts w:ascii="Arial" w:hAnsi="Arial" w:cs="Arial"/>
              </w:rPr>
              <w:t xml:space="preserve"> z nałożonych sankcji w związku z agresją Federacji Rosyjskiej na Ukrainę tj.:</w:t>
            </w:r>
          </w:p>
          <w:p w14:paraId="239E3ACE" w14:textId="77777777" w:rsidR="002868D6"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osobami lub podmiotami, względem których stosowane są środki sankcyjne,</w:t>
            </w:r>
          </w:p>
          <w:p w14:paraId="784F89C7" w14:textId="71068EB9" w:rsidR="002C2B9A"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związani z osobami lub podmiotami, względem których stosowane są środki sankcyjne,</w:t>
            </w:r>
          </w:p>
          <w:p w14:paraId="1C49144C" w14:textId="77777777" w:rsidR="00A01F7D" w:rsidRPr="002677FC" w:rsidRDefault="00A01F7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Ocena pkt 4 odbywa się w oparciu o oświadczenia Wnioskodawcy i partnerów (jeśli dotyczy) oraz może podlegać weryfikacji w oparciu m.in. o listę osób i podmiotów objętych sankcjami, publikowaną na </w:t>
            </w:r>
            <w:r w:rsidRPr="002677FC">
              <w:rPr>
                <w:rFonts w:ascii="Arial" w:hAnsi="Arial" w:cs="Arial"/>
              </w:rPr>
              <w:t>stronie BIP Ministerstwa Spraw Wewnętrznych i Administracji</w:t>
            </w:r>
            <w:r w:rsidRPr="002677FC">
              <w:rPr>
                <w:rFonts w:ascii="Arial" w:eastAsia="Times New Roman" w:hAnsi="Arial" w:cs="Arial"/>
                <w:vertAlign w:val="superscript"/>
                <w:lang w:eastAsia="pl-PL"/>
              </w:rPr>
              <w:t>1</w:t>
            </w:r>
            <w:r w:rsidRPr="002677FC">
              <w:rPr>
                <w:rFonts w:ascii="Arial" w:eastAsia="Times New Roman" w:hAnsi="Arial" w:cs="Arial"/>
                <w:lang w:eastAsia="pl-PL"/>
              </w:rPr>
              <w:t>.</w:t>
            </w:r>
          </w:p>
          <w:p w14:paraId="3A9C619B" w14:textId="77777777" w:rsidR="00A01F7D" w:rsidRPr="002677FC" w:rsidRDefault="00A01F7D" w:rsidP="006C034D">
            <w:pPr>
              <w:autoSpaceDE w:val="0"/>
              <w:autoSpaceDN w:val="0"/>
              <w:adjustRightInd w:val="0"/>
              <w:spacing w:after="60" w:line="276" w:lineRule="auto"/>
              <w:rPr>
                <w:rStyle w:val="Hipercze"/>
                <w:rFonts w:ascii="Arial" w:hAnsi="Arial" w:cs="Arial"/>
              </w:rPr>
            </w:pPr>
            <w:r w:rsidRPr="002677FC">
              <w:rPr>
                <w:rFonts w:ascii="Arial" w:hAnsi="Arial" w:cs="Arial"/>
                <w:vertAlign w:val="superscript"/>
              </w:rPr>
              <w:t xml:space="preserve">1 </w:t>
            </w:r>
            <w:hyperlink r:id="rId7" w:history="1">
              <w:r w:rsidRPr="002677FC">
                <w:rPr>
                  <w:rStyle w:val="Hipercze"/>
                  <w:rFonts w:ascii="Arial" w:hAnsi="Arial" w:cs="Arial"/>
                </w:rPr>
                <w:t>https://www.gov.pl/web/mswia/lista-osob-i-podmiotow-objetych-sankcjami</w:t>
              </w:r>
            </w:hyperlink>
          </w:p>
          <w:p w14:paraId="220B1B8C" w14:textId="415F07F2"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oraz partnerzy (jeśli dotyczy) przestrzegają przepisów antydyskryminacyjnych, o których mowa w art. 9 ust. 3 Rozporządzenia Parlamentu Europejskiego i Rady (UE) nr 2021/1060 z dnia 24 czerwca 2021 r.</w:t>
            </w:r>
          </w:p>
          <w:p w14:paraId="1F2C7D0A" w14:textId="5666EF23"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Wsparcie polityki spójności będzie udzielane wyłącznie projektom i beneficjentom, którzy przestrzegają przepisów antydyskryminacyjnych, o których mowa powyżej.</w:t>
            </w:r>
          </w:p>
          <w:p w14:paraId="08C59E6F"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14:paraId="205BCBD6" w14:textId="45F0EB2E"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7CA79D77" w14:textId="467B18E8"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5 odbywa się w oparciu o informacje zawarte we wniosku, w tym oświadczenie przedstawione przez wnioskodawcę i partnerów (jeśli dotyczy) oraz w oparciu o inne informacje dostępne dla instytucji zarządzającej, tj.:</w:t>
            </w:r>
          </w:p>
          <w:p w14:paraId="55ECA949" w14:textId="77777777" w:rsidR="002868D6" w:rsidRPr="002677FC" w:rsidRDefault="002C2B9A" w:rsidP="006C034D">
            <w:pPr>
              <w:pStyle w:val="Akapitzlist"/>
              <w:numPr>
                <w:ilvl w:val="0"/>
                <w:numId w:val="23"/>
              </w:numPr>
              <w:spacing w:after="60"/>
              <w:rPr>
                <w:rFonts w:ascii="Arial" w:hAnsi="Arial" w:cs="Arial"/>
              </w:rPr>
            </w:pPr>
            <w:r w:rsidRPr="002677FC">
              <w:rPr>
                <w:rFonts w:ascii="Arial" w:hAnsi="Arial" w:cs="Arial"/>
              </w:rPr>
              <w:t>treści zamieszczone na stronach BIP właściwych podmiotów, a w przypadku podmiotów niepublicznych, w szczególności w oparciu o zapisy dokumentów założycielskich,</w:t>
            </w:r>
          </w:p>
          <w:p w14:paraId="4A721A12" w14:textId="7053B250" w:rsidR="002C2B9A" w:rsidRPr="002677FC" w:rsidRDefault="002C2B9A" w:rsidP="006C034D">
            <w:pPr>
              <w:pStyle w:val="Akapitzlist"/>
              <w:numPr>
                <w:ilvl w:val="0"/>
                <w:numId w:val="23"/>
              </w:numPr>
              <w:spacing w:after="60"/>
              <w:rPr>
                <w:rFonts w:ascii="Arial" w:hAnsi="Arial" w:cs="Arial"/>
              </w:rPr>
            </w:pPr>
            <w:r w:rsidRPr="002677FC">
              <w:rPr>
                <w:rFonts w:ascii="Arial" w:hAnsi="Arial" w:cs="Arial"/>
              </w:rPr>
              <w:t>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w:t>
            </w:r>
          </w:p>
          <w:p w14:paraId="165F04E6"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14:paraId="564BB5A8" w14:textId="2975345D"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Podjęte działania naprawcze powinny być opisane we wniosku o dofinansowanie.</w:t>
            </w:r>
          </w:p>
          <w:p w14:paraId="3184E086"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Każdy podmiot zobowiązany jest do złożenia osobnego oświadczenia.</w:t>
            </w:r>
          </w:p>
          <w:p w14:paraId="51A63D22"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14:paraId="718433FD"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wnioskodawca lub partner (jeśli dotyczy) nie przestrzega przepisów antydyskryminacyjnych, o których mowa w art. 9 ust. 3 Rozporządzenia PE i Rady nr 2021/1060 skutkuje niespełnieniem kryterium.</w:t>
            </w:r>
          </w:p>
          <w:p w14:paraId="77CB6DAA" w14:textId="21EA5053"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działania wnioskodawcy i partnerów (jeśli dotyczy) w obszarze powiązanym z projektem są zgodne z Kartą Praw Podstawowych Unii Europejskiej (KPP) i Konwencją o Prawach Osób Niepełnosprawnych (KPON).</w:t>
            </w:r>
          </w:p>
          <w:p w14:paraId="523AFD3B"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14:paraId="2EA0C49C" w14:textId="77777777" w:rsidR="002868D6"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działania wnioskodawcy lub któregokolwiek z partnerów w obszarze powiązanym z projektem są niezgodne z KPP lub KPON skutkuje niespełnieniem kryterium.</w:t>
            </w:r>
          </w:p>
          <w:p w14:paraId="0AFEF99B" w14:textId="67499EAD"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Wybór partnera (jeśli dotyczy) został dokonany zgodnie z art. 39 ustawy z dnia 28 kwietnia 2022 r. o zasadach realizacji zadań finansowanych ze środków europejskich w perspekt</w:t>
            </w:r>
            <w:r w:rsidR="007502A6">
              <w:rPr>
                <w:rFonts w:ascii="Arial" w:hAnsi="Arial" w:cs="Arial"/>
              </w:rPr>
              <w:t xml:space="preserve">ywie finansowej 2021-2027 (t.j. </w:t>
            </w:r>
            <w:r w:rsidRPr="002677FC">
              <w:rPr>
                <w:rFonts w:ascii="Arial" w:hAnsi="Arial" w:cs="Arial"/>
              </w:rPr>
              <w:t>Dz. U. z 2022 r.</w:t>
            </w:r>
            <w:r w:rsidR="00B11FF9">
              <w:rPr>
                <w:rFonts w:ascii="Arial" w:hAnsi="Arial" w:cs="Arial"/>
              </w:rPr>
              <w:t>,</w:t>
            </w:r>
            <w:r w:rsidRPr="002677FC">
              <w:rPr>
                <w:rFonts w:ascii="Arial" w:hAnsi="Arial" w:cs="Arial"/>
              </w:rPr>
              <w:t xml:space="preserve"> poz. 1079 z późn. zm.), a także wnioskodawca  zobowiązał się do dostarczenia poprawnej i spójnej z zakresem rzeczowym projektu umowy partnerskiej lub innego dokumentu </w:t>
            </w:r>
            <w:r w:rsidR="00224D14">
              <w:rPr>
                <w:rFonts w:ascii="Arial" w:hAnsi="Arial" w:cs="Arial"/>
              </w:rPr>
              <w:t>wskazanego jako dopuszczalny w Regulaminie naboru wniosków</w:t>
            </w:r>
            <w:r w:rsidRPr="002677FC">
              <w:rPr>
                <w:rFonts w:ascii="Arial" w:hAnsi="Arial" w:cs="Arial"/>
              </w:rPr>
              <w:t xml:space="preserve"> najpóźniej do dnia podpisania umowy o dofinansowanie projektu.</w:t>
            </w:r>
          </w:p>
          <w:p w14:paraId="72BA597E"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7 odbywa się w oparciu o zapisy wniosku o dofinansowanie projektu.</w:t>
            </w:r>
          </w:p>
          <w:p w14:paraId="72081ABA" w14:textId="34C10108"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a w przypadku projektu partnerskiego – partner wiodący jest podmiotem o potencjale ekonomicznym zapewniającym prawidłową realizację projektu lub projektu partnerskiego.</w:t>
            </w:r>
          </w:p>
          <w:p w14:paraId="3BF63766" w14:textId="48E9E0CE"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w:t>
            </w:r>
          </w:p>
          <w:p w14:paraId="6FB81832"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Pkt 8 nie ma zastosowania do projektów, w których wnioskodawcą jest jednostka sektora finansów publicznych.</w:t>
            </w:r>
          </w:p>
          <w:p w14:paraId="6682032C" w14:textId="77777777" w:rsidR="00736ABD"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8 odbywa się w oparciu o zapisy wniosku o dofinansowanie projektu.</w:t>
            </w:r>
          </w:p>
          <w:p w14:paraId="0FBBD776" w14:textId="7A36A0DB" w:rsidR="009E7DAA" w:rsidRPr="009E7DAA" w:rsidRDefault="009E7DAA" w:rsidP="009E7DAA">
            <w:pPr>
              <w:pStyle w:val="Akapitzlist"/>
              <w:numPr>
                <w:ilvl w:val="0"/>
                <w:numId w:val="19"/>
              </w:numPr>
              <w:spacing w:after="60"/>
              <w:rPr>
                <w:rFonts w:ascii="Arial" w:hAnsi="Arial" w:cs="Arial"/>
              </w:rPr>
            </w:pPr>
            <w:r w:rsidRPr="009E7DAA">
              <w:rPr>
                <w:rFonts w:ascii="Arial" w:hAnsi="Arial" w:cs="Arial"/>
              </w:rPr>
              <w:t>Wnioskodawca nie jest:</w:t>
            </w:r>
          </w:p>
          <w:p w14:paraId="526D30E9" w14:textId="77777777" w:rsidR="009E7DAA" w:rsidRDefault="009E7DAA" w:rsidP="009E7DAA">
            <w:pPr>
              <w:pStyle w:val="Akapitzlist"/>
              <w:numPr>
                <w:ilvl w:val="0"/>
                <w:numId w:val="26"/>
              </w:numPr>
              <w:spacing w:after="60"/>
              <w:rPr>
                <w:rFonts w:ascii="Arial" w:hAnsi="Arial" w:cs="Arial"/>
              </w:rPr>
            </w:pPr>
            <w:r w:rsidRPr="009E7DAA">
              <w:rPr>
                <w:rFonts w:ascii="Arial" w:hAnsi="Arial" w:cs="Arial"/>
              </w:rPr>
              <w:t>osobą fizyczną realizującą działania związane z wdrażaniem LSR, zatrudnioną przez LGD, lub osobą fizyczną pełniącą funkcję członków Zarządu LGD lub</w:t>
            </w:r>
          </w:p>
          <w:p w14:paraId="048535B2" w14:textId="63A88117" w:rsidR="009E7DAA" w:rsidRPr="009E7DAA" w:rsidRDefault="009E7DAA" w:rsidP="009E7DAA">
            <w:pPr>
              <w:pStyle w:val="Akapitzlist"/>
              <w:numPr>
                <w:ilvl w:val="0"/>
                <w:numId w:val="26"/>
              </w:numPr>
              <w:spacing w:after="60"/>
              <w:rPr>
                <w:rFonts w:ascii="Arial" w:hAnsi="Arial" w:cs="Arial"/>
              </w:rPr>
            </w:pPr>
            <w:r w:rsidRPr="009E7DAA">
              <w:rPr>
                <w:rFonts w:ascii="Arial" w:hAnsi="Arial" w:cs="Arial"/>
              </w:rPr>
              <w:t>podmiotem, w którym osoby fizyczne realizujące działania związane z wdrażaniem LSR, zatrudnione przez LGD lub osoby fizyczne pełniące funkcję członków Zarządu LGD są wspólnikam</w:t>
            </w:r>
            <w:bookmarkStart w:id="0" w:name="_GoBack"/>
            <w:bookmarkEnd w:id="0"/>
            <w:r w:rsidRPr="009E7DAA">
              <w:rPr>
                <w:rFonts w:ascii="Arial" w:hAnsi="Arial" w:cs="Arial"/>
              </w:rPr>
              <w:t>i spółek prawa handlowego lub prowadzą działalność w formie spółki cywilnej.</w:t>
            </w:r>
          </w:p>
        </w:tc>
        <w:tc>
          <w:tcPr>
            <w:tcW w:w="2274" w:type="dxa"/>
            <w:gridSpan w:val="2"/>
            <w:tcBorders>
              <w:bottom w:val="nil"/>
            </w:tcBorders>
            <w:vAlign w:val="center"/>
          </w:tcPr>
          <w:p w14:paraId="0569A72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Kryterium wyrażone zero-jedynkowo (tak/nie).</w:t>
            </w:r>
          </w:p>
          <w:p w14:paraId="413DA96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7598BD64"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7FA69185"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4ABDA213" w14:textId="77777777" w:rsidTr="002868D6">
        <w:tc>
          <w:tcPr>
            <w:tcW w:w="3114" w:type="dxa"/>
            <w:vMerge/>
            <w:shd w:val="clear" w:color="auto" w:fill="auto"/>
            <w:vAlign w:val="center"/>
          </w:tcPr>
          <w:p w14:paraId="3CE97BEC"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6443F0FD"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D80F51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77479C17"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113C20A9" w14:textId="77777777" w:rsidR="00736ABD" w:rsidRPr="002677FC" w:rsidRDefault="00736ABD" w:rsidP="006C034D">
            <w:pPr>
              <w:spacing w:after="60" w:line="276" w:lineRule="auto"/>
              <w:rPr>
                <w:rFonts w:ascii="Arial" w:eastAsia="Times New Roman" w:hAnsi="Arial" w:cs="Arial"/>
              </w:rPr>
            </w:pPr>
          </w:p>
        </w:tc>
      </w:tr>
      <w:tr w:rsidR="00736ABD" w:rsidRPr="002677FC" w14:paraId="30987A4A" w14:textId="77777777" w:rsidTr="002868D6">
        <w:tc>
          <w:tcPr>
            <w:tcW w:w="3114" w:type="dxa"/>
            <w:vMerge/>
            <w:shd w:val="clear" w:color="auto" w:fill="auto"/>
            <w:vAlign w:val="center"/>
          </w:tcPr>
          <w:p w14:paraId="67FF92F5"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52B5BBF6"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20F8A8FB" w14:textId="2185A684"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7E776C2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467C7B71" w14:textId="77777777" w:rsidR="00736ABD" w:rsidRPr="002677FC" w:rsidRDefault="00736ABD" w:rsidP="006C034D">
            <w:pPr>
              <w:spacing w:after="60" w:line="276" w:lineRule="auto"/>
              <w:rPr>
                <w:rFonts w:ascii="Arial" w:eastAsia="Times New Roman" w:hAnsi="Arial" w:cs="Arial"/>
              </w:rPr>
            </w:pPr>
          </w:p>
        </w:tc>
      </w:tr>
      <w:tr w:rsidR="00736ABD" w:rsidRPr="002677FC" w14:paraId="557F9CE4" w14:textId="77777777" w:rsidTr="002868D6">
        <w:tc>
          <w:tcPr>
            <w:tcW w:w="3114" w:type="dxa"/>
            <w:vMerge w:val="restart"/>
            <w:shd w:val="clear" w:color="auto" w:fill="auto"/>
            <w:vAlign w:val="center"/>
          </w:tcPr>
          <w:p w14:paraId="3B66FCA6" w14:textId="476E4996"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Rzetelność Wnioskodawcy</w:t>
            </w:r>
          </w:p>
          <w:p w14:paraId="78F74458"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4105CE3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vAlign w:val="center"/>
          </w:tcPr>
          <w:p w14:paraId="16C503B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F2BBD3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6C0618D4" w14:textId="77777777"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bottom w:val="nil"/>
            </w:tcBorders>
            <w:shd w:val="clear" w:color="auto" w:fill="auto"/>
            <w:vAlign w:val="center"/>
          </w:tcPr>
          <w:p w14:paraId="40F36BE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A68B1C4" w14:textId="77777777" w:rsidTr="002868D6">
        <w:tc>
          <w:tcPr>
            <w:tcW w:w="3114" w:type="dxa"/>
            <w:vMerge/>
            <w:shd w:val="clear" w:color="auto" w:fill="auto"/>
            <w:vAlign w:val="center"/>
          </w:tcPr>
          <w:p w14:paraId="1BB2A91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300E0EDB"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65CBB2E"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4E85A276"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7B65F08" w14:textId="77777777" w:rsidR="00736ABD" w:rsidRPr="002677FC" w:rsidRDefault="00736ABD" w:rsidP="006C034D">
            <w:pPr>
              <w:spacing w:after="60" w:line="276" w:lineRule="auto"/>
              <w:rPr>
                <w:rFonts w:ascii="Arial" w:eastAsia="Times New Roman" w:hAnsi="Arial" w:cs="Arial"/>
              </w:rPr>
            </w:pPr>
          </w:p>
        </w:tc>
      </w:tr>
      <w:tr w:rsidR="00736ABD" w:rsidRPr="002677FC" w14:paraId="36424AEE" w14:textId="77777777" w:rsidTr="002868D6">
        <w:tc>
          <w:tcPr>
            <w:tcW w:w="3114" w:type="dxa"/>
            <w:vMerge/>
            <w:shd w:val="clear" w:color="auto" w:fill="auto"/>
            <w:vAlign w:val="center"/>
          </w:tcPr>
          <w:p w14:paraId="0D78696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F711712"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08EE848" w14:textId="300F67BD"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571C45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0886CBBA" w14:textId="77777777" w:rsidR="00736ABD" w:rsidRPr="002677FC" w:rsidRDefault="00736ABD" w:rsidP="006C034D">
            <w:pPr>
              <w:spacing w:after="60" w:line="276" w:lineRule="auto"/>
              <w:rPr>
                <w:rFonts w:ascii="Arial" w:eastAsia="Times New Roman" w:hAnsi="Arial" w:cs="Arial"/>
              </w:rPr>
            </w:pPr>
          </w:p>
        </w:tc>
      </w:tr>
      <w:tr w:rsidR="00736ABD" w:rsidRPr="002677FC" w14:paraId="4369032C" w14:textId="77777777" w:rsidTr="002868D6">
        <w:tc>
          <w:tcPr>
            <w:tcW w:w="3114" w:type="dxa"/>
            <w:vMerge w:val="restart"/>
            <w:shd w:val="clear" w:color="auto" w:fill="auto"/>
            <w:vAlign w:val="center"/>
          </w:tcPr>
          <w:p w14:paraId="5F2DC0E6" w14:textId="53535C42"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projektu</w:t>
            </w:r>
          </w:p>
          <w:p w14:paraId="794E0E8B"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4290E64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4BDF0E54" w14:textId="3BF0EE0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00030ACA" w:rsidRPr="002677FC">
              <w:rPr>
                <w:rFonts w:ascii="Arial" w:eastAsia="Times New Roman" w:hAnsi="Arial" w:cs="Arial"/>
                <w:lang w:eastAsia="pl-PL"/>
              </w:rPr>
              <w:t>ogłaszania</w:t>
            </w:r>
            <w:r w:rsidRPr="002677FC">
              <w:rPr>
                <w:rFonts w:ascii="Arial" w:eastAsia="Times New Roman" w:hAnsi="Arial" w:cs="Arial"/>
                <w:lang w:eastAsia="pl-PL"/>
              </w:rPr>
              <w:t xml:space="preserve"> naboru i Regulaminem naboru wniosków.</w:t>
            </w:r>
          </w:p>
          <w:p w14:paraId="473592DE" w14:textId="77777777" w:rsidR="00BB6308" w:rsidRPr="002677FC" w:rsidRDefault="00BB6308" w:rsidP="006C034D">
            <w:pPr>
              <w:numPr>
                <w:ilvl w:val="0"/>
                <w:numId w:val="8"/>
              </w:numPr>
              <w:spacing w:after="60" w:line="276" w:lineRule="auto"/>
              <w:rPr>
                <w:rFonts w:ascii="Arial" w:eastAsia="Times New Roman" w:hAnsi="Arial" w:cs="Arial"/>
                <w:lang w:eastAsia="pl-PL"/>
              </w:rPr>
            </w:pPr>
            <w:r w:rsidRPr="002677FC">
              <w:rPr>
                <w:rFonts w:ascii="Arial" w:hAnsi="Arial" w:cs="Arial"/>
              </w:rPr>
              <w:t>projekt jest zgodny z Lokalną Strategią Rozwoju tj. zgodny z celem i przedsięwzięciem ujętym w Lokalnej Strategii Rozwoju realizowanej przez Lokalną Grupę Działania ogłaszającą nabór oraz wynika z diagnozy zawartej w Lokalnej Strategii Rozwoju, dla których wnioskodawcą jest podmiot, uwzględniony w katalogu beneficjentów.</w:t>
            </w:r>
          </w:p>
          <w:p w14:paraId="6D502D21"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Wnioskodawca w okresie realizacji projektu prowadzi biuro projektu (lub posiada siedzibę, filię, delegaturę oddział czy inną formę działalności) na obszarze LSR z możliwością udostępnienia pełnej dokumentacji wdrażanego projektu oraz zapewnia uczestnikom projektu możliwość osobistego kontaktu z kadrą projektu.</w:t>
            </w:r>
          </w:p>
          <w:p w14:paraId="37E04D11"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14:paraId="32F9453E" w14:textId="4F62123B" w:rsidR="00736ABD" w:rsidRPr="002677FC" w:rsidRDefault="00736ABD" w:rsidP="006C034D">
            <w:pPr>
              <w:numPr>
                <w:ilvl w:val="1"/>
                <w:numId w:val="8"/>
              </w:numPr>
              <w:tabs>
                <w:tab w:val="left" w:pos="877"/>
              </w:tabs>
              <w:spacing w:after="60" w:line="276" w:lineRule="auto"/>
              <w:ind w:left="744" w:hanging="434"/>
              <w:rPr>
                <w:rFonts w:ascii="Arial" w:eastAsia="Times New Roman" w:hAnsi="Arial" w:cs="Arial"/>
                <w:lang w:eastAsia="pl-PL"/>
              </w:rPr>
            </w:pPr>
            <w:r w:rsidRPr="002677FC">
              <w:rPr>
                <w:rFonts w:ascii="Arial" w:eastAsia="Times New Roman" w:hAnsi="Arial" w:cs="Arial"/>
                <w:lang w:eastAsia="pl-PL"/>
              </w:rPr>
              <w:t>projekt nie został zakończony w rozumieniu art. 63 ust. 6 ww. rozporządzenia.</w:t>
            </w:r>
          </w:p>
          <w:p w14:paraId="1FE21A9E"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4023D0A0"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val="x-none" w:eastAsia="pl-PL"/>
              </w:rPr>
              <w:t>projekt nie obejmuje działań, które stanowiły część operacji polegającej</w:t>
            </w:r>
            <w:r w:rsidRPr="002677FC">
              <w:rPr>
                <w:rFonts w:ascii="Arial" w:eastAsia="Times New Roman" w:hAnsi="Arial" w:cs="Arial"/>
                <w:lang w:eastAsia="pl-PL"/>
              </w:rPr>
              <w:t xml:space="preserve"> na</w:t>
            </w:r>
            <w:r w:rsidRPr="002677FC">
              <w:rPr>
                <w:rFonts w:ascii="Arial" w:eastAsia="Times New Roman" w:hAnsi="Arial" w:cs="Arial"/>
                <w:lang w:val="x-none" w:eastAsia="pl-PL"/>
              </w:rPr>
              <w:t xml:space="preserve"> przeniesieniu produkcji zgodnie z art. 66 lub które stanowiłyby przeniesienie działalności produkcyjnej zgodnie z art. 65 ust.1 lit. a) ww. rozporządzenia.</w:t>
            </w:r>
          </w:p>
          <w:p w14:paraId="390770ED"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(lub jego część) nie otrzymał dofinansowania z innych środków.</w:t>
            </w:r>
          </w:p>
          <w:p w14:paraId="6D841607" w14:textId="006241A5"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okres realizacji projektu jest zgodny z wymaganiami określonymi w Regulaminie naboru wniosków.</w:t>
            </w:r>
          </w:p>
          <w:p w14:paraId="7F4DF3E3" w14:textId="4DC1A8EA"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grupa docelowa jest zgodna z zapisami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6C925AA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Ocena pkt </w:t>
            </w:r>
            <w:r w:rsidR="00BB6308" w:rsidRPr="002677FC">
              <w:rPr>
                <w:rFonts w:ascii="Arial" w:eastAsia="Times New Roman" w:hAnsi="Arial" w:cs="Arial"/>
              </w:rPr>
              <w:t>3</w:t>
            </w:r>
            <w:r w:rsidRPr="002677FC">
              <w:rPr>
                <w:rFonts w:ascii="Arial" w:eastAsia="Times New Roman" w:hAnsi="Arial" w:cs="Arial"/>
              </w:rPr>
              <w:t xml:space="preserve">, </w:t>
            </w:r>
            <w:r w:rsidR="00BB6308" w:rsidRPr="002677FC">
              <w:rPr>
                <w:rFonts w:ascii="Arial" w:eastAsia="Times New Roman" w:hAnsi="Arial" w:cs="Arial"/>
              </w:rPr>
              <w:t>4</w:t>
            </w:r>
            <w:r w:rsidRPr="002677FC">
              <w:rPr>
                <w:rFonts w:ascii="Arial" w:eastAsia="Times New Roman" w:hAnsi="Arial" w:cs="Arial"/>
              </w:rPr>
              <w:t xml:space="preserve"> i </w:t>
            </w:r>
            <w:r w:rsidR="00BB6308" w:rsidRPr="002677FC">
              <w:rPr>
                <w:rFonts w:ascii="Arial" w:eastAsia="Times New Roman" w:hAnsi="Arial" w:cs="Arial"/>
              </w:rPr>
              <w:t>5</w:t>
            </w:r>
            <w:r w:rsidRPr="002677FC">
              <w:rPr>
                <w:rFonts w:ascii="Arial" w:eastAsia="Times New Roman" w:hAnsi="Arial" w:cs="Arial"/>
              </w:rPr>
              <w:t xml:space="preserve"> odbywa się w oparciu o oświadczenia przedstawione przez Wnioskodawcę.</w:t>
            </w:r>
          </w:p>
        </w:tc>
        <w:tc>
          <w:tcPr>
            <w:tcW w:w="2274" w:type="dxa"/>
            <w:gridSpan w:val="2"/>
            <w:tcBorders>
              <w:bottom w:val="nil"/>
            </w:tcBorders>
            <w:vAlign w:val="center"/>
          </w:tcPr>
          <w:p w14:paraId="45AC970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929CF3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23FF4042"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1250DE3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7E9170FF" w14:textId="77777777" w:rsidTr="002868D6">
        <w:tc>
          <w:tcPr>
            <w:tcW w:w="3114" w:type="dxa"/>
            <w:vMerge/>
            <w:shd w:val="clear" w:color="auto" w:fill="auto"/>
            <w:vAlign w:val="center"/>
          </w:tcPr>
          <w:p w14:paraId="2EAB951D"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784431E"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780F979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093820FB"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4955E079" w14:textId="77777777" w:rsidR="00736ABD" w:rsidRPr="002677FC" w:rsidRDefault="00736ABD" w:rsidP="006C034D">
            <w:pPr>
              <w:spacing w:after="60" w:line="276" w:lineRule="auto"/>
              <w:rPr>
                <w:rFonts w:ascii="Arial" w:eastAsia="Times New Roman" w:hAnsi="Arial" w:cs="Arial"/>
              </w:rPr>
            </w:pPr>
          </w:p>
        </w:tc>
      </w:tr>
      <w:tr w:rsidR="00736ABD" w:rsidRPr="002677FC" w14:paraId="7A28023F" w14:textId="77777777" w:rsidTr="002868D6">
        <w:tc>
          <w:tcPr>
            <w:tcW w:w="3114" w:type="dxa"/>
            <w:vMerge/>
            <w:shd w:val="clear" w:color="auto" w:fill="auto"/>
            <w:vAlign w:val="center"/>
          </w:tcPr>
          <w:p w14:paraId="2CA8EE2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7C64B2D"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D3EEFD7" w14:textId="75DA4324"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3283D39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06580798" w14:textId="77777777" w:rsidR="00736ABD" w:rsidRPr="002677FC" w:rsidRDefault="00736ABD" w:rsidP="006C034D">
            <w:pPr>
              <w:spacing w:after="60" w:line="276" w:lineRule="auto"/>
              <w:rPr>
                <w:rFonts w:ascii="Arial" w:eastAsia="Times New Roman" w:hAnsi="Arial" w:cs="Arial"/>
              </w:rPr>
            </w:pPr>
          </w:p>
        </w:tc>
      </w:tr>
      <w:tr w:rsidR="00736ABD" w:rsidRPr="002677FC" w14:paraId="74B48209" w14:textId="77777777" w:rsidTr="002868D6">
        <w:tc>
          <w:tcPr>
            <w:tcW w:w="3114" w:type="dxa"/>
            <w:vMerge w:val="restart"/>
            <w:shd w:val="clear" w:color="auto" w:fill="auto"/>
            <w:vAlign w:val="center"/>
          </w:tcPr>
          <w:p w14:paraId="7A572BB1" w14:textId="4E08B8CF"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równości szans i niedyskryminacji</w:t>
            </w:r>
          </w:p>
          <w:p w14:paraId="7D3421FA"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4087D9D"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14:paraId="64C7CB5F"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5FD1E575"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14:paraId="125CB391" w14:textId="4C811CE6"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DB1926" w:rsidRPr="002677FC">
              <w:rPr>
                <w:rFonts w:ascii="Arial" w:hAnsi="Arial" w:cs="Arial"/>
                <w:lang w:eastAsia="ar-SA"/>
              </w:rPr>
              <w:t xml:space="preserve"> </w:t>
            </w:r>
            <w:r w:rsidRPr="002677FC">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14:paraId="0961710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braku pozytywnego wpływu projektu na realizację zasady skutkuje niespełnieniem kryterium.</w:t>
            </w:r>
          </w:p>
        </w:tc>
        <w:tc>
          <w:tcPr>
            <w:tcW w:w="2274" w:type="dxa"/>
            <w:gridSpan w:val="2"/>
            <w:tcBorders>
              <w:bottom w:val="nil"/>
            </w:tcBorders>
            <w:vAlign w:val="center"/>
          </w:tcPr>
          <w:p w14:paraId="7A3A11F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0CF938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565AC25C"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72DF1EF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0A34E46A" w14:textId="77777777" w:rsidTr="002868D6">
        <w:tc>
          <w:tcPr>
            <w:tcW w:w="3114" w:type="dxa"/>
            <w:vMerge/>
            <w:shd w:val="clear" w:color="auto" w:fill="auto"/>
            <w:vAlign w:val="center"/>
          </w:tcPr>
          <w:p w14:paraId="4BED810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17C3A8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5DDCAA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8B3FCF9"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BFCBEE9" w14:textId="77777777" w:rsidR="00736ABD" w:rsidRPr="002677FC" w:rsidRDefault="00736ABD" w:rsidP="006C034D">
            <w:pPr>
              <w:spacing w:after="60" w:line="276" w:lineRule="auto"/>
              <w:rPr>
                <w:rFonts w:ascii="Arial" w:eastAsia="Times New Roman" w:hAnsi="Arial" w:cs="Arial"/>
              </w:rPr>
            </w:pPr>
          </w:p>
        </w:tc>
      </w:tr>
      <w:tr w:rsidR="00736ABD" w:rsidRPr="002677FC" w14:paraId="6BFA23AA" w14:textId="77777777" w:rsidTr="002868D6">
        <w:tc>
          <w:tcPr>
            <w:tcW w:w="3114" w:type="dxa"/>
            <w:vMerge/>
            <w:shd w:val="clear" w:color="auto" w:fill="auto"/>
            <w:vAlign w:val="center"/>
          </w:tcPr>
          <w:p w14:paraId="2A2B5BF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C743267"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70BE762D" w14:textId="011B1F22"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5C8979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0B6CE782" w14:textId="77777777" w:rsidR="00736ABD" w:rsidRPr="002677FC" w:rsidRDefault="00736ABD" w:rsidP="006C034D">
            <w:pPr>
              <w:spacing w:after="60" w:line="276" w:lineRule="auto"/>
              <w:rPr>
                <w:rFonts w:ascii="Arial" w:eastAsia="Times New Roman" w:hAnsi="Arial" w:cs="Arial"/>
              </w:rPr>
            </w:pPr>
          </w:p>
        </w:tc>
      </w:tr>
      <w:tr w:rsidR="00736ABD" w:rsidRPr="002677FC" w14:paraId="0280BA80" w14:textId="77777777" w:rsidTr="002868D6">
        <w:tc>
          <w:tcPr>
            <w:tcW w:w="3114" w:type="dxa"/>
            <w:vMerge w:val="restart"/>
            <w:shd w:val="clear" w:color="auto" w:fill="auto"/>
            <w:vAlign w:val="center"/>
          </w:tcPr>
          <w:p w14:paraId="5F8EC638" w14:textId="37DEC0A3"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Kartą Praw Podstawowych Unii Europejskiej</w:t>
            </w:r>
          </w:p>
          <w:p w14:paraId="035734CE"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439169E0"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Ocenie w ramach kryterium podlega zgodność projektu z Kartą Praw Podstawowych Unii Europejskiej z dnia 26 października 2012 r. w zakresie odnoszącym się do sposobu realizacji i zakresu projektu.</w:t>
            </w:r>
          </w:p>
          <w:p w14:paraId="3C978234" w14:textId="547D131C"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Kartą Praw Podstawowych Unii Europejskiej, na etapie oceny wniosku należy rozumieć jako wykazanie zgodności pomiędzy projektem, a wymogami ww. dokumentu adekwatnymi wobec sposobu realizacji i zakresu projektu.</w:t>
            </w:r>
          </w:p>
          <w:p w14:paraId="1B6AD7D7"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vAlign w:val="center"/>
          </w:tcPr>
          <w:p w14:paraId="6CE7098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6646EC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5F9DAAD"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5D46DC5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0EE29D09" w14:textId="77777777" w:rsidTr="002868D6">
        <w:tc>
          <w:tcPr>
            <w:tcW w:w="3114" w:type="dxa"/>
            <w:vMerge/>
            <w:shd w:val="clear" w:color="auto" w:fill="auto"/>
            <w:vAlign w:val="center"/>
          </w:tcPr>
          <w:p w14:paraId="1F7F6465"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53B2A6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79D63BE8"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AC51D9B"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670D938E" w14:textId="77777777" w:rsidR="00736ABD" w:rsidRPr="002677FC" w:rsidRDefault="00736ABD" w:rsidP="006C034D">
            <w:pPr>
              <w:spacing w:after="60" w:line="276" w:lineRule="auto"/>
              <w:rPr>
                <w:rFonts w:ascii="Arial" w:eastAsia="Times New Roman" w:hAnsi="Arial" w:cs="Arial"/>
              </w:rPr>
            </w:pPr>
          </w:p>
        </w:tc>
      </w:tr>
      <w:tr w:rsidR="00736ABD" w:rsidRPr="002677FC" w14:paraId="22B6555E" w14:textId="77777777" w:rsidTr="002868D6">
        <w:tc>
          <w:tcPr>
            <w:tcW w:w="3114" w:type="dxa"/>
            <w:vMerge/>
            <w:shd w:val="clear" w:color="auto" w:fill="auto"/>
            <w:vAlign w:val="center"/>
          </w:tcPr>
          <w:p w14:paraId="26AF0BB5"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460E36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400357E" w14:textId="37644E4B"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710E52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2E342D30" w14:textId="77777777" w:rsidR="00736ABD" w:rsidRPr="002677FC" w:rsidRDefault="00736ABD" w:rsidP="006C034D">
            <w:pPr>
              <w:spacing w:after="60" w:line="276" w:lineRule="auto"/>
              <w:rPr>
                <w:rFonts w:ascii="Arial" w:eastAsia="Times New Roman" w:hAnsi="Arial" w:cs="Arial"/>
              </w:rPr>
            </w:pPr>
          </w:p>
        </w:tc>
      </w:tr>
      <w:tr w:rsidR="00736ABD" w:rsidRPr="002677FC" w14:paraId="4C9EC83D" w14:textId="77777777" w:rsidTr="002868D6">
        <w:tc>
          <w:tcPr>
            <w:tcW w:w="3114" w:type="dxa"/>
            <w:vMerge w:val="restart"/>
            <w:shd w:val="clear" w:color="auto" w:fill="auto"/>
            <w:vAlign w:val="center"/>
          </w:tcPr>
          <w:p w14:paraId="2528E489" w14:textId="59978A48"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Konwencją o Prawach Osób Niepełnosprawnych</w:t>
            </w:r>
          </w:p>
          <w:p w14:paraId="2CD41B4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02880BC"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Ocenie w ramach kryterium podlega zgodność projektu z Konwencją o Prawach Osób Niepełnosprawnych, sporządzoną w Nowym Jorku dnia 13 grudnia 2006 r. w zakresie odnoszącym się do sposobu realizacji i zakresu projektu.</w:t>
            </w:r>
          </w:p>
          <w:p w14:paraId="0CDFA0BD" w14:textId="5D52ED8B"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Konwencją o Prawach Osób Niepełnosprawnych, na etapie oceny wniosku należy rozumieć jako wykazanie zgodności pomiędzy projektem, a wymogami ww. dokumentu adekwatnymi wobec sposobu realizacji i zakresu projektu.</w:t>
            </w:r>
          </w:p>
          <w:p w14:paraId="7A263079"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Konwencji o Prawach Osób Niepełnosprawnych skutkuje niespełnieniem kryterium.</w:t>
            </w:r>
          </w:p>
        </w:tc>
        <w:tc>
          <w:tcPr>
            <w:tcW w:w="2274" w:type="dxa"/>
            <w:gridSpan w:val="2"/>
            <w:tcBorders>
              <w:bottom w:val="nil"/>
            </w:tcBorders>
            <w:vAlign w:val="center"/>
          </w:tcPr>
          <w:p w14:paraId="261E8C8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D026A4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60B38E44"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63659F57" w14:textId="462436F8" w:rsidR="00736ABD" w:rsidRPr="002677FC" w:rsidRDefault="00736ABD" w:rsidP="006C034D">
            <w:pPr>
              <w:spacing w:after="60" w:line="276" w:lineRule="auto"/>
              <w:rPr>
                <w:rFonts w:ascii="Arial" w:eastAsia="Times New Roman" w:hAnsi="Arial" w:cs="Arial"/>
              </w:rPr>
            </w:pPr>
          </w:p>
        </w:tc>
      </w:tr>
      <w:tr w:rsidR="00736ABD" w:rsidRPr="002677FC" w14:paraId="73C76B78" w14:textId="77777777" w:rsidTr="002868D6">
        <w:tc>
          <w:tcPr>
            <w:tcW w:w="3114" w:type="dxa"/>
            <w:vMerge/>
            <w:shd w:val="clear" w:color="auto" w:fill="auto"/>
            <w:vAlign w:val="center"/>
          </w:tcPr>
          <w:p w14:paraId="02749AC4"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4E61F312"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EB6D74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76D9230"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18E1BA5" w14:textId="77777777" w:rsidR="00736ABD" w:rsidRPr="002677FC" w:rsidRDefault="00736ABD" w:rsidP="006C034D">
            <w:pPr>
              <w:spacing w:after="60" w:line="276" w:lineRule="auto"/>
              <w:rPr>
                <w:rFonts w:ascii="Arial" w:eastAsia="Times New Roman" w:hAnsi="Arial" w:cs="Arial"/>
              </w:rPr>
            </w:pPr>
          </w:p>
        </w:tc>
      </w:tr>
      <w:tr w:rsidR="00736ABD" w:rsidRPr="002677FC" w14:paraId="40E459F8" w14:textId="77777777" w:rsidTr="002868D6">
        <w:tc>
          <w:tcPr>
            <w:tcW w:w="3114" w:type="dxa"/>
            <w:vMerge/>
            <w:shd w:val="clear" w:color="auto" w:fill="auto"/>
            <w:vAlign w:val="center"/>
          </w:tcPr>
          <w:p w14:paraId="4472D567"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4719F2C"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5F40ACB" w14:textId="60C264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4E4EBCE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3DB0C0E1" w14:textId="77777777" w:rsidR="00736ABD" w:rsidRPr="002677FC" w:rsidRDefault="00736ABD" w:rsidP="006C034D">
            <w:pPr>
              <w:spacing w:after="60" w:line="276" w:lineRule="auto"/>
              <w:rPr>
                <w:rFonts w:ascii="Arial" w:eastAsia="Times New Roman" w:hAnsi="Arial" w:cs="Arial"/>
              </w:rPr>
            </w:pPr>
          </w:p>
        </w:tc>
      </w:tr>
      <w:tr w:rsidR="00736ABD" w:rsidRPr="002677FC" w14:paraId="134BC237" w14:textId="77777777" w:rsidTr="002868D6">
        <w:tc>
          <w:tcPr>
            <w:tcW w:w="3114" w:type="dxa"/>
            <w:vMerge w:val="restart"/>
            <w:shd w:val="clear" w:color="auto" w:fill="auto"/>
            <w:vAlign w:val="center"/>
          </w:tcPr>
          <w:p w14:paraId="76B331EE" w14:textId="516FC39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ze standardem minimum realizacji zasady równości kobiet i mężczyzn</w:t>
            </w:r>
          </w:p>
          <w:p w14:paraId="538F7BDC"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428F7F43" w14:textId="47AF4661"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kobiet i mężczyzn.</w:t>
            </w:r>
          </w:p>
          <w:p w14:paraId="16120D1A"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w:t>
            </w:r>
          </w:p>
          <w:p w14:paraId="4D8D572A"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 xml:space="preserve">zgodność projektu ze standardem minimum realizacji zasady równości kobiet i mężczyzn określonym w załączniku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4255D35B"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rPr>
              <w:t>W przypadku zmiany ww. Wytycznych na etapie realizacji projektu, warunki o których mowa powyżej będą także spełnione, jeżeli beneficjent stosować będzie do projektu w całości zmienione Wytyczne.</w:t>
            </w:r>
          </w:p>
          <w:p w14:paraId="719A0F84"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brak stwierdzenia w projekcie działań/informacji, które dyskryminują którąś z płci.</w:t>
            </w:r>
          </w:p>
          <w:p w14:paraId="3E522367"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vAlign w:val="center"/>
          </w:tcPr>
          <w:p w14:paraId="7025085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57BE27A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5052709"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21B76288" w14:textId="02958E6E" w:rsidR="00736ABD" w:rsidRPr="002677FC" w:rsidRDefault="00736ABD" w:rsidP="006C034D">
            <w:pPr>
              <w:spacing w:after="60" w:line="276" w:lineRule="auto"/>
              <w:rPr>
                <w:rFonts w:ascii="Arial" w:eastAsia="Times New Roman" w:hAnsi="Arial" w:cs="Arial"/>
              </w:rPr>
            </w:pPr>
          </w:p>
        </w:tc>
      </w:tr>
      <w:tr w:rsidR="00736ABD" w:rsidRPr="002677FC" w14:paraId="0AA2642B" w14:textId="77777777" w:rsidTr="002868D6">
        <w:tc>
          <w:tcPr>
            <w:tcW w:w="3114" w:type="dxa"/>
            <w:vMerge/>
            <w:shd w:val="clear" w:color="auto" w:fill="auto"/>
            <w:vAlign w:val="center"/>
          </w:tcPr>
          <w:p w14:paraId="5C668468"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3F26E1C"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66770A5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7FD41067"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5864219" w14:textId="77777777" w:rsidR="00736ABD" w:rsidRPr="002677FC" w:rsidRDefault="00736ABD" w:rsidP="006C034D">
            <w:pPr>
              <w:spacing w:after="60" w:line="276" w:lineRule="auto"/>
              <w:rPr>
                <w:rFonts w:ascii="Arial" w:eastAsia="Times New Roman" w:hAnsi="Arial" w:cs="Arial"/>
              </w:rPr>
            </w:pPr>
          </w:p>
        </w:tc>
      </w:tr>
      <w:tr w:rsidR="00736ABD" w:rsidRPr="002677FC" w14:paraId="2F1AC0EA" w14:textId="77777777" w:rsidTr="002868D6">
        <w:tc>
          <w:tcPr>
            <w:tcW w:w="3114" w:type="dxa"/>
            <w:vMerge/>
            <w:shd w:val="clear" w:color="auto" w:fill="auto"/>
            <w:vAlign w:val="center"/>
          </w:tcPr>
          <w:p w14:paraId="12E98A1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4640866"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2CA2FBAF" w14:textId="74126575"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39E3F1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68E833DE" w14:textId="77777777" w:rsidR="00736ABD" w:rsidRPr="002677FC" w:rsidRDefault="00736ABD" w:rsidP="006C034D">
            <w:pPr>
              <w:spacing w:after="60" w:line="276" w:lineRule="auto"/>
              <w:rPr>
                <w:rFonts w:ascii="Arial" w:eastAsia="Times New Roman" w:hAnsi="Arial" w:cs="Arial"/>
              </w:rPr>
            </w:pPr>
          </w:p>
        </w:tc>
      </w:tr>
      <w:tr w:rsidR="00736ABD" w:rsidRPr="002677FC" w14:paraId="3CD2584A" w14:textId="77777777" w:rsidTr="002868D6">
        <w:tc>
          <w:tcPr>
            <w:tcW w:w="3114" w:type="dxa"/>
            <w:vMerge w:val="restart"/>
            <w:shd w:val="clear" w:color="auto" w:fill="auto"/>
            <w:vAlign w:val="center"/>
          </w:tcPr>
          <w:p w14:paraId="041A8D85" w14:textId="2A2BDEDE"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zrównoważonego rozwoju</w:t>
            </w:r>
          </w:p>
          <w:p w14:paraId="09B3DA3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3C6707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7ED4E622" w14:textId="7011A624"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w:t>
            </w:r>
          </w:p>
          <w:p w14:paraId="488D97F1" w14:textId="77777777"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w projekcie zadeklarowano stosowanie zasady „nie czyń poważnych szkód” środowisku (zasada DNSH).</w:t>
            </w:r>
          </w:p>
          <w:p w14:paraId="7B0AE07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vAlign w:val="center"/>
          </w:tcPr>
          <w:p w14:paraId="6B527FA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56F954F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63E1D7E"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07FE2B5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021EE67" w14:textId="77777777" w:rsidTr="002868D6">
        <w:tc>
          <w:tcPr>
            <w:tcW w:w="3114" w:type="dxa"/>
            <w:vMerge/>
            <w:shd w:val="clear" w:color="auto" w:fill="auto"/>
            <w:vAlign w:val="center"/>
          </w:tcPr>
          <w:p w14:paraId="6C91EFFD"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35B0A656"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4E9FA9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F3F92C1"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34EDC16B" w14:textId="77777777" w:rsidR="00736ABD" w:rsidRPr="002677FC" w:rsidRDefault="00736ABD" w:rsidP="006C034D">
            <w:pPr>
              <w:spacing w:after="60" w:line="276" w:lineRule="auto"/>
              <w:rPr>
                <w:rFonts w:ascii="Arial" w:eastAsia="Times New Roman" w:hAnsi="Arial" w:cs="Arial"/>
              </w:rPr>
            </w:pPr>
          </w:p>
        </w:tc>
      </w:tr>
      <w:tr w:rsidR="00736ABD" w:rsidRPr="002677FC" w14:paraId="2F03E73B" w14:textId="77777777" w:rsidTr="002868D6">
        <w:tc>
          <w:tcPr>
            <w:tcW w:w="3114" w:type="dxa"/>
            <w:vMerge/>
            <w:shd w:val="clear" w:color="auto" w:fill="auto"/>
            <w:vAlign w:val="center"/>
          </w:tcPr>
          <w:p w14:paraId="50C3B8A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F902407"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7C30B51" w14:textId="37CC5620"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7095F61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440FD8FB" w14:textId="77777777" w:rsidR="00736ABD" w:rsidRPr="002677FC" w:rsidRDefault="00736ABD" w:rsidP="006C034D">
            <w:pPr>
              <w:spacing w:after="60" w:line="276" w:lineRule="auto"/>
              <w:rPr>
                <w:rFonts w:ascii="Arial" w:eastAsia="Times New Roman" w:hAnsi="Arial" w:cs="Arial"/>
              </w:rPr>
            </w:pPr>
          </w:p>
        </w:tc>
      </w:tr>
      <w:tr w:rsidR="00736ABD" w:rsidRPr="002677FC" w14:paraId="3E71A264" w14:textId="77777777" w:rsidTr="002868D6">
        <w:tc>
          <w:tcPr>
            <w:tcW w:w="3114" w:type="dxa"/>
            <w:vMerge w:val="restart"/>
            <w:shd w:val="clear" w:color="auto" w:fill="auto"/>
            <w:vAlign w:val="center"/>
          </w:tcPr>
          <w:p w14:paraId="66A762E5" w14:textId="0E0DDFB7"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Specyficzne warunki wstępne</w:t>
            </w:r>
          </w:p>
          <w:p w14:paraId="3E89CC39"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476C892A"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w:t>
            </w:r>
          </w:p>
          <w:p w14:paraId="29D6DDA9" w14:textId="77777777" w:rsidR="00736ABD" w:rsidRPr="002677FC" w:rsidRDefault="00736ABD" w:rsidP="006C034D">
            <w:pPr>
              <w:numPr>
                <w:ilvl w:val="0"/>
                <w:numId w:val="10"/>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677FC">
              <w:rPr>
                <w:rFonts w:ascii="Arial" w:hAnsi="Arial" w:cs="Arial"/>
              </w:rPr>
              <w:t>ogłoszenia naboru</w:t>
            </w:r>
            <w:r w:rsidRPr="002677FC">
              <w:rPr>
                <w:rFonts w:ascii="Arial" w:eastAsia="Times New Roman" w:hAnsi="Arial" w:cs="Arial"/>
                <w:lang w:eastAsia="pl-PL"/>
              </w:rPr>
              <w:t>.</w:t>
            </w:r>
          </w:p>
          <w:p w14:paraId="33026839" w14:textId="77DDD9DA" w:rsidR="00E36803" w:rsidRPr="002677FC" w:rsidRDefault="00736ABD" w:rsidP="006C034D">
            <w:pPr>
              <w:numPr>
                <w:ilvl w:val="0"/>
                <w:numId w:val="10"/>
              </w:numPr>
              <w:spacing w:after="60" w:line="276" w:lineRule="auto"/>
              <w:rPr>
                <w:rFonts w:ascii="Arial" w:eastAsia="Times New Roman" w:hAnsi="Arial" w:cs="Arial"/>
                <w:lang w:eastAsia="pl-PL"/>
              </w:rPr>
            </w:pPr>
            <w:r w:rsidRPr="002677FC">
              <w:rPr>
                <w:rFonts w:ascii="Arial" w:eastAsia="Times New Roman" w:hAnsi="Arial" w:cs="Arial"/>
                <w:lang w:eastAsia="pl-PL"/>
              </w:rPr>
              <w:t>poprawność merytoryczna wypełnienia wniosku o dofinansowanie projektu polegająca na zgodności z warunkami określonymi w Regulaminie naboru wniosków na podstawie Wytycznych dotyczących realizacji projektów z udziałem środków Europejskiego Funduszu Społecznego Plus w regionalnych programach na lata 2021-2027 w wersji aktualnej na dzień ogłoszenia naboru.</w:t>
            </w:r>
          </w:p>
          <w:p w14:paraId="7E6525A6" w14:textId="77777777" w:rsidR="00E36803" w:rsidRPr="002677FC" w:rsidRDefault="00736ABD" w:rsidP="006C034D">
            <w:pPr>
              <w:spacing w:after="60" w:line="276" w:lineRule="auto"/>
              <w:ind w:left="360"/>
              <w:rPr>
                <w:rFonts w:ascii="Arial" w:eastAsia="Times New Roman" w:hAnsi="Arial" w:cs="Arial"/>
                <w:lang w:eastAsia="pl-PL"/>
              </w:rPr>
            </w:pPr>
            <w:r w:rsidRPr="002677FC">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14:paraId="0962546F" w14:textId="0DF90DBF" w:rsidR="00736ABD" w:rsidRPr="002677FC" w:rsidRDefault="00E36803" w:rsidP="006C034D">
            <w:pPr>
              <w:pStyle w:val="Akapitzlist"/>
              <w:numPr>
                <w:ilvl w:val="0"/>
                <w:numId w:val="10"/>
              </w:numPr>
              <w:spacing w:after="60"/>
              <w:rPr>
                <w:rFonts w:ascii="Arial" w:hAnsi="Arial" w:cs="Arial"/>
              </w:rPr>
            </w:pPr>
            <w:r w:rsidRPr="002677FC">
              <w:rPr>
                <w:rFonts w:ascii="Arial" w:hAnsi="Arial" w:cs="Arial"/>
                <w:lang w:val="x-none" w:eastAsia="x-none"/>
              </w:rPr>
              <w:t>zgodność projektu z „Modelem prowadzenia w Małopolsce placówek wsparcia dziennego dla dzieci, młodzieży i ich rodzin”, wskazan</w:t>
            </w:r>
            <w:r w:rsidR="00DB1926" w:rsidRPr="002677FC">
              <w:rPr>
                <w:rFonts w:ascii="Arial" w:hAnsi="Arial" w:cs="Arial"/>
                <w:lang w:eastAsia="x-none"/>
              </w:rPr>
              <w:t>ym</w:t>
            </w:r>
            <w:r w:rsidR="006F4E6D">
              <w:rPr>
                <w:rFonts w:ascii="Arial" w:hAnsi="Arial" w:cs="Arial"/>
                <w:lang w:val="x-none" w:eastAsia="x-none"/>
              </w:rPr>
              <w:t xml:space="preserve"> w </w:t>
            </w:r>
            <w:r w:rsidR="006F4E6D">
              <w:rPr>
                <w:rFonts w:ascii="Arial" w:hAnsi="Arial" w:cs="Arial"/>
                <w:lang w:eastAsia="x-none"/>
              </w:rPr>
              <w:t>R</w:t>
            </w:r>
            <w:r w:rsidR="006F4E6D">
              <w:rPr>
                <w:rFonts w:ascii="Arial" w:hAnsi="Arial" w:cs="Arial"/>
                <w:lang w:val="x-none" w:eastAsia="x-none"/>
              </w:rPr>
              <w:t>egulaminie naboru wniosk</w:t>
            </w:r>
            <w:r w:rsidR="006F4E6D">
              <w:rPr>
                <w:rFonts w:ascii="Arial" w:hAnsi="Arial" w:cs="Arial"/>
                <w:lang w:eastAsia="x-none"/>
              </w:rPr>
              <w:t>ów</w:t>
            </w:r>
            <w:r w:rsidR="00030ACA" w:rsidRPr="002677FC">
              <w:rPr>
                <w:rFonts w:ascii="Arial" w:hAnsi="Arial" w:cs="Arial"/>
                <w:lang w:eastAsia="x-none"/>
              </w:rPr>
              <w:t>.</w:t>
            </w:r>
          </w:p>
        </w:tc>
        <w:tc>
          <w:tcPr>
            <w:tcW w:w="2268" w:type="dxa"/>
            <w:tcBorders>
              <w:bottom w:val="nil"/>
            </w:tcBorders>
            <w:vAlign w:val="center"/>
          </w:tcPr>
          <w:p w14:paraId="1C4DD502"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0F1676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78196ED3"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02BD97B5" w14:textId="0C7FDD27" w:rsidR="00736ABD" w:rsidRPr="002677FC" w:rsidRDefault="00736ABD" w:rsidP="006C034D">
            <w:pPr>
              <w:spacing w:after="60" w:line="276" w:lineRule="auto"/>
              <w:rPr>
                <w:rFonts w:ascii="Arial" w:eastAsia="Times New Roman" w:hAnsi="Arial" w:cs="Arial"/>
              </w:rPr>
            </w:pPr>
          </w:p>
        </w:tc>
      </w:tr>
      <w:tr w:rsidR="00736ABD" w:rsidRPr="002677FC" w14:paraId="2737A9F6" w14:textId="77777777" w:rsidTr="002868D6">
        <w:tc>
          <w:tcPr>
            <w:tcW w:w="3114" w:type="dxa"/>
            <w:vMerge/>
            <w:shd w:val="clear" w:color="auto" w:fill="auto"/>
            <w:vAlign w:val="center"/>
          </w:tcPr>
          <w:p w14:paraId="286FB38B"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6047A479"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377DB30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6C4959FF"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50E78A8" w14:textId="77777777" w:rsidR="00736ABD" w:rsidRPr="002677FC" w:rsidRDefault="00736ABD" w:rsidP="006C034D">
            <w:pPr>
              <w:spacing w:after="60" w:line="276" w:lineRule="auto"/>
              <w:rPr>
                <w:rFonts w:ascii="Arial" w:eastAsia="Times New Roman" w:hAnsi="Arial" w:cs="Arial"/>
              </w:rPr>
            </w:pPr>
          </w:p>
        </w:tc>
      </w:tr>
      <w:tr w:rsidR="00736ABD" w:rsidRPr="002677FC" w14:paraId="1730D2E3" w14:textId="77777777" w:rsidTr="002868D6">
        <w:tc>
          <w:tcPr>
            <w:tcW w:w="3114" w:type="dxa"/>
            <w:vMerge/>
            <w:shd w:val="clear" w:color="auto" w:fill="auto"/>
            <w:vAlign w:val="center"/>
          </w:tcPr>
          <w:p w14:paraId="1D800F8C"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54E124C8"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5C4CEBF7" w14:textId="548CD47B"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0E053E5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7A367B9B" w14:textId="77777777" w:rsidR="00736ABD" w:rsidRPr="002677FC" w:rsidRDefault="00736ABD" w:rsidP="006C034D">
            <w:pPr>
              <w:spacing w:after="60" w:line="276" w:lineRule="auto"/>
              <w:rPr>
                <w:rFonts w:ascii="Arial" w:eastAsia="Times New Roman" w:hAnsi="Arial" w:cs="Arial"/>
              </w:rPr>
            </w:pPr>
          </w:p>
        </w:tc>
      </w:tr>
      <w:tr w:rsidR="00736ABD" w:rsidRPr="002677FC" w14:paraId="1296A1E1" w14:textId="77777777" w:rsidTr="002868D6">
        <w:tc>
          <w:tcPr>
            <w:tcW w:w="3114" w:type="dxa"/>
            <w:vMerge w:val="restart"/>
            <w:shd w:val="clear" w:color="auto" w:fill="auto"/>
            <w:vAlign w:val="center"/>
          </w:tcPr>
          <w:p w14:paraId="04198388" w14:textId="5EA1673C"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Zgodność projektu z zasadą deinstytucjonalizacji</w:t>
            </w:r>
          </w:p>
          <w:p w14:paraId="61D7BDDD"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2C9BAFBD"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14:paraId="6BB1A113"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realizacja takiego wsparcia ma się przyczynić do wzrostu liczby miejsc świadczenia usług w społeczności lokalnej oraz liczby osób objętych usługami świadczonymi w społeczności lokalnej.</w:t>
            </w:r>
          </w:p>
          <w:p w14:paraId="1B9978C4"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działania w ramach projektu mają być oddzielone operacyjnie i finansowo od podstawowej działalności placówki realizującej wsparcie.</w:t>
            </w:r>
          </w:p>
          <w:p w14:paraId="69BAC6C6"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Weryfikacja na podstawie danych zawartych we wniosku o dofinansowanie projektu.</w:t>
            </w:r>
          </w:p>
        </w:tc>
        <w:tc>
          <w:tcPr>
            <w:tcW w:w="2268" w:type="dxa"/>
            <w:tcBorders>
              <w:bottom w:val="nil"/>
            </w:tcBorders>
            <w:vAlign w:val="center"/>
          </w:tcPr>
          <w:p w14:paraId="3D68966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05E227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665DFD09"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3EC12434" w14:textId="4A063BA4" w:rsidR="00736ABD" w:rsidRPr="002677FC" w:rsidRDefault="00736ABD" w:rsidP="006C034D">
            <w:pPr>
              <w:spacing w:after="60" w:line="276" w:lineRule="auto"/>
              <w:rPr>
                <w:rFonts w:ascii="Arial" w:eastAsia="Times New Roman" w:hAnsi="Arial" w:cs="Arial"/>
              </w:rPr>
            </w:pPr>
          </w:p>
        </w:tc>
      </w:tr>
      <w:tr w:rsidR="00736ABD" w:rsidRPr="002677FC" w14:paraId="4C111366" w14:textId="77777777" w:rsidTr="002868D6">
        <w:tc>
          <w:tcPr>
            <w:tcW w:w="3114" w:type="dxa"/>
            <w:vMerge/>
            <w:shd w:val="clear" w:color="auto" w:fill="auto"/>
            <w:vAlign w:val="center"/>
          </w:tcPr>
          <w:p w14:paraId="37CCF70D"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4D2E7E0C"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0BA6616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08F3C4D3"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AD297AA" w14:textId="77777777" w:rsidR="00736ABD" w:rsidRPr="002677FC" w:rsidRDefault="00736ABD" w:rsidP="006C034D">
            <w:pPr>
              <w:spacing w:after="60" w:line="276" w:lineRule="auto"/>
              <w:rPr>
                <w:rFonts w:ascii="Arial" w:eastAsia="Times New Roman" w:hAnsi="Arial" w:cs="Arial"/>
              </w:rPr>
            </w:pPr>
          </w:p>
        </w:tc>
      </w:tr>
      <w:tr w:rsidR="00736ABD" w:rsidRPr="002677FC" w14:paraId="2A6D6D1F" w14:textId="77777777" w:rsidTr="002868D6">
        <w:tc>
          <w:tcPr>
            <w:tcW w:w="3114" w:type="dxa"/>
            <w:vMerge/>
            <w:shd w:val="clear" w:color="auto" w:fill="auto"/>
            <w:vAlign w:val="center"/>
          </w:tcPr>
          <w:p w14:paraId="46220433"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2207F1B2"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25CFF2FC" w14:textId="5238EE12"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35A985A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4379959C" w14:textId="77777777" w:rsidR="00736ABD" w:rsidRPr="002677FC" w:rsidRDefault="00736ABD" w:rsidP="006C034D">
            <w:pPr>
              <w:spacing w:after="60" w:line="276" w:lineRule="auto"/>
              <w:rPr>
                <w:rFonts w:ascii="Arial" w:eastAsia="Times New Roman" w:hAnsi="Arial" w:cs="Arial"/>
              </w:rPr>
            </w:pPr>
          </w:p>
        </w:tc>
      </w:tr>
      <w:tr w:rsidR="00736ABD" w:rsidRPr="002677FC" w14:paraId="086D6B6A" w14:textId="77777777" w:rsidTr="002868D6">
        <w:tc>
          <w:tcPr>
            <w:tcW w:w="3114" w:type="dxa"/>
            <w:vMerge w:val="restart"/>
            <w:shd w:val="clear" w:color="auto" w:fill="auto"/>
            <w:vAlign w:val="center"/>
          </w:tcPr>
          <w:p w14:paraId="3B562949" w14:textId="5D1A972C"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Adekwatność celu projektu i poprawność przyjętych wskaźników</w:t>
            </w:r>
          </w:p>
          <w:p w14:paraId="737AA3AB"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42E5C245"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 ramach kryterium ocenie podlega:</w:t>
            </w:r>
          </w:p>
          <w:p w14:paraId="035AA152" w14:textId="77777777" w:rsidR="00736ABD" w:rsidRPr="002677FC" w:rsidRDefault="00736ABD" w:rsidP="006C034D">
            <w:pPr>
              <w:numPr>
                <w:ilvl w:val="0"/>
                <w:numId w:val="11"/>
              </w:numPr>
              <w:spacing w:after="60" w:line="276" w:lineRule="auto"/>
              <w:rPr>
                <w:rFonts w:ascii="Arial" w:eastAsia="Times New Roman" w:hAnsi="Arial" w:cs="Arial"/>
                <w:lang w:val="x-none" w:eastAsia="pl-PL"/>
              </w:rPr>
            </w:pPr>
            <w:r w:rsidRPr="002677FC">
              <w:rPr>
                <w:rFonts w:ascii="Arial" w:eastAsia="Times New Roman" w:hAnsi="Arial" w:cs="Arial"/>
                <w:lang w:val="x-none" w:eastAsia="pl-PL"/>
              </w:rPr>
              <w:t>zgodność celu projektu z celem szczegółowym wskazanym w SzOP dla danego Działania w wersji aktualnej na dzień ogłoszenia naboru</w:t>
            </w:r>
            <w:r w:rsidRPr="002677FC">
              <w:rPr>
                <w:rFonts w:ascii="Arial" w:eastAsia="Times New Roman" w:hAnsi="Arial" w:cs="Arial"/>
                <w:lang w:eastAsia="pl-PL"/>
              </w:rPr>
              <w:t>.</w:t>
            </w:r>
          </w:p>
          <w:p w14:paraId="46EB6882" w14:textId="77777777" w:rsidR="00736ABD" w:rsidRPr="002677FC" w:rsidRDefault="00736ABD" w:rsidP="006C034D">
            <w:pPr>
              <w:numPr>
                <w:ilvl w:val="0"/>
                <w:numId w:val="11"/>
              </w:numPr>
              <w:spacing w:after="60" w:line="276" w:lineRule="auto"/>
              <w:ind w:left="322" w:hanging="322"/>
              <w:rPr>
                <w:rFonts w:ascii="Arial" w:eastAsia="Times New Roman" w:hAnsi="Arial" w:cs="Arial"/>
                <w:lang w:val="x-none" w:eastAsia="pl-PL"/>
              </w:rPr>
            </w:pPr>
            <w:r w:rsidRPr="002677FC">
              <w:rPr>
                <w:rFonts w:ascii="Arial" w:eastAsia="Times New Roman" w:hAnsi="Arial" w:cs="Arial"/>
                <w:lang w:val="x-none" w:eastAsia="pl-PL"/>
              </w:rPr>
              <w:t>adekwatność celu projektu do zdiagnozowanych problemów grupy docelowej w ramach projektu</w:t>
            </w:r>
            <w:r w:rsidRPr="002677FC">
              <w:rPr>
                <w:rFonts w:ascii="Arial" w:eastAsia="Times New Roman" w:hAnsi="Arial" w:cs="Arial"/>
                <w:lang w:eastAsia="pl-PL"/>
              </w:rPr>
              <w:t>.</w:t>
            </w:r>
          </w:p>
          <w:p w14:paraId="50151306" w14:textId="77777777" w:rsidR="00736ABD" w:rsidRPr="002677FC" w:rsidRDefault="00736ABD" w:rsidP="006C034D">
            <w:pPr>
              <w:numPr>
                <w:ilvl w:val="0"/>
                <w:numId w:val="11"/>
              </w:numPr>
              <w:spacing w:after="60" w:line="276" w:lineRule="auto"/>
              <w:rPr>
                <w:rFonts w:ascii="Arial" w:eastAsia="Times New Roman" w:hAnsi="Arial" w:cs="Arial"/>
                <w:lang w:val="x-none" w:eastAsia="x-none"/>
              </w:rPr>
            </w:pPr>
            <w:r w:rsidRPr="002677FC">
              <w:rPr>
                <w:rFonts w:ascii="Arial" w:eastAsia="Times New Roman" w:hAnsi="Arial" w:cs="Arial"/>
                <w:lang w:val="x-none" w:eastAsia="pl-PL"/>
              </w:rPr>
              <w:t>poprawność przyjętych wskaźników, w tym</w:t>
            </w:r>
            <w:r w:rsidRPr="002677FC">
              <w:rPr>
                <w:rFonts w:ascii="Arial" w:eastAsia="Times New Roman" w:hAnsi="Arial" w:cs="Arial"/>
                <w:lang w:val="x-none" w:eastAsia="x-none"/>
              </w:rPr>
              <w:t>:</w:t>
            </w:r>
          </w:p>
          <w:p w14:paraId="5387B82D" w14:textId="77777777" w:rsidR="00736ABD" w:rsidRPr="002677FC" w:rsidRDefault="00736ABD" w:rsidP="006C034D">
            <w:pPr>
              <w:numPr>
                <w:ilvl w:val="0"/>
                <w:numId w:val="3"/>
              </w:numPr>
              <w:spacing w:after="60" w:line="276" w:lineRule="auto"/>
              <w:ind w:left="605" w:hanging="218"/>
              <w:rPr>
                <w:rFonts w:ascii="Arial" w:eastAsia="Times New Roman" w:hAnsi="Arial" w:cs="Arial"/>
                <w:lang w:val="x-none" w:eastAsia="pl-PL"/>
              </w:rPr>
            </w:pPr>
            <w:r w:rsidRPr="002677FC">
              <w:rPr>
                <w:rFonts w:ascii="Arial" w:eastAsia="Times New Roman" w:hAnsi="Arial" w:cs="Arial"/>
                <w:lang w:val="x-none" w:eastAsia="pl-PL"/>
              </w:rPr>
              <w:t>poprawność doboru wskaźników realizacji celu projektu,</w:t>
            </w:r>
          </w:p>
          <w:p w14:paraId="18B17EE0" w14:textId="77777777" w:rsidR="00E36803" w:rsidRPr="002677FC" w:rsidRDefault="00736ABD" w:rsidP="006C034D">
            <w:pPr>
              <w:numPr>
                <w:ilvl w:val="0"/>
                <w:numId w:val="3"/>
              </w:numPr>
              <w:spacing w:after="60" w:line="276" w:lineRule="auto"/>
              <w:ind w:left="605" w:hanging="218"/>
              <w:rPr>
                <w:rFonts w:ascii="Arial" w:eastAsia="Times New Roman" w:hAnsi="Arial" w:cs="Arial"/>
                <w:lang w:val="x-none" w:eastAsia="pl-PL"/>
              </w:rPr>
            </w:pPr>
            <w:r w:rsidRPr="002677FC">
              <w:rPr>
                <w:rFonts w:ascii="Arial" w:eastAsia="Times New Roman" w:hAnsi="Arial" w:cs="Arial"/>
                <w:lang w:val="x-none" w:eastAsia="pl-PL"/>
              </w:rPr>
              <w:t>adekwatność wartości wskaźników produktu i rezultatu do zaplanowanych w projekcie działań,</w:t>
            </w:r>
          </w:p>
          <w:p w14:paraId="6C5D19C2" w14:textId="77777777" w:rsidR="00736ABD" w:rsidRPr="002677FC" w:rsidRDefault="00736ABD" w:rsidP="006C034D">
            <w:pPr>
              <w:numPr>
                <w:ilvl w:val="0"/>
                <w:numId w:val="3"/>
              </w:numPr>
              <w:spacing w:after="60" w:line="276" w:lineRule="auto"/>
              <w:ind w:left="605" w:hanging="218"/>
              <w:rPr>
                <w:rFonts w:ascii="Arial" w:eastAsia="Times New Roman" w:hAnsi="Arial" w:cs="Arial"/>
                <w:lang w:val="x-none" w:eastAsia="pl-PL"/>
              </w:rPr>
            </w:pPr>
            <w:r w:rsidRPr="002677FC">
              <w:rPr>
                <w:rFonts w:ascii="Arial" w:eastAsia="Times New Roman" w:hAnsi="Arial" w:cs="Arial"/>
                <w:lang w:val="x-none" w:eastAsia="pl-PL"/>
              </w:rPr>
              <w:t>poprawność opisu sposobu pomiaru wskaźników produktu i rezultatu.</w:t>
            </w:r>
          </w:p>
        </w:tc>
        <w:tc>
          <w:tcPr>
            <w:tcW w:w="2274" w:type="dxa"/>
            <w:gridSpan w:val="2"/>
            <w:tcBorders>
              <w:bottom w:val="nil"/>
            </w:tcBorders>
            <w:vAlign w:val="center"/>
          </w:tcPr>
          <w:p w14:paraId="4AB22522"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F47545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5E7BFA14"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5535B4F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6A001F5C" w14:textId="77777777" w:rsidTr="002868D6">
        <w:tc>
          <w:tcPr>
            <w:tcW w:w="3114" w:type="dxa"/>
            <w:vMerge/>
            <w:shd w:val="clear" w:color="auto" w:fill="auto"/>
            <w:vAlign w:val="center"/>
          </w:tcPr>
          <w:p w14:paraId="68BE6DA3"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C8105E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CCBE97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5C7B0BA"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8D3A223" w14:textId="77777777" w:rsidR="00736ABD" w:rsidRPr="002677FC" w:rsidRDefault="00736ABD" w:rsidP="006C034D">
            <w:pPr>
              <w:spacing w:after="60" w:line="276" w:lineRule="auto"/>
              <w:rPr>
                <w:rFonts w:ascii="Arial" w:eastAsia="Times New Roman" w:hAnsi="Arial" w:cs="Arial"/>
              </w:rPr>
            </w:pPr>
          </w:p>
        </w:tc>
      </w:tr>
      <w:tr w:rsidR="00736ABD" w:rsidRPr="002677FC" w14:paraId="718A3762" w14:textId="77777777" w:rsidTr="002868D6">
        <w:tc>
          <w:tcPr>
            <w:tcW w:w="3114" w:type="dxa"/>
            <w:vMerge/>
            <w:shd w:val="clear" w:color="auto" w:fill="auto"/>
            <w:vAlign w:val="center"/>
          </w:tcPr>
          <w:p w14:paraId="21BFF5F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C4D0EDA"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33FAB86" w14:textId="67184E0E"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CA3DD7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0574EBE4" w14:textId="77777777" w:rsidR="00736ABD" w:rsidRPr="002677FC" w:rsidRDefault="00736ABD" w:rsidP="006C034D">
            <w:pPr>
              <w:spacing w:after="60" w:line="276" w:lineRule="auto"/>
              <w:rPr>
                <w:rFonts w:ascii="Arial" w:eastAsia="Times New Roman" w:hAnsi="Arial" w:cs="Arial"/>
              </w:rPr>
            </w:pPr>
          </w:p>
        </w:tc>
      </w:tr>
      <w:tr w:rsidR="00736ABD" w:rsidRPr="002677FC" w14:paraId="46E215D7" w14:textId="77777777" w:rsidTr="002868D6">
        <w:tc>
          <w:tcPr>
            <w:tcW w:w="3114" w:type="dxa"/>
            <w:vMerge w:val="restart"/>
            <w:shd w:val="clear" w:color="auto" w:fill="auto"/>
            <w:vAlign w:val="center"/>
          </w:tcPr>
          <w:p w14:paraId="323CF89B" w14:textId="4C960922" w:rsidR="00736ABD" w:rsidRPr="002677FC" w:rsidRDefault="00736ABD" w:rsidP="006C034D">
            <w:pPr>
              <w:pStyle w:val="Akapitzlist"/>
              <w:numPr>
                <w:ilvl w:val="0"/>
                <w:numId w:val="24"/>
              </w:numPr>
              <w:spacing w:after="0"/>
              <w:rPr>
                <w:rFonts w:ascii="Arial" w:hAnsi="Arial" w:cs="Arial"/>
                <w:b/>
              </w:rPr>
            </w:pPr>
            <w:r w:rsidRPr="002677FC">
              <w:rPr>
                <w:rFonts w:ascii="Arial" w:hAnsi="Arial" w:cs="Arial"/>
                <w:b/>
              </w:rPr>
              <w:t>Sposób zarządzania projektem oraz zadania zlecone i rola partnerów</w:t>
            </w:r>
            <w:r w:rsidR="00030ACA" w:rsidRPr="002677FC">
              <w:rPr>
                <w:rFonts w:ascii="Arial" w:hAnsi="Arial" w:cs="Arial"/>
                <w:b/>
              </w:rPr>
              <w:t xml:space="preserve"> </w:t>
            </w:r>
            <w:r w:rsidRPr="002677FC">
              <w:rPr>
                <w:rFonts w:ascii="Arial" w:hAnsi="Arial" w:cs="Arial"/>
                <w:b/>
              </w:rPr>
              <w:t>(jeśli dotyczy)</w:t>
            </w:r>
          </w:p>
          <w:p w14:paraId="681A2720" w14:textId="77777777" w:rsidR="00736ABD" w:rsidRPr="002677FC" w:rsidRDefault="00736ABD" w:rsidP="006C034D">
            <w:pPr>
              <w:spacing w:after="60" w:line="276" w:lineRule="auto"/>
              <w:rPr>
                <w:rFonts w:ascii="Arial" w:hAnsi="Arial" w:cs="Arial"/>
                <w:b/>
                <w:lang w:eastAsia="pl-PL"/>
              </w:rPr>
            </w:pPr>
          </w:p>
        </w:tc>
        <w:tc>
          <w:tcPr>
            <w:tcW w:w="6095" w:type="dxa"/>
            <w:vMerge w:val="restart"/>
            <w:shd w:val="clear" w:color="auto" w:fill="auto"/>
            <w:vAlign w:val="center"/>
          </w:tcPr>
          <w:p w14:paraId="4E5BE824" w14:textId="77777777" w:rsidR="00736ABD" w:rsidRPr="002677FC" w:rsidRDefault="00736ABD" w:rsidP="006C034D">
            <w:pPr>
              <w:spacing w:after="60" w:line="276" w:lineRule="auto"/>
              <w:rPr>
                <w:rFonts w:ascii="Arial" w:hAnsi="Arial" w:cs="Arial"/>
              </w:rPr>
            </w:pPr>
            <w:r w:rsidRPr="002677FC">
              <w:rPr>
                <w:rFonts w:ascii="Arial" w:hAnsi="Arial" w:cs="Arial"/>
              </w:rPr>
              <w:t>Ocena prowadzona jest w ramach subkryteriów:</w:t>
            </w:r>
          </w:p>
          <w:p w14:paraId="36E58E09" w14:textId="77777777" w:rsidR="00736ABD" w:rsidRPr="002677FC" w:rsidRDefault="00736ABD" w:rsidP="006C034D">
            <w:pPr>
              <w:numPr>
                <w:ilvl w:val="0"/>
                <w:numId w:val="12"/>
              </w:numPr>
              <w:spacing w:after="60" w:line="276" w:lineRule="auto"/>
              <w:rPr>
                <w:rFonts w:ascii="Arial" w:hAnsi="Arial" w:cs="Arial"/>
                <w:b/>
                <w:lang w:eastAsia="pl-PL"/>
              </w:rPr>
            </w:pPr>
            <w:r w:rsidRPr="002677FC">
              <w:rPr>
                <w:rFonts w:ascii="Arial" w:hAnsi="Arial" w:cs="Arial"/>
                <w:b/>
                <w:lang w:eastAsia="pl-PL"/>
              </w:rPr>
              <w:t>sposób zarządzania projektem:</w:t>
            </w:r>
          </w:p>
          <w:p w14:paraId="1F86CAC2"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111D4600" w14:textId="06B59661"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kompletność i spójność opisu sposobu zarządzania projektem, w tym:</w:t>
            </w:r>
          </w:p>
          <w:p w14:paraId="2B133974" w14:textId="7F56B7DD"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podział obowiązków i zakres zadań na poszczególnych stanowiskach,</w:t>
            </w:r>
          </w:p>
          <w:p w14:paraId="1B8FED9C" w14:textId="3CD89511"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wymiar zaangażowania personelu,</w:t>
            </w:r>
          </w:p>
          <w:p w14:paraId="7B9B44AC" w14:textId="77777777" w:rsidR="00736ABD" w:rsidRPr="002677FC" w:rsidRDefault="00736ABD" w:rsidP="006C034D">
            <w:pPr>
              <w:numPr>
                <w:ilvl w:val="0"/>
                <w:numId w:val="2"/>
              </w:numPr>
              <w:spacing w:after="60" w:line="276" w:lineRule="auto"/>
              <w:ind w:left="992" w:hanging="357"/>
              <w:rPr>
                <w:rFonts w:ascii="Arial" w:hAnsi="Arial" w:cs="Arial"/>
                <w:lang w:eastAsia="pl-PL"/>
              </w:rPr>
            </w:pPr>
            <w:r w:rsidRPr="002677FC">
              <w:rPr>
                <w:rFonts w:ascii="Arial" w:hAnsi="Arial" w:cs="Arial"/>
                <w:lang w:eastAsia="pl-PL"/>
              </w:rPr>
              <w:t>sposób podejmowania decyzji.</w:t>
            </w:r>
          </w:p>
          <w:p w14:paraId="0EA673DF" w14:textId="77777777" w:rsidR="00736ABD" w:rsidRPr="002677FC" w:rsidRDefault="00736ABD" w:rsidP="006C034D">
            <w:pPr>
              <w:numPr>
                <w:ilvl w:val="0"/>
                <w:numId w:val="12"/>
              </w:numPr>
              <w:spacing w:after="60" w:line="276" w:lineRule="auto"/>
              <w:ind w:left="286" w:hanging="286"/>
              <w:rPr>
                <w:rFonts w:ascii="Arial" w:hAnsi="Arial" w:cs="Arial"/>
                <w:b/>
                <w:lang w:eastAsia="pl-PL"/>
              </w:rPr>
            </w:pPr>
            <w:r w:rsidRPr="002677FC">
              <w:rPr>
                <w:rFonts w:ascii="Arial" w:hAnsi="Arial" w:cs="Arial"/>
                <w:b/>
                <w:lang w:eastAsia="pl-PL"/>
              </w:rPr>
              <w:t>rola partnerów lub innych podmiotów zaangażowanych w realizację projektu (jeśli dotyczy)</w:t>
            </w:r>
          </w:p>
          <w:p w14:paraId="22B7EF61"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05672D04" w14:textId="77777777"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vAlign w:val="center"/>
          </w:tcPr>
          <w:p w14:paraId="62369E9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46EB9C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6DB0176"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1AD3B56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A3630DA" w14:textId="77777777" w:rsidTr="002868D6">
        <w:tc>
          <w:tcPr>
            <w:tcW w:w="3114" w:type="dxa"/>
            <w:vMerge/>
            <w:shd w:val="clear" w:color="auto" w:fill="auto"/>
            <w:vAlign w:val="center"/>
          </w:tcPr>
          <w:p w14:paraId="6A6CBD82"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68AF0D59"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1EA00978"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7C97F6EA"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6CE8634B" w14:textId="77777777" w:rsidR="00736ABD" w:rsidRPr="002677FC" w:rsidRDefault="00736ABD" w:rsidP="006C034D">
            <w:pPr>
              <w:spacing w:after="60" w:line="276" w:lineRule="auto"/>
              <w:rPr>
                <w:rFonts w:ascii="Arial" w:eastAsia="Times New Roman" w:hAnsi="Arial" w:cs="Arial"/>
              </w:rPr>
            </w:pPr>
          </w:p>
        </w:tc>
      </w:tr>
      <w:tr w:rsidR="00736ABD" w:rsidRPr="002677FC" w14:paraId="749B331D" w14:textId="77777777" w:rsidTr="002868D6">
        <w:tc>
          <w:tcPr>
            <w:tcW w:w="3114" w:type="dxa"/>
            <w:vMerge/>
            <w:shd w:val="clear" w:color="auto" w:fill="auto"/>
            <w:vAlign w:val="center"/>
          </w:tcPr>
          <w:p w14:paraId="7BFCF7BA"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32B8A749"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70F67A27" w14:textId="6B4992D5"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3AB913D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693A1742" w14:textId="77777777" w:rsidR="00736ABD" w:rsidRPr="002677FC" w:rsidRDefault="00736ABD" w:rsidP="006C034D">
            <w:pPr>
              <w:spacing w:after="60" w:line="276" w:lineRule="auto"/>
              <w:rPr>
                <w:rFonts w:ascii="Arial" w:eastAsia="Times New Roman" w:hAnsi="Arial" w:cs="Arial"/>
              </w:rPr>
            </w:pPr>
          </w:p>
        </w:tc>
      </w:tr>
      <w:tr w:rsidR="00736ABD" w:rsidRPr="002677FC" w14:paraId="13864190" w14:textId="77777777" w:rsidTr="002868D6">
        <w:tc>
          <w:tcPr>
            <w:tcW w:w="3114" w:type="dxa"/>
            <w:vMerge w:val="restart"/>
            <w:shd w:val="clear" w:color="auto" w:fill="auto"/>
            <w:vAlign w:val="center"/>
          </w:tcPr>
          <w:p w14:paraId="15F6B7CF" w14:textId="7E7FB9BC"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Poprawność montażu finansowego projektu i sporządzenia tabel finansowych</w:t>
            </w:r>
          </w:p>
          <w:p w14:paraId="34F6391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4F83C35" w14:textId="3121FF9E" w:rsidR="00736ABD" w:rsidRPr="002677FC" w:rsidRDefault="00736ABD"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677FC">
              <w:rPr>
                <w:rFonts w:ascii="Arial" w:hAnsi="Arial" w:cs="Arial"/>
              </w:rPr>
              <w:t xml:space="preserve"> w wersji aktualnej na dzień ogłaszania naboru, SzOP w wersji aktualnej na dzień </w:t>
            </w:r>
            <w:r w:rsidR="00060360" w:rsidRPr="002677FC">
              <w:rPr>
                <w:rFonts w:ascii="Arial" w:hAnsi="Arial" w:cs="Arial"/>
              </w:rPr>
              <w:t>ogłaszania</w:t>
            </w:r>
            <w:r w:rsidRPr="002677FC">
              <w:rPr>
                <w:rFonts w:ascii="Arial" w:hAnsi="Arial" w:cs="Arial"/>
              </w:rPr>
              <w:t xml:space="preserve"> naboru</w:t>
            </w:r>
            <w:r w:rsidRPr="002677FC">
              <w:rPr>
                <w:rFonts w:ascii="Arial" w:eastAsia="Times New Roman" w:hAnsi="Arial" w:cs="Arial"/>
                <w:i/>
                <w:lang w:eastAsia="pl-PL"/>
              </w:rPr>
              <w:t xml:space="preserve"> </w:t>
            </w:r>
            <w:r w:rsidRPr="002677FC">
              <w:rPr>
                <w:rFonts w:ascii="Arial" w:eastAsia="Times New Roman" w:hAnsi="Arial" w:cs="Arial"/>
                <w:lang w:eastAsia="pl-PL"/>
              </w:rPr>
              <w:t>i Regulaminie naboru wniosków, w tym w szczególności w zakresie:</w:t>
            </w:r>
          </w:p>
          <w:p w14:paraId="222AA0D6" w14:textId="77777777" w:rsidR="00736ABD" w:rsidRPr="002677FC" w:rsidRDefault="00736ABD" w:rsidP="006C034D">
            <w:pPr>
              <w:numPr>
                <w:ilvl w:val="0"/>
                <w:numId w:val="13"/>
              </w:numPr>
              <w:spacing w:after="60" w:line="276" w:lineRule="auto"/>
              <w:ind w:left="460" w:hanging="422"/>
              <w:rPr>
                <w:rFonts w:ascii="Arial" w:eastAsia="Times New Roman" w:hAnsi="Arial" w:cs="Arial"/>
                <w:lang w:eastAsia="pl-PL"/>
              </w:rPr>
            </w:pPr>
            <w:r w:rsidRPr="002677FC">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14:paraId="5868F494"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całkowitej wartości projektu (jeśli dotyczy),</w:t>
            </w:r>
          </w:p>
          <w:p w14:paraId="4D7BAC81" w14:textId="5BDB89B6"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minimalnej i maksymalnej wartości wydatków kwalifikowalnych projektu (jeśli dotyczy),</w:t>
            </w:r>
          </w:p>
          <w:p w14:paraId="1C95A96E"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katalogu wydatków niekwalifikowalnych (jeśli dotyczy),</w:t>
            </w:r>
          </w:p>
          <w:p w14:paraId="3491AF43"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kosztów pośrednich (jeśli dotyczy),</w:t>
            </w:r>
          </w:p>
          <w:p w14:paraId="53FD700F"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stosowania uproszczonych metod rozliczania wydatków (jeśli dotyczy),</w:t>
            </w:r>
          </w:p>
          <w:p w14:paraId="3CC0DDAB"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finansowania krzyżowego (jeśli dotyczy),</w:t>
            </w:r>
          </w:p>
          <w:p w14:paraId="4E04CA61"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zgodności z cenami rynkowymi określonymi w Regulaminie naboru wniosków (jeśli dotyczy),</w:t>
            </w:r>
          </w:p>
          <w:p w14:paraId="28D4BC3D"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sporządzenia tabel finansowych.</w:t>
            </w:r>
          </w:p>
        </w:tc>
        <w:tc>
          <w:tcPr>
            <w:tcW w:w="2274" w:type="dxa"/>
            <w:gridSpan w:val="2"/>
            <w:tcBorders>
              <w:bottom w:val="nil"/>
            </w:tcBorders>
            <w:vAlign w:val="center"/>
          </w:tcPr>
          <w:p w14:paraId="0446313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3DA3E7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69BBD11"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0FB0FA7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18095C05" w14:textId="77777777" w:rsidTr="002868D6">
        <w:tc>
          <w:tcPr>
            <w:tcW w:w="3114" w:type="dxa"/>
            <w:vMerge/>
            <w:shd w:val="clear" w:color="auto" w:fill="auto"/>
            <w:vAlign w:val="center"/>
          </w:tcPr>
          <w:p w14:paraId="208DF4F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0FBCF20"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5745A9D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6922F59"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12F20C7" w14:textId="77777777" w:rsidR="00736ABD" w:rsidRPr="002677FC" w:rsidRDefault="00736ABD" w:rsidP="006C034D">
            <w:pPr>
              <w:spacing w:after="60" w:line="276" w:lineRule="auto"/>
              <w:rPr>
                <w:rFonts w:ascii="Arial" w:eastAsia="Times New Roman" w:hAnsi="Arial" w:cs="Arial"/>
              </w:rPr>
            </w:pPr>
          </w:p>
        </w:tc>
      </w:tr>
      <w:tr w:rsidR="00736ABD" w:rsidRPr="002677FC" w14:paraId="25703850" w14:textId="77777777" w:rsidTr="002868D6">
        <w:trPr>
          <w:trHeight w:val="381"/>
        </w:trPr>
        <w:tc>
          <w:tcPr>
            <w:tcW w:w="3114" w:type="dxa"/>
            <w:vMerge/>
            <w:shd w:val="clear" w:color="auto" w:fill="auto"/>
            <w:vAlign w:val="center"/>
          </w:tcPr>
          <w:p w14:paraId="3A1BEA9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C041E63"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250EB341" w14:textId="0C63C3C1"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3FFF7EA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47ABD0A6" w14:textId="77777777" w:rsidR="00736ABD" w:rsidRPr="002677FC" w:rsidRDefault="00736ABD" w:rsidP="006C034D">
            <w:pPr>
              <w:spacing w:after="60" w:line="276" w:lineRule="auto"/>
              <w:rPr>
                <w:rFonts w:ascii="Arial" w:eastAsia="Times New Roman" w:hAnsi="Arial" w:cs="Arial"/>
              </w:rPr>
            </w:pPr>
          </w:p>
        </w:tc>
      </w:tr>
      <w:tr w:rsidR="00736ABD" w:rsidRPr="002677FC" w14:paraId="388028A3" w14:textId="77777777" w:rsidTr="002868D6">
        <w:tc>
          <w:tcPr>
            <w:tcW w:w="3114" w:type="dxa"/>
            <w:vMerge w:val="restart"/>
            <w:shd w:val="clear" w:color="auto" w:fill="auto"/>
            <w:vAlign w:val="center"/>
          </w:tcPr>
          <w:p w14:paraId="589A63C1" w14:textId="1F744934"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z zasadami pomocy publicznej / pomocy de minimis</w:t>
            </w:r>
          </w:p>
          <w:p w14:paraId="35F1B78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151BB7A0"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14:paraId="63604453" w14:textId="77777777" w:rsidR="00736ABD" w:rsidRPr="002677FC" w:rsidRDefault="00736ABD"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czy w projekcie występuje pomoc publiczna lub pomoc de minimis w kontekście form wsparcia, wydatków i grup docelowych.</w:t>
            </w:r>
          </w:p>
          <w:p w14:paraId="7F29FDC3" w14:textId="0F4087B2" w:rsidR="00736ABD" w:rsidRPr="002677FC" w:rsidRDefault="005502F0"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m</w:t>
            </w:r>
            <w:r w:rsidR="00736ABD" w:rsidRPr="002677FC">
              <w:rPr>
                <w:rFonts w:ascii="Arial" w:eastAsia="Times New Roman" w:hAnsi="Arial" w:cs="Arial"/>
                <w:lang w:eastAsia="pl-PL"/>
              </w:rPr>
              <w:t>ożliwość udzielenia pomocy de minimis / pomocy publicznej mając na względzie reguły ogólne jej przyznawania oraz warunki jej dopuszczalności w danym typie projektu.</w:t>
            </w:r>
          </w:p>
        </w:tc>
        <w:tc>
          <w:tcPr>
            <w:tcW w:w="2274" w:type="dxa"/>
            <w:gridSpan w:val="2"/>
            <w:tcBorders>
              <w:top w:val="single" w:sz="4" w:space="0" w:color="auto"/>
              <w:bottom w:val="nil"/>
            </w:tcBorders>
            <w:vAlign w:val="center"/>
          </w:tcPr>
          <w:p w14:paraId="08F92B5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5A0041B5"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56E590D3" w14:textId="77777777"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bottom w:val="nil"/>
            </w:tcBorders>
            <w:shd w:val="clear" w:color="auto" w:fill="auto"/>
            <w:vAlign w:val="center"/>
          </w:tcPr>
          <w:p w14:paraId="3FF1C0D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3A659B96" w14:textId="77777777" w:rsidTr="00FE0D88">
        <w:trPr>
          <w:trHeight w:val="938"/>
        </w:trPr>
        <w:tc>
          <w:tcPr>
            <w:tcW w:w="3114" w:type="dxa"/>
            <w:vMerge/>
            <w:shd w:val="clear" w:color="auto" w:fill="auto"/>
            <w:vAlign w:val="center"/>
          </w:tcPr>
          <w:p w14:paraId="27A3CCF5"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1FAA161"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70DDFEE"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0A547133"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64876CCB" w14:textId="77777777" w:rsidR="00736ABD" w:rsidRPr="002677FC" w:rsidRDefault="00736ABD" w:rsidP="006C034D">
            <w:pPr>
              <w:spacing w:after="60" w:line="276" w:lineRule="auto"/>
              <w:rPr>
                <w:rFonts w:ascii="Arial" w:eastAsia="Times New Roman" w:hAnsi="Arial" w:cs="Arial"/>
              </w:rPr>
            </w:pPr>
          </w:p>
        </w:tc>
      </w:tr>
      <w:tr w:rsidR="00736ABD" w:rsidRPr="002677FC" w14:paraId="0915057F" w14:textId="77777777" w:rsidTr="002868D6">
        <w:tc>
          <w:tcPr>
            <w:tcW w:w="3114" w:type="dxa"/>
            <w:vMerge/>
            <w:shd w:val="clear" w:color="auto" w:fill="auto"/>
            <w:vAlign w:val="center"/>
          </w:tcPr>
          <w:p w14:paraId="670E9C4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368E91B5"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678A9E5" w14:textId="6A343A0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2E1A613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nil"/>
            </w:tcBorders>
            <w:shd w:val="clear" w:color="auto" w:fill="auto"/>
            <w:vAlign w:val="center"/>
          </w:tcPr>
          <w:p w14:paraId="450FC568" w14:textId="77777777" w:rsidR="00736ABD" w:rsidRPr="002677FC" w:rsidRDefault="00736ABD" w:rsidP="006C034D">
            <w:pPr>
              <w:spacing w:after="60" w:line="276" w:lineRule="auto"/>
              <w:rPr>
                <w:rFonts w:ascii="Arial" w:eastAsia="Times New Roman" w:hAnsi="Arial" w:cs="Arial"/>
              </w:rPr>
            </w:pPr>
          </w:p>
        </w:tc>
      </w:tr>
      <w:tr w:rsidR="00736ABD" w:rsidRPr="002677FC" w14:paraId="057A6CC7" w14:textId="77777777" w:rsidTr="002868D6">
        <w:tc>
          <w:tcPr>
            <w:tcW w:w="3114" w:type="dxa"/>
            <w:vMerge w:val="restart"/>
            <w:shd w:val="clear" w:color="auto" w:fill="auto"/>
            <w:vAlign w:val="center"/>
          </w:tcPr>
          <w:p w14:paraId="69581352" w14:textId="5050F81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wydatków</w:t>
            </w:r>
          </w:p>
          <w:p w14:paraId="72EA132B"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18EE456B" w14:textId="103EF179"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W ramach kryterium ocenie podlega </w:t>
            </w:r>
            <w:r w:rsidRPr="002677FC">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07E9E9D3" w14:textId="77777777" w:rsidR="00736ABD" w:rsidRPr="002677FC" w:rsidRDefault="00736ABD" w:rsidP="006C034D">
            <w:pPr>
              <w:spacing w:after="60" w:line="276" w:lineRule="auto"/>
              <w:rPr>
                <w:rFonts w:ascii="Arial" w:hAnsi="Arial" w:cs="Arial"/>
              </w:rPr>
            </w:pPr>
            <w:r w:rsidRPr="002677FC">
              <w:rPr>
                <w:rFonts w:ascii="Arial" w:hAnsi="Arial" w:cs="Arial"/>
                <w:lang w:eastAsia="pl-PL"/>
              </w:rPr>
              <w:t>Ocena prowadzona jest w zakresie:</w:t>
            </w:r>
          </w:p>
          <w:p w14:paraId="33BBEFDC" w14:textId="77777777" w:rsidR="00736ABD" w:rsidRPr="002677FC" w:rsidRDefault="00736ABD" w:rsidP="006C034D">
            <w:pPr>
              <w:numPr>
                <w:ilvl w:val="0"/>
                <w:numId w:val="15"/>
              </w:numPr>
              <w:spacing w:after="60" w:line="276" w:lineRule="auto"/>
              <w:rPr>
                <w:rFonts w:ascii="Arial" w:hAnsi="Arial" w:cs="Arial"/>
                <w:lang w:eastAsia="pl-PL"/>
              </w:rPr>
            </w:pPr>
            <w:r w:rsidRPr="002677FC">
              <w:rPr>
                <w:rFonts w:ascii="Arial" w:hAnsi="Arial" w:cs="Arial"/>
                <w:lang w:eastAsia="pl-PL"/>
              </w:rPr>
              <w:t>niezbędności wydatków w kontekście celu głównego oraz zadań podejmowanych w projekcie,</w:t>
            </w:r>
          </w:p>
          <w:p w14:paraId="4BEDAB34" w14:textId="77777777" w:rsidR="00736ABD" w:rsidRPr="002677FC" w:rsidRDefault="00736ABD" w:rsidP="006C034D">
            <w:pPr>
              <w:numPr>
                <w:ilvl w:val="0"/>
                <w:numId w:val="15"/>
              </w:numPr>
              <w:spacing w:after="60" w:line="276" w:lineRule="auto"/>
              <w:ind w:left="348" w:hanging="301"/>
              <w:rPr>
                <w:rFonts w:ascii="Arial" w:hAnsi="Arial" w:cs="Arial"/>
                <w:b/>
                <w:lang w:eastAsia="pl-PL"/>
              </w:rPr>
            </w:pPr>
            <w:r w:rsidRPr="002677FC">
              <w:rPr>
                <w:rFonts w:ascii="Arial" w:hAnsi="Arial" w:cs="Arial"/>
                <w:lang w:eastAsia="pl-PL"/>
              </w:rPr>
              <w:t>efektywności i racjonalności zaplanowanych wydatków.</w:t>
            </w:r>
          </w:p>
          <w:p w14:paraId="77CDD363"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bottom w:val="nil"/>
            </w:tcBorders>
            <w:vAlign w:val="center"/>
          </w:tcPr>
          <w:p w14:paraId="2E33739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6E5BCE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68D8081" w14:textId="77777777" w:rsidR="00736ABD" w:rsidRPr="002677FC" w:rsidRDefault="00736ABD" w:rsidP="006C034D">
            <w:pPr>
              <w:spacing w:after="60" w:line="276" w:lineRule="auto"/>
              <w:rPr>
                <w:rFonts w:ascii="Arial" w:eastAsia="Times New Roman" w:hAnsi="Arial" w:cs="Arial"/>
              </w:rPr>
            </w:pPr>
          </w:p>
        </w:tc>
        <w:tc>
          <w:tcPr>
            <w:tcW w:w="964" w:type="dxa"/>
            <w:tcBorders>
              <w:bottom w:val="nil"/>
            </w:tcBorders>
            <w:shd w:val="clear" w:color="auto" w:fill="auto"/>
            <w:vAlign w:val="center"/>
          </w:tcPr>
          <w:p w14:paraId="6D87956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4848BE2A" w14:textId="77777777" w:rsidTr="002868D6">
        <w:tc>
          <w:tcPr>
            <w:tcW w:w="3114" w:type="dxa"/>
            <w:vMerge/>
            <w:shd w:val="clear" w:color="auto" w:fill="auto"/>
            <w:vAlign w:val="center"/>
          </w:tcPr>
          <w:p w14:paraId="44ABCD28"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DEA6096"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738800ED"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43988B45"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4E23A39E" w14:textId="77777777" w:rsidR="00736ABD" w:rsidRPr="002677FC" w:rsidRDefault="00736ABD" w:rsidP="006C034D">
            <w:pPr>
              <w:spacing w:after="60" w:line="276" w:lineRule="auto"/>
              <w:rPr>
                <w:rFonts w:ascii="Arial" w:eastAsia="Times New Roman" w:hAnsi="Arial" w:cs="Arial"/>
              </w:rPr>
            </w:pPr>
          </w:p>
        </w:tc>
      </w:tr>
      <w:tr w:rsidR="00736ABD" w:rsidRPr="002677FC" w14:paraId="3A61D617" w14:textId="77777777" w:rsidTr="006046F7">
        <w:tc>
          <w:tcPr>
            <w:tcW w:w="3114" w:type="dxa"/>
            <w:vMerge/>
            <w:shd w:val="clear" w:color="auto" w:fill="auto"/>
            <w:vAlign w:val="center"/>
          </w:tcPr>
          <w:p w14:paraId="29B41BF7"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DA189E0"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single" w:sz="4" w:space="0" w:color="auto"/>
            </w:tcBorders>
            <w:vAlign w:val="center"/>
          </w:tcPr>
          <w:p w14:paraId="39334A97" w14:textId="7DCA3114"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single" w:sz="4" w:space="0" w:color="auto"/>
            </w:tcBorders>
            <w:shd w:val="clear" w:color="auto" w:fill="auto"/>
            <w:vAlign w:val="center"/>
          </w:tcPr>
          <w:p w14:paraId="7FC1523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bottom w:val="single" w:sz="4" w:space="0" w:color="auto"/>
            </w:tcBorders>
            <w:shd w:val="clear" w:color="auto" w:fill="auto"/>
            <w:vAlign w:val="center"/>
          </w:tcPr>
          <w:p w14:paraId="367B7C71" w14:textId="77777777" w:rsidR="00736ABD" w:rsidRPr="002677FC" w:rsidRDefault="00736ABD" w:rsidP="006C034D">
            <w:pPr>
              <w:spacing w:after="60" w:line="276" w:lineRule="auto"/>
              <w:rPr>
                <w:rFonts w:ascii="Arial" w:eastAsia="Times New Roman" w:hAnsi="Arial" w:cs="Arial"/>
              </w:rPr>
            </w:pPr>
          </w:p>
        </w:tc>
      </w:tr>
      <w:tr w:rsidR="00736ABD" w:rsidRPr="002677FC" w14:paraId="3920DD5C" w14:textId="77777777" w:rsidTr="002868D6">
        <w:tc>
          <w:tcPr>
            <w:tcW w:w="3114" w:type="dxa"/>
            <w:vMerge w:val="restart"/>
            <w:shd w:val="clear" w:color="auto" w:fill="auto"/>
            <w:vAlign w:val="center"/>
          </w:tcPr>
          <w:p w14:paraId="7BA98E9E" w14:textId="127B851E"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Trwałość utworzonych miejsc świadczenia usług</w:t>
            </w:r>
          </w:p>
          <w:p w14:paraId="32D1385D" w14:textId="77777777" w:rsidR="00736ABD" w:rsidRPr="002677FC" w:rsidRDefault="00736ABD" w:rsidP="006C034D">
            <w:pPr>
              <w:spacing w:after="60" w:line="276" w:lineRule="auto"/>
              <w:rPr>
                <w:rFonts w:ascii="Arial" w:eastAsia="Times New Roman" w:hAnsi="Arial" w:cs="Arial"/>
                <w:b/>
              </w:rPr>
            </w:pPr>
          </w:p>
        </w:tc>
        <w:tc>
          <w:tcPr>
            <w:tcW w:w="6095" w:type="dxa"/>
            <w:vMerge w:val="restart"/>
            <w:tcBorders>
              <w:right w:val="single" w:sz="4" w:space="0" w:color="auto"/>
            </w:tcBorders>
            <w:shd w:val="clear" w:color="auto" w:fill="auto"/>
            <w:vAlign w:val="center"/>
          </w:tcPr>
          <w:p w14:paraId="1F6C1018" w14:textId="77777777" w:rsidR="00736ABD" w:rsidRPr="002677FC" w:rsidRDefault="00736ABD" w:rsidP="006C034D">
            <w:pPr>
              <w:spacing w:after="60" w:line="276" w:lineRule="auto"/>
              <w:rPr>
                <w:rFonts w:ascii="Arial" w:hAnsi="Arial" w:cs="Arial"/>
              </w:rPr>
            </w:pPr>
            <w:r w:rsidRPr="002677FC">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p>
          <w:p w14:paraId="0FB22710" w14:textId="77777777" w:rsidR="00736ABD" w:rsidRPr="002677FC" w:rsidRDefault="00736ABD" w:rsidP="006C034D">
            <w:pPr>
              <w:spacing w:after="60" w:line="276" w:lineRule="auto"/>
              <w:rPr>
                <w:rFonts w:ascii="Arial" w:hAnsi="Arial" w:cs="Arial"/>
              </w:rPr>
            </w:pPr>
            <w:r w:rsidRPr="002677FC">
              <w:rPr>
                <w:rFonts w:ascii="Arial" w:hAnsi="Arial" w:cs="Arial"/>
              </w:rPr>
              <w:t>Trwałość powinna być rozumiana jako instytucjonalna gotowość do świadczenia ww. usług. Trwałość powinna zostać zaplanowana co najmniej przez okres odpowiadający połowie okresu realizacji projektu.</w:t>
            </w:r>
          </w:p>
          <w:p w14:paraId="40914915" w14:textId="77777777" w:rsidR="00736ABD" w:rsidRPr="002677FC" w:rsidRDefault="00736ABD" w:rsidP="006C034D">
            <w:pPr>
              <w:spacing w:after="60" w:line="276" w:lineRule="auto"/>
              <w:rPr>
                <w:rFonts w:ascii="Arial" w:hAnsi="Arial" w:cs="Arial"/>
              </w:rPr>
            </w:pPr>
            <w:r w:rsidRPr="002677FC">
              <w:rPr>
                <w:rFonts w:ascii="Arial" w:hAnsi="Arial" w:cs="Arial"/>
              </w:rPr>
              <w:t>Weryfikacja na podstawie danych zawartych we wniosku o dofinansowanie projektu.</w:t>
            </w:r>
          </w:p>
        </w:tc>
        <w:tc>
          <w:tcPr>
            <w:tcW w:w="2274" w:type="dxa"/>
            <w:gridSpan w:val="2"/>
            <w:tcBorders>
              <w:top w:val="single" w:sz="4" w:space="0" w:color="auto"/>
              <w:left w:val="single" w:sz="4" w:space="0" w:color="auto"/>
              <w:bottom w:val="nil"/>
              <w:right w:val="single" w:sz="4" w:space="0" w:color="auto"/>
            </w:tcBorders>
            <w:vAlign w:val="center"/>
          </w:tcPr>
          <w:p w14:paraId="20AD944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3E1E45F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p w14:paraId="2A6F6E06"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single" w:sz="4" w:space="0" w:color="auto"/>
              <w:left w:val="single" w:sz="4" w:space="0" w:color="auto"/>
              <w:bottom w:val="nil"/>
              <w:right w:val="single" w:sz="4" w:space="0" w:color="auto"/>
            </w:tcBorders>
            <w:shd w:val="clear" w:color="auto" w:fill="auto"/>
            <w:vAlign w:val="center"/>
          </w:tcPr>
          <w:p w14:paraId="0FDCACBB" w14:textId="77777777" w:rsidR="00736ABD" w:rsidRPr="002677FC" w:rsidRDefault="00736ABD" w:rsidP="006C034D">
            <w:pPr>
              <w:spacing w:after="60" w:line="276" w:lineRule="auto"/>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14:paraId="1FDB3F87" w14:textId="2BE037C7" w:rsidR="00736ABD" w:rsidRPr="002677FC" w:rsidRDefault="00736ABD" w:rsidP="006C034D">
            <w:pPr>
              <w:spacing w:after="60" w:line="276" w:lineRule="auto"/>
              <w:rPr>
                <w:rFonts w:ascii="Arial" w:eastAsia="Times New Roman" w:hAnsi="Arial" w:cs="Arial"/>
                <w:highlight w:val="yellow"/>
              </w:rPr>
            </w:pPr>
          </w:p>
        </w:tc>
      </w:tr>
      <w:tr w:rsidR="00736ABD" w:rsidRPr="002677FC" w14:paraId="372B26A4" w14:textId="77777777" w:rsidTr="006046F7">
        <w:tc>
          <w:tcPr>
            <w:tcW w:w="3114" w:type="dxa"/>
            <w:vMerge/>
            <w:shd w:val="clear" w:color="auto" w:fill="auto"/>
            <w:vAlign w:val="center"/>
          </w:tcPr>
          <w:p w14:paraId="3CD8D88E" w14:textId="77777777" w:rsidR="00736ABD" w:rsidRPr="002677FC" w:rsidRDefault="00736ABD" w:rsidP="006C034D">
            <w:pPr>
              <w:spacing w:after="60" w:line="276" w:lineRule="auto"/>
              <w:rPr>
                <w:rFonts w:ascii="Arial" w:eastAsia="Times New Roman" w:hAnsi="Arial" w:cs="Arial"/>
                <w:b/>
              </w:rPr>
            </w:pPr>
          </w:p>
        </w:tc>
        <w:tc>
          <w:tcPr>
            <w:tcW w:w="6095" w:type="dxa"/>
            <w:vMerge/>
            <w:tcBorders>
              <w:right w:val="single" w:sz="4" w:space="0" w:color="auto"/>
            </w:tcBorders>
            <w:shd w:val="clear" w:color="auto" w:fill="auto"/>
            <w:vAlign w:val="center"/>
          </w:tcPr>
          <w:p w14:paraId="65F89A06" w14:textId="77777777" w:rsidR="00736ABD" w:rsidRPr="002677FC" w:rsidRDefault="00736ABD" w:rsidP="006C034D">
            <w:pPr>
              <w:spacing w:after="60" w:line="276" w:lineRule="auto"/>
              <w:rPr>
                <w:rFonts w:ascii="Arial" w:hAnsi="Arial" w:cs="Arial"/>
              </w:rPr>
            </w:pPr>
          </w:p>
        </w:tc>
        <w:tc>
          <w:tcPr>
            <w:tcW w:w="2274" w:type="dxa"/>
            <w:gridSpan w:val="2"/>
            <w:tcBorders>
              <w:top w:val="nil"/>
              <w:left w:val="single" w:sz="4" w:space="0" w:color="auto"/>
              <w:bottom w:val="single" w:sz="4" w:space="0" w:color="auto"/>
              <w:right w:val="single" w:sz="4" w:space="0" w:color="auto"/>
            </w:tcBorders>
            <w:vAlign w:val="center"/>
          </w:tcPr>
          <w:p w14:paraId="0D39BB3D" w14:textId="7ACA0E39"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vAlign w:val="center"/>
          </w:tcPr>
          <w:p w14:paraId="7AD0CB9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Rada LGD</w:t>
            </w:r>
          </w:p>
        </w:tc>
        <w:tc>
          <w:tcPr>
            <w:tcW w:w="964" w:type="dxa"/>
            <w:tcBorders>
              <w:top w:val="nil"/>
              <w:left w:val="single" w:sz="4" w:space="0" w:color="auto"/>
              <w:bottom w:val="single" w:sz="4" w:space="0" w:color="auto"/>
              <w:right w:val="single" w:sz="4" w:space="0" w:color="auto"/>
            </w:tcBorders>
            <w:shd w:val="clear" w:color="auto" w:fill="auto"/>
            <w:vAlign w:val="center"/>
          </w:tcPr>
          <w:p w14:paraId="371EE45A" w14:textId="77777777" w:rsidR="00736ABD" w:rsidRPr="002677FC" w:rsidRDefault="00736ABD" w:rsidP="006C034D">
            <w:pPr>
              <w:spacing w:after="60" w:line="276" w:lineRule="auto"/>
              <w:rPr>
                <w:rFonts w:ascii="Arial" w:eastAsia="Times New Roman" w:hAnsi="Arial" w:cs="Arial"/>
                <w:highlight w:val="yellow"/>
              </w:rPr>
            </w:pPr>
          </w:p>
        </w:tc>
      </w:tr>
    </w:tbl>
    <w:p w14:paraId="17323B89" w14:textId="77777777" w:rsidR="00736ABD" w:rsidRDefault="00736ABD"/>
    <w:sectPr w:rsidR="00736ABD" w:rsidSect="00060360">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5F898" w14:textId="77777777" w:rsidR="00B76DB3" w:rsidRDefault="00B76DB3" w:rsidP="004715A1">
      <w:pPr>
        <w:spacing w:after="0" w:line="240" w:lineRule="auto"/>
      </w:pPr>
      <w:r>
        <w:separator/>
      </w:r>
    </w:p>
  </w:endnote>
  <w:endnote w:type="continuationSeparator" w:id="0">
    <w:p w14:paraId="3416483F" w14:textId="77777777" w:rsidR="00B76DB3" w:rsidRDefault="00B76DB3" w:rsidP="0047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254595"/>
      <w:docPartObj>
        <w:docPartGallery w:val="Page Numbers (Bottom of Page)"/>
        <w:docPartUnique/>
      </w:docPartObj>
    </w:sdtPr>
    <w:sdtEndPr/>
    <w:sdtContent>
      <w:sdt>
        <w:sdtPr>
          <w:id w:val="-1769616900"/>
          <w:docPartObj>
            <w:docPartGallery w:val="Page Numbers (Top of Page)"/>
            <w:docPartUnique/>
          </w:docPartObj>
        </w:sdtPr>
        <w:sdtEndPr/>
        <w:sdtContent>
          <w:p w14:paraId="5E990367" w14:textId="10981F32" w:rsidR="00F20732" w:rsidRDefault="00F20732">
            <w:pPr>
              <w:pStyle w:val="Stopka"/>
              <w:jc w:val="right"/>
            </w:pPr>
            <w:r w:rsidRPr="00F20732">
              <w:rPr>
                <w:rFonts w:ascii="Times New Roman" w:hAnsi="Times New Roman" w:cs="Times New Roman"/>
                <w:sz w:val="20"/>
                <w:szCs w:val="20"/>
              </w:rPr>
              <w:t xml:space="preserve">Strona </w:t>
            </w:r>
            <w:r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PAGE</w:instrText>
            </w:r>
            <w:r w:rsidRPr="00F20732">
              <w:rPr>
                <w:rFonts w:ascii="Times New Roman" w:hAnsi="Times New Roman" w:cs="Times New Roman"/>
                <w:b/>
                <w:bCs/>
                <w:sz w:val="20"/>
                <w:szCs w:val="20"/>
              </w:rPr>
              <w:fldChar w:fldCharType="separate"/>
            </w:r>
            <w:r w:rsidR="009E7DAA">
              <w:rPr>
                <w:rFonts w:ascii="Times New Roman" w:hAnsi="Times New Roman" w:cs="Times New Roman"/>
                <w:b/>
                <w:bCs/>
                <w:noProof/>
                <w:sz w:val="20"/>
                <w:szCs w:val="20"/>
              </w:rPr>
              <w:t>9</w:t>
            </w:r>
            <w:r w:rsidRPr="00F20732">
              <w:rPr>
                <w:rFonts w:ascii="Times New Roman" w:hAnsi="Times New Roman" w:cs="Times New Roman"/>
                <w:b/>
                <w:bCs/>
                <w:sz w:val="20"/>
                <w:szCs w:val="20"/>
              </w:rPr>
              <w:fldChar w:fldCharType="end"/>
            </w:r>
            <w:r w:rsidRPr="00F20732">
              <w:rPr>
                <w:rFonts w:ascii="Times New Roman" w:hAnsi="Times New Roman" w:cs="Times New Roman"/>
                <w:sz w:val="20"/>
                <w:szCs w:val="20"/>
              </w:rPr>
              <w:t xml:space="preserve"> z </w:t>
            </w:r>
            <w:r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NUMPAGES</w:instrText>
            </w:r>
            <w:r w:rsidRPr="00F20732">
              <w:rPr>
                <w:rFonts w:ascii="Times New Roman" w:hAnsi="Times New Roman" w:cs="Times New Roman"/>
                <w:b/>
                <w:bCs/>
                <w:sz w:val="20"/>
                <w:szCs w:val="20"/>
              </w:rPr>
              <w:fldChar w:fldCharType="separate"/>
            </w:r>
            <w:r w:rsidR="009E7DAA">
              <w:rPr>
                <w:rFonts w:ascii="Times New Roman" w:hAnsi="Times New Roman" w:cs="Times New Roman"/>
                <w:b/>
                <w:bCs/>
                <w:noProof/>
                <w:sz w:val="20"/>
                <w:szCs w:val="20"/>
              </w:rPr>
              <w:t>21</w:t>
            </w:r>
            <w:r w:rsidRPr="00F20732">
              <w:rPr>
                <w:rFonts w:ascii="Times New Roman" w:hAnsi="Times New Roman" w:cs="Times New Roman"/>
                <w:b/>
                <w:bCs/>
                <w:sz w:val="20"/>
                <w:szCs w:val="20"/>
              </w:rPr>
              <w:fldChar w:fldCharType="end"/>
            </w:r>
          </w:p>
        </w:sdtContent>
      </w:sdt>
    </w:sdtContent>
  </w:sdt>
  <w:p w14:paraId="47DAF543" w14:textId="77777777" w:rsidR="00F20732" w:rsidRDefault="00F207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27358"/>
      <w:docPartObj>
        <w:docPartGallery w:val="Page Numbers (Bottom of Page)"/>
        <w:docPartUnique/>
      </w:docPartObj>
    </w:sdtPr>
    <w:sdtEndPr/>
    <w:sdtContent>
      <w:sdt>
        <w:sdtPr>
          <w:id w:val="-376786224"/>
          <w:docPartObj>
            <w:docPartGallery w:val="Page Numbers (Top of Page)"/>
            <w:docPartUnique/>
          </w:docPartObj>
        </w:sdtPr>
        <w:sdtEndPr/>
        <w:sdtContent>
          <w:p w14:paraId="158C28BA" w14:textId="7DCF5261" w:rsidR="00430A6C" w:rsidRDefault="00430A6C">
            <w:pPr>
              <w:pStyle w:val="Stopka"/>
              <w:jc w:val="right"/>
            </w:pPr>
            <w:r w:rsidRPr="00430A6C">
              <w:rPr>
                <w:rFonts w:ascii="Times New Roman" w:hAnsi="Times New Roman" w:cs="Times New Roman"/>
                <w:sz w:val="20"/>
                <w:szCs w:val="20"/>
              </w:rPr>
              <w:t xml:space="preserve">Strona </w:t>
            </w:r>
            <w:r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PAGE</w:instrText>
            </w:r>
            <w:r w:rsidRPr="00430A6C">
              <w:rPr>
                <w:rFonts w:ascii="Times New Roman" w:hAnsi="Times New Roman" w:cs="Times New Roman"/>
                <w:b/>
                <w:bCs/>
                <w:sz w:val="20"/>
                <w:szCs w:val="20"/>
              </w:rPr>
              <w:fldChar w:fldCharType="separate"/>
            </w:r>
            <w:r w:rsidR="009E7DAA">
              <w:rPr>
                <w:rFonts w:ascii="Times New Roman" w:hAnsi="Times New Roman" w:cs="Times New Roman"/>
                <w:b/>
                <w:bCs/>
                <w:noProof/>
                <w:sz w:val="20"/>
                <w:szCs w:val="20"/>
              </w:rPr>
              <w:t>1</w:t>
            </w:r>
            <w:r w:rsidRPr="00430A6C">
              <w:rPr>
                <w:rFonts w:ascii="Times New Roman" w:hAnsi="Times New Roman" w:cs="Times New Roman"/>
                <w:b/>
                <w:bCs/>
                <w:sz w:val="20"/>
                <w:szCs w:val="20"/>
              </w:rPr>
              <w:fldChar w:fldCharType="end"/>
            </w:r>
            <w:r w:rsidRPr="00430A6C">
              <w:rPr>
                <w:rFonts w:ascii="Times New Roman" w:hAnsi="Times New Roman" w:cs="Times New Roman"/>
                <w:sz w:val="20"/>
                <w:szCs w:val="20"/>
              </w:rPr>
              <w:t xml:space="preserve"> z </w:t>
            </w:r>
            <w:r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NUMPAGES</w:instrText>
            </w:r>
            <w:r w:rsidRPr="00430A6C">
              <w:rPr>
                <w:rFonts w:ascii="Times New Roman" w:hAnsi="Times New Roman" w:cs="Times New Roman"/>
                <w:b/>
                <w:bCs/>
                <w:sz w:val="20"/>
                <w:szCs w:val="20"/>
              </w:rPr>
              <w:fldChar w:fldCharType="separate"/>
            </w:r>
            <w:r w:rsidR="009E7DAA">
              <w:rPr>
                <w:rFonts w:ascii="Times New Roman" w:hAnsi="Times New Roman" w:cs="Times New Roman"/>
                <w:b/>
                <w:bCs/>
                <w:noProof/>
                <w:sz w:val="20"/>
                <w:szCs w:val="20"/>
              </w:rPr>
              <w:t>21</w:t>
            </w:r>
            <w:r w:rsidRPr="00430A6C">
              <w:rPr>
                <w:rFonts w:ascii="Times New Roman" w:hAnsi="Times New Roman" w:cs="Times New Roman"/>
                <w:b/>
                <w:bCs/>
                <w:sz w:val="20"/>
                <w:szCs w:val="20"/>
              </w:rPr>
              <w:fldChar w:fldCharType="end"/>
            </w:r>
          </w:p>
        </w:sdtContent>
      </w:sdt>
    </w:sdtContent>
  </w:sdt>
  <w:p w14:paraId="6ABE8896" w14:textId="77777777" w:rsidR="00430A6C" w:rsidRDefault="00430A6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92E9E" w14:textId="77777777" w:rsidR="00B76DB3" w:rsidRDefault="00B76DB3" w:rsidP="004715A1">
      <w:pPr>
        <w:spacing w:after="0" w:line="240" w:lineRule="auto"/>
      </w:pPr>
      <w:r>
        <w:separator/>
      </w:r>
    </w:p>
  </w:footnote>
  <w:footnote w:type="continuationSeparator" w:id="0">
    <w:p w14:paraId="02E23175" w14:textId="77777777" w:rsidR="00B76DB3" w:rsidRDefault="00B76DB3" w:rsidP="0047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A8935" w14:textId="60A8914E" w:rsidR="00916292" w:rsidRDefault="00916292" w:rsidP="0091629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F156" w14:textId="1D1502C2" w:rsidR="00060360" w:rsidRDefault="00060360" w:rsidP="00060360">
    <w:pPr>
      <w:pStyle w:val="Nagwek"/>
      <w:jc w:val="center"/>
    </w:pPr>
    <w:r>
      <w:rPr>
        <w:noProof/>
        <w:lang w:eastAsia="pl-PL"/>
      </w:rPr>
      <w:drawing>
        <wp:inline distT="0" distB="0" distL="0" distR="0" wp14:anchorId="4A178EF0" wp14:editId="04D36B74">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3" w15:restartNumberingAfterBreak="0">
    <w:nsid w:val="1C4E1C7A"/>
    <w:multiLevelType w:val="hybridMultilevel"/>
    <w:tmpl w:val="511CF9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0154E8"/>
    <w:multiLevelType w:val="hybridMultilevel"/>
    <w:tmpl w:val="3BE2D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E0C0D"/>
    <w:multiLevelType w:val="hybridMultilevel"/>
    <w:tmpl w:val="018EF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AB0D8D"/>
    <w:multiLevelType w:val="hybridMultilevel"/>
    <w:tmpl w:val="F96E80F8"/>
    <w:lvl w:ilvl="0" w:tplc="DCECEB6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1" w15:restartNumberingAfterBreak="0">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822725"/>
    <w:multiLevelType w:val="hybridMultilevel"/>
    <w:tmpl w:val="6C7E98F8"/>
    <w:lvl w:ilvl="0" w:tplc="D5A46FB4">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CB41E17"/>
    <w:multiLevelType w:val="hybridMultilevel"/>
    <w:tmpl w:val="1390F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19" w15:restartNumberingAfterBreak="0">
    <w:nsid w:val="69691CD1"/>
    <w:multiLevelType w:val="hybridMultilevel"/>
    <w:tmpl w:val="0F300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7605E14"/>
    <w:multiLevelType w:val="hybridMultilevel"/>
    <w:tmpl w:val="EECA6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0"/>
  </w:num>
  <w:num w:numId="2">
    <w:abstractNumId w:val="0"/>
  </w:num>
  <w:num w:numId="3">
    <w:abstractNumId w:val="13"/>
  </w:num>
  <w:num w:numId="4">
    <w:abstractNumId w:val="23"/>
  </w:num>
  <w:num w:numId="5">
    <w:abstractNumId w:val="9"/>
  </w:num>
  <w:num w:numId="6">
    <w:abstractNumId w:val="10"/>
  </w:num>
  <w:num w:numId="7">
    <w:abstractNumId w:val="1"/>
  </w:num>
  <w:num w:numId="8">
    <w:abstractNumId w:val="12"/>
  </w:num>
  <w:num w:numId="9">
    <w:abstractNumId w:val="15"/>
  </w:num>
  <w:num w:numId="10">
    <w:abstractNumId w:val="25"/>
  </w:num>
  <w:num w:numId="11">
    <w:abstractNumId w:val="11"/>
  </w:num>
  <w:num w:numId="12">
    <w:abstractNumId w:val="6"/>
  </w:num>
  <w:num w:numId="13">
    <w:abstractNumId w:val="18"/>
  </w:num>
  <w:num w:numId="14">
    <w:abstractNumId w:val="16"/>
  </w:num>
  <w:num w:numId="15">
    <w:abstractNumId w:val="2"/>
  </w:num>
  <w:num w:numId="16">
    <w:abstractNumId w:val="24"/>
  </w:num>
  <w:num w:numId="17">
    <w:abstractNumId w:val="8"/>
  </w:num>
  <w:num w:numId="18">
    <w:abstractNumId w:val="3"/>
  </w:num>
  <w:num w:numId="19">
    <w:abstractNumId w:val="14"/>
  </w:num>
  <w:num w:numId="20">
    <w:abstractNumId w:val="5"/>
  </w:num>
  <w:num w:numId="21">
    <w:abstractNumId w:val="4"/>
  </w:num>
  <w:num w:numId="22">
    <w:abstractNumId w:val="17"/>
  </w:num>
  <w:num w:numId="23">
    <w:abstractNumId w:val="22"/>
  </w:num>
  <w:num w:numId="24">
    <w:abstractNumId w:val="7"/>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C7"/>
    <w:rsid w:val="00027786"/>
    <w:rsid w:val="00030ACA"/>
    <w:rsid w:val="00060360"/>
    <w:rsid w:val="000A0571"/>
    <w:rsid w:val="001D4B77"/>
    <w:rsid w:val="001E0AB6"/>
    <w:rsid w:val="00217B88"/>
    <w:rsid w:val="00224D14"/>
    <w:rsid w:val="002510FC"/>
    <w:rsid w:val="00263FC6"/>
    <w:rsid w:val="002677FC"/>
    <w:rsid w:val="002868D6"/>
    <w:rsid w:val="002C2B9A"/>
    <w:rsid w:val="002D3C0A"/>
    <w:rsid w:val="002E5151"/>
    <w:rsid w:val="002F6079"/>
    <w:rsid w:val="003C4747"/>
    <w:rsid w:val="00430A6C"/>
    <w:rsid w:val="004427C7"/>
    <w:rsid w:val="00444AB9"/>
    <w:rsid w:val="004705AE"/>
    <w:rsid w:val="004715A1"/>
    <w:rsid w:val="004B2D75"/>
    <w:rsid w:val="005502F0"/>
    <w:rsid w:val="0055697B"/>
    <w:rsid w:val="00573DCD"/>
    <w:rsid w:val="005B1B45"/>
    <w:rsid w:val="005D1F16"/>
    <w:rsid w:val="006046F7"/>
    <w:rsid w:val="006C034D"/>
    <w:rsid w:val="006E6D62"/>
    <w:rsid w:val="006F4E6D"/>
    <w:rsid w:val="00724DA0"/>
    <w:rsid w:val="00736ABD"/>
    <w:rsid w:val="007502A6"/>
    <w:rsid w:val="007A19B6"/>
    <w:rsid w:val="007E3852"/>
    <w:rsid w:val="00916292"/>
    <w:rsid w:val="00963C3C"/>
    <w:rsid w:val="009737FE"/>
    <w:rsid w:val="0098450C"/>
    <w:rsid w:val="00986C44"/>
    <w:rsid w:val="00992E64"/>
    <w:rsid w:val="009B5A5A"/>
    <w:rsid w:val="009E7DAA"/>
    <w:rsid w:val="00A01F7D"/>
    <w:rsid w:val="00A76B3C"/>
    <w:rsid w:val="00A84D1F"/>
    <w:rsid w:val="00B053D5"/>
    <w:rsid w:val="00B11FF9"/>
    <w:rsid w:val="00B76DB3"/>
    <w:rsid w:val="00BB6308"/>
    <w:rsid w:val="00BD5947"/>
    <w:rsid w:val="00C5141F"/>
    <w:rsid w:val="00CE0E02"/>
    <w:rsid w:val="00D5579D"/>
    <w:rsid w:val="00DB1926"/>
    <w:rsid w:val="00E021D5"/>
    <w:rsid w:val="00E36803"/>
    <w:rsid w:val="00E40205"/>
    <w:rsid w:val="00E87FE3"/>
    <w:rsid w:val="00F20732"/>
    <w:rsid w:val="00FA3208"/>
    <w:rsid w:val="00FE0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5375DC"/>
  <w15:chartTrackingRefBased/>
  <w15:docId w15:val="{FE459386-883E-4B97-A68F-ADDC0C6A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ABD"/>
    <w:rPr>
      <w:color w:val="0000FF"/>
      <w:u w:val="single"/>
    </w:rPr>
  </w:style>
  <w:style w:type="paragraph" w:styleId="Akapitzlist">
    <w:name w:val="List Paragraph"/>
    <w:aliases w:val="Numerowanie,List Paragraph"/>
    <w:basedOn w:val="Normalny"/>
    <w:link w:val="AkapitzlistZnak"/>
    <w:uiPriority w:val="34"/>
    <w:qFormat/>
    <w:rsid w:val="00736ABD"/>
    <w:pPr>
      <w:spacing w:after="200" w:line="276" w:lineRule="auto"/>
      <w:ind w:left="720"/>
      <w:contextualSpacing/>
    </w:pPr>
    <w:rPr>
      <w:rFonts w:ascii="Calibri" w:eastAsia="Times New Roman" w:hAnsi="Calibri" w:cs="Times New Roman"/>
      <w:lang w:eastAsia="pl-PL"/>
    </w:rPr>
  </w:style>
  <w:style w:type="character" w:customStyle="1" w:styleId="AkapitzlistZnak">
    <w:name w:val="Akapit z listą Znak"/>
    <w:aliases w:val="Numerowanie Znak,List Paragraph Znak"/>
    <w:link w:val="Akapitzlist"/>
    <w:uiPriority w:val="34"/>
    <w:locked/>
    <w:rsid w:val="00736ABD"/>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E51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151"/>
    <w:rPr>
      <w:rFonts w:ascii="Segoe UI" w:hAnsi="Segoe UI" w:cs="Segoe UI"/>
      <w:sz w:val="18"/>
      <w:szCs w:val="18"/>
    </w:rPr>
  </w:style>
  <w:style w:type="character" w:styleId="Odwoaniedokomentarza">
    <w:name w:val="annotation reference"/>
    <w:basedOn w:val="Domylnaczcionkaakapitu"/>
    <w:uiPriority w:val="99"/>
    <w:semiHidden/>
    <w:unhideWhenUsed/>
    <w:rsid w:val="00A76B3C"/>
    <w:rPr>
      <w:sz w:val="16"/>
      <w:szCs w:val="16"/>
    </w:rPr>
  </w:style>
  <w:style w:type="paragraph" w:styleId="Tekstkomentarza">
    <w:name w:val="annotation text"/>
    <w:basedOn w:val="Normalny"/>
    <w:link w:val="TekstkomentarzaZnak"/>
    <w:uiPriority w:val="99"/>
    <w:semiHidden/>
    <w:unhideWhenUsed/>
    <w:rsid w:val="00A76B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6B3C"/>
    <w:rPr>
      <w:sz w:val="20"/>
      <w:szCs w:val="20"/>
    </w:rPr>
  </w:style>
  <w:style w:type="paragraph" w:styleId="Tematkomentarza">
    <w:name w:val="annotation subject"/>
    <w:basedOn w:val="Tekstkomentarza"/>
    <w:next w:val="Tekstkomentarza"/>
    <w:link w:val="TematkomentarzaZnak"/>
    <w:uiPriority w:val="99"/>
    <w:semiHidden/>
    <w:unhideWhenUsed/>
    <w:rsid w:val="00A76B3C"/>
    <w:rPr>
      <w:b/>
      <w:bCs/>
    </w:rPr>
  </w:style>
  <w:style w:type="character" w:customStyle="1" w:styleId="TematkomentarzaZnak">
    <w:name w:val="Temat komentarza Znak"/>
    <w:basedOn w:val="TekstkomentarzaZnak"/>
    <w:link w:val="Tematkomentarza"/>
    <w:uiPriority w:val="99"/>
    <w:semiHidden/>
    <w:rsid w:val="00A76B3C"/>
    <w:rPr>
      <w:b/>
      <w:bCs/>
      <w:sz w:val="20"/>
      <w:szCs w:val="20"/>
    </w:rPr>
  </w:style>
  <w:style w:type="paragraph" w:styleId="Nagwek">
    <w:name w:val="header"/>
    <w:basedOn w:val="Normalny"/>
    <w:link w:val="NagwekZnak"/>
    <w:uiPriority w:val="99"/>
    <w:unhideWhenUsed/>
    <w:rsid w:val="004715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5A1"/>
  </w:style>
  <w:style w:type="paragraph" w:styleId="Stopka">
    <w:name w:val="footer"/>
    <w:basedOn w:val="Normalny"/>
    <w:link w:val="StopkaZnak"/>
    <w:uiPriority w:val="99"/>
    <w:unhideWhenUsed/>
    <w:rsid w:val="004715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pl/web/mswia/lista-osob-i-podmiotow-objetych-sankcja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21</Pages>
  <Words>3930</Words>
  <Characters>23583</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Kiełbasa-Siembab, Krystyna</dc:creator>
  <cp:keywords/>
  <dc:description/>
  <cp:lastModifiedBy>Mamak, Magdalena</cp:lastModifiedBy>
  <cp:revision>30</cp:revision>
  <cp:lastPrinted>2024-10-08T07:15:00Z</cp:lastPrinted>
  <dcterms:created xsi:type="dcterms:W3CDTF">2024-10-08T11:39:00Z</dcterms:created>
  <dcterms:modified xsi:type="dcterms:W3CDTF">2025-03-27T11:38:00Z</dcterms:modified>
</cp:coreProperties>
</file>