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055E2" w14:textId="77777777" w:rsidR="00686DFE" w:rsidRPr="00CE5D9A" w:rsidRDefault="00686DFE">
      <w:pPr>
        <w:jc w:val="center"/>
        <w:rPr>
          <w:rFonts w:ascii="Times New Roman" w:hAnsi="Times New Roman"/>
          <w:b/>
          <w:bCs/>
          <w:i/>
          <w:iCs/>
          <w:sz w:val="36"/>
          <w:szCs w:val="36"/>
        </w:rPr>
      </w:pPr>
      <w:bookmarkStart w:id="0" w:name="_Hlk134980103"/>
      <w:bookmarkEnd w:id="0"/>
    </w:p>
    <w:p w14:paraId="4225B2AA" w14:textId="4A573591" w:rsidR="00FF6FFB" w:rsidRPr="004A5BB1" w:rsidRDefault="001014BC" w:rsidP="001014BC">
      <w:pPr>
        <w:jc w:val="center"/>
        <w:rPr>
          <w:rFonts w:ascii="Times New Roman" w:hAnsi="Times New Roman"/>
          <w:b/>
          <w:bCs/>
          <w:i/>
          <w:iCs/>
          <w:sz w:val="36"/>
          <w:szCs w:val="36"/>
        </w:rPr>
      </w:pPr>
      <w:r w:rsidRPr="004A5BB1">
        <w:rPr>
          <w:rFonts w:ascii="Times New Roman" w:hAnsi="Times New Roman"/>
          <w:b/>
          <w:bCs/>
          <w:i/>
          <w:iCs/>
          <w:noProof/>
          <w:sz w:val="36"/>
          <w:szCs w:val="36"/>
          <w:lang w:eastAsia="pl-PL"/>
        </w:rPr>
        <w:drawing>
          <wp:inline distT="0" distB="0" distL="0" distR="0" wp14:anchorId="0EAEC5A2" wp14:editId="61E0960A">
            <wp:extent cx="3048000" cy="3048000"/>
            <wp:effectExtent l="0" t="0" r="0" b="0"/>
            <wp:docPr id="3" name="Obraz 3" descr="\\Lgd1\udostępniony\LOGO nowe\ChatGPT Image 6 sie 2025, 11_44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d1\udostępniony\LOGO nowe\ChatGPT Image 6 sie 2025, 11_44_5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39BD3CCE" w14:textId="77777777" w:rsidR="001D76E8" w:rsidRDefault="001D76E8" w:rsidP="001D76E8">
      <w:pPr>
        <w:jc w:val="center"/>
        <w:rPr>
          <w:rFonts w:ascii="Times New Roman" w:hAnsi="Times New Roman"/>
          <w:b/>
          <w:bCs/>
          <w:i/>
          <w:iCs/>
          <w:sz w:val="48"/>
          <w:szCs w:val="48"/>
        </w:rPr>
      </w:pPr>
    </w:p>
    <w:p w14:paraId="0D179EE8" w14:textId="50892E2C" w:rsidR="00686DFE" w:rsidRPr="001D76E8" w:rsidRDefault="00686DFE" w:rsidP="001D76E8">
      <w:pPr>
        <w:jc w:val="center"/>
        <w:rPr>
          <w:rFonts w:ascii="Times New Roman" w:hAnsi="Times New Roman"/>
          <w:b/>
          <w:bCs/>
          <w:i/>
          <w:iCs/>
          <w:sz w:val="48"/>
          <w:szCs w:val="48"/>
        </w:rPr>
      </w:pPr>
      <w:r w:rsidRPr="001D76E8">
        <w:rPr>
          <w:rFonts w:ascii="Times New Roman" w:hAnsi="Times New Roman"/>
          <w:b/>
          <w:bCs/>
          <w:i/>
          <w:iCs/>
          <w:sz w:val="48"/>
          <w:szCs w:val="48"/>
        </w:rPr>
        <w:t>LOKALNA STRATEGIA ROZWOJU</w:t>
      </w:r>
      <w:r w:rsidR="001D76E8" w:rsidRPr="001D76E8">
        <w:rPr>
          <w:rFonts w:ascii="Times New Roman" w:hAnsi="Times New Roman"/>
          <w:b/>
          <w:bCs/>
          <w:i/>
          <w:iCs/>
          <w:sz w:val="48"/>
          <w:szCs w:val="48"/>
        </w:rPr>
        <w:t xml:space="preserve"> </w:t>
      </w:r>
      <w:r w:rsidRPr="001D76E8">
        <w:rPr>
          <w:rFonts w:ascii="Times New Roman" w:hAnsi="Times New Roman"/>
          <w:b/>
          <w:bCs/>
          <w:i/>
          <w:iCs/>
          <w:sz w:val="48"/>
          <w:szCs w:val="48"/>
        </w:rPr>
        <w:t>2023–2027</w:t>
      </w:r>
    </w:p>
    <w:p w14:paraId="57CF76CA" w14:textId="6354E8D8" w:rsidR="00686DFE" w:rsidRPr="001D76E8" w:rsidRDefault="001D76E8">
      <w:pPr>
        <w:jc w:val="center"/>
        <w:rPr>
          <w:rFonts w:ascii="Times New Roman" w:hAnsi="Times New Roman"/>
          <w:b/>
          <w:bCs/>
          <w:i/>
          <w:iCs/>
          <w:sz w:val="48"/>
          <w:szCs w:val="48"/>
        </w:rPr>
      </w:pPr>
      <w:r w:rsidRPr="001D76E8">
        <w:rPr>
          <w:rFonts w:ascii="Times New Roman" w:hAnsi="Times New Roman"/>
          <w:b/>
          <w:bCs/>
          <w:i/>
          <w:iCs/>
          <w:sz w:val="48"/>
          <w:szCs w:val="48"/>
        </w:rPr>
        <w:t>LGD REGIONU MYŚLENICKIEGO</w:t>
      </w:r>
    </w:p>
    <w:p w14:paraId="4D0D11D4" w14:textId="77777777" w:rsidR="00686DFE" w:rsidRPr="00CE5D9A" w:rsidRDefault="00686DFE">
      <w:pPr>
        <w:rPr>
          <w:rFonts w:ascii="Times New Roman" w:hAnsi="Times New Roman"/>
        </w:rPr>
      </w:pPr>
    </w:p>
    <w:p w14:paraId="0971C1D1" w14:textId="77777777" w:rsidR="00686DFE" w:rsidRPr="00CE5D9A" w:rsidRDefault="00686DFE">
      <w:pPr>
        <w:rPr>
          <w:rFonts w:ascii="Times New Roman" w:hAnsi="Times New Roman"/>
        </w:rPr>
      </w:pPr>
    </w:p>
    <w:p w14:paraId="184E74A3" w14:textId="77777777" w:rsidR="001D76E8" w:rsidRDefault="001D76E8">
      <w:pPr>
        <w:jc w:val="center"/>
        <w:rPr>
          <w:rFonts w:ascii="Times New Roman" w:hAnsi="Times New Roman"/>
          <w:b/>
          <w:bCs/>
        </w:rPr>
      </w:pPr>
    </w:p>
    <w:p w14:paraId="7DA19887" w14:textId="77777777" w:rsidR="001D76E8" w:rsidRDefault="001D76E8">
      <w:pPr>
        <w:jc w:val="center"/>
        <w:rPr>
          <w:rFonts w:ascii="Times New Roman" w:hAnsi="Times New Roman"/>
          <w:b/>
          <w:bCs/>
        </w:rPr>
      </w:pPr>
    </w:p>
    <w:p w14:paraId="39F51061" w14:textId="24CE75C9" w:rsidR="001D76E8" w:rsidRDefault="001D76E8">
      <w:pPr>
        <w:jc w:val="center"/>
        <w:rPr>
          <w:rFonts w:ascii="Times New Roman" w:hAnsi="Times New Roman"/>
          <w:b/>
          <w:bCs/>
        </w:rPr>
      </w:pPr>
    </w:p>
    <w:p w14:paraId="1F895D2A" w14:textId="77777777" w:rsidR="00B16A46" w:rsidRDefault="00B16A46">
      <w:pPr>
        <w:jc w:val="center"/>
        <w:rPr>
          <w:rFonts w:ascii="Times New Roman" w:hAnsi="Times New Roman"/>
          <w:b/>
          <w:bCs/>
        </w:rPr>
      </w:pPr>
    </w:p>
    <w:p w14:paraId="4B03BC42" w14:textId="5A08FF65" w:rsidR="001D76E8" w:rsidRDefault="001D76E8">
      <w:pPr>
        <w:jc w:val="center"/>
        <w:rPr>
          <w:rFonts w:ascii="Times New Roman" w:hAnsi="Times New Roman"/>
          <w:b/>
          <w:bCs/>
        </w:rPr>
      </w:pPr>
    </w:p>
    <w:p w14:paraId="263AA647" w14:textId="0674214A" w:rsidR="00303C3E" w:rsidRDefault="00303C3E">
      <w:pPr>
        <w:jc w:val="center"/>
        <w:rPr>
          <w:rFonts w:ascii="Times New Roman" w:hAnsi="Times New Roman"/>
          <w:b/>
          <w:bCs/>
        </w:rPr>
      </w:pPr>
    </w:p>
    <w:p w14:paraId="302DCBB5" w14:textId="77777777" w:rsidR="00303C3E" w:rsidRDefault="00303C3E">
      <w:pPr>
        <w:jc w:val="center"/>
        <w:rPr>
          <w:rFonts w:ascii="Times New Roman" w:hAnsi="Times New Roman"/>
          <w:b/>
          <w:bCs/>
        </w:rPr>
      </w:pPr>
    </w:p>
    <w:p w14:paraId="20617BDF" w14:textId="77777777" w:rsidR="001D76E8" w:rsidRDefault="001D76E8">
      <w:pPr>
        <w:jc w:val="center"/>
        <w:rPr>
          <w:rFonts w:ascii="Times New Roman" w:hAnsi="Times New Roman"/>
          <w:b/>
          <w:bCs/>
        </w:rPr>
      </w:pPr>
    </w:p>
    <w:p w14:paraId="6071426B" w14:textId="4BE58EFC" w:rsidR="001D76E8" w:rsidRPr="001D76E8" w:rsidRDefault="00751A82" w:rsidP="001D76E8">
      <w:pPr>
        <w:jc w:val="center"/>
        <w:rPr>
          <w:rFonts w:ascii="Times New Roman" w:hAnsi="Times New Roman"/>
          <w:b/>
          <w:bCs/>
        </w:rPr>
      </w:pPr>
      <w:r>
        <w:rPr>
          <w:rFonts w:ascii="Times New Roman" w:hAnsi="Times New Roman"/>
          <w:b/>
          <w:bCs/>
        </w:rPr>
        <w:t>Trzemeśnia</w:t>
      </w:r>
      <w:r w:rsidR="00686DFE" w:rsidRPr="00CE5D9A">
        <w:rPr>
          <w:rFonts w:ascii="Times New Roman" w:hAnsi="Times New Roman"/>
          <w:b/>
          <w:bCs/>
        </w:rPr>
        <w:t xml:space="preserve">, </w:t>
      </w:r>
      <w:r>
        <w:rPr>
          <w:rFonts w:ascii="Times New Roman" w:hAnsi="Times New Roman"/>
          <w:b/>
          <w:bCs/>
          <w:color w:val="FF0000"/>
        </w:rPr>
        <w:t>sierpień</w:t>
      </w:r>
      <w:r w:rsidR="00686DFE" w:rsidRPr="00CE5D9A">
        <w:rPr>
          <w:rFonts w:ascii="Times New Roman" w:hAnsi="Times New Roman"/>
          <w:b/>
          <w:bCs/>
        </w:rPr>
        <w:t xml:space="preserve"> 202</w:t>
      </w:r>
      <w:r w:rsidR="00E478EF" w:rsidRPr="00CE5D9A">
        <w:rPr>
          <w:rFonts w:ascii="Times New Roman" w:hAnsi="Times New Roman"/>
          <w:b/>
          <w:bCs/>
        </w:rPr>
        <w:t>5</w:t>
      </w:r>
      <w:r w:rsidR="00686DFE" w:rsidRPr="00CE5D9A">
        <w:rPr>
          <w:rFonts w:ascii="Times New Roman" w:hAnsi="Times New Roman"/>
          <w:b/>
          <w:bCs/>
        </w:rPr>
        <w:t xml:space="preserve"> r.</w:t>
      </w:r>
    </w:p>
    <w:p w14:paraId="52DF701A" w14:textId="2D84B0A2" w:rsidR="001D76E8" w:rsidRPr="00CE5D9A" w:rsidRDefault="001D76E8">
      <w:pPr>
        <w:jc w:val="center"/>
        <w:rPr>
          <w:rFonts w:ascii="Times New Roman" w:hAnsi="Times New Roman"/>
        </w:rPr>
      </w:pPr>
    </w:p>
    <w:p w14:paraId="7C3853C7" w14:textId="77777777" w:rsidR="00686DFE" w:rsidRPr="00CE5D9A" w:rsidRDefault="005F245B">
      <w:pPr>
        <w:jc w:val="center"/>
        <w:rPr>
          <w:rFonts w:ascii="Times New Roman" w:hAnsi="Times New Roman"/>
          <w:b/>
          <w:bCs/>
        </w:rPr>
      </w:pPr>
      <w:r w:rsidRPr="00CE5D9A">
        <w:rPr>
          <w:noProof/>
          <w:lang w:eastAsia="pl-PL"/>
        </w:rPr>
        <w:drawing>
          <wp:inline distT="0" distB="0" distL="0" distR="0" wp14:anchorId="6586CD06" wp14:editId="7F745051">
            <wp:extent cx="6477000" cy="74676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746760"/>
                    </a:xfrm>
                    <a:prstGeom prst="rect">
                      <a:avLst/>
                    </a:prstGeom>
                    <a:noFill/>
                    <a:ln>
                      <a:noFill/>
                    </a:ln>
                  </pic:spPr>
                </pic:pic>
              </a:graphicData>
            </a:graphic>
          </wp:inline>
        </w:drawing>
      </w:r>
      <w:r w:rsidR="00686DFE" w:rsidRPr="00CE5D9A">
        <w:rPr>
          <w:rFonts w:ascii="Times New Roman" w:hAnsi="Times New Roman"/>
          <w:b/>
          <w:bCs/>
        </w:rPr>
        <w:br w:type="page"/>
      </w:r>
    </w:p>
    <w:p w14:paraId="17F2FDEB" w14:textId="77777777" w:rsidR="00686DFE" w:rsidRPr="00CE5D9A" w:rsidRDefault="00686DFE">
      <w:pPr>
        <w:pStyle w:val="Nagwekspisutreci1"/>
        <w:spacing w:after="240" w:line="276" w:lineRule="auto"/>
        <w:jc w:val="both"/>
        <w:rPr>
          <w:rFonts w:ascii="Times New Roman" w:hAnsi="Times New Roman"/>
          <w:b/>
          <w:bCs/>
          <w:color w:val="auto"/>
          <w:sz w:val="24"/>
          <w:szCs w:val="24"/>
        </w:rPr>
      </w:pPr>
      <w:r w:rsidRPr="00CE5D9A">
        <w:rPr>
          <w:rFonts w:ascii="Times New Roman" w:hAnsi="Times New Roman"/>
          <w:b/>
          <w:bCs/>
          <w:color w:val="auto"/>
          <w:sz w:val="24"/>
          <w:szCs w:val="24"/>
        </w:rPr>
        <w:lastRenderedPageBreak/>
        <w:t>Spis treści</w:t>
      </w:r>
    </w:p>
    <w:p w14:paraId="6003E754" w14:textId="38ACA97F" w:rsidR="00686DFE" w:rsidRPr="00CE5D9A" w:rsidRDefault="00686DFE">
      <w:pPr>
        <w:pStyle w:val="Spistreci1"/>
        <w:rPr>
          <w:rFonts w:ascii="Times New Roman" w:eastAsia="DengXian" w:hAnsi="Times New Roman"/>
          <w:noProof/>
          <w:lang w:eastAsia="pl-PL"/>
        </w:rPr>
      </w:pPr>
      <w:r w:rsidRPr="00CE5D9A">
        <w:rPr>
          <w:rFonts w:ascii="Times New Roman" w:hAnsi="Times New Roman"/>
        </w:rPr>
        <w:fldChar w:fldCharType="begin"/>
      </w:r>
      <w:r w:rsidRPr="00CE5D9A">
        <w:rPr>
          <w:rFonts w:ascii="Times New Roman" w:hAnsi="Times New Roman"/>
        </w:rPr>
        <w:instrText xml:space="preserve"> TOC \o "1-3" \h \z \u </w:instrText>
      </w:r>
      <w:r w:rsidRPr="00CE5D9A">
        <w:rPr>
          <w:rFonts w:ascii="Times New Roman" w:hAnsi="Times New Roman"/>
        </w:rPr>
        <w:fldChar w:fldCharType="separate"/>
      </w:r>
      <w:hyperlink w:anchor="_Toc135994820" w:history="1">
        <w:r w:rsidRPr="00CE5D9A">
          <w:rPr>
            <w:rStyle w:val="Hipercze"/>
            <w:rFonts w:ascii="Times New Roman" w:hAnsi="Times New Roman"/>
            <w:noProof/>
            <w:color w:val="auto"/>
          </w:rPr>
          <w:t>I.</w:t>
        </w:r>
        <w:r w:rsidRPr="00CE5D9A">
          <w:rPr>
            <w:rFonts w:ascii="Times New Roman" w:eastAsia="DengXian" w:hAnsi="Times New Roman"/>
            <w:noProof/>
            <w:lang w:eastAsia="pl-PL"/>
          </w:rPr>
          <w:tab/>
        </w:r>
        <w:r w:rsidRPr="00CE5D9A">
          <w:rPr>
            <w:rStyle w:val="Hipercze"/>
            <w:rFonts w:ascii="Times New Roman" w:hAnsi="Times New Roman"/>
            <w:noProof/>
            <w:color w:val="auto"/>
          </w:rPr>
          <w:t>CHARAKTERYSTYKA PARTNERSTWA LOKALNEGO</w:t>
        </w:r>
        <w:r w:rsidRPr="00CE5D9A">
          <w:rPr>
            <w:rFonts w:ascii="Times New Roman" w:hAnsi="Times New Roman"/>
            <w:noProof/>
          </w:rPr>
          <w:tab/>
        </w:r>
        <w:r w:rsidRPr="00CE5D9A">
          <w:rPr>
            <w:rFonts w:ascii="Times New Roman" w:hAnsi="Times New Roman"/>
            <w:noProof/>
          </w:rPr>
          <w:fldChar w:fldCharType="begin"/>
        </w:r>
        <w:r w:rsidRPr="00CE5D9A">
          <w:rPr>
            <w:rFonts w:ascii="Times New Roman" w:hAnsi="Times New Roman"/>
            <w:noProof/>
          </w:rPr>
          <w:instrText xml:space="preserve"> PAGEREF _Toc135994820 \h </w:instrText>
        </w:r>
        <w:r w:rsidRPr="00CE5D9A">
          <w:rPr>
            <w:rFonts w:ascii="Times New Roman" w:hAnsi="Times New Roman"/>
            <w:noProof/>
          </w:rPr>
        </w:r>
        <w:r w:rsidRPr="00CE5D9A">
          <w:rPr>
            <w:rFonts w:ascii="Times New Roman" w:hAnsi="Times New Roman"/>
            <w:noProof/>
          </w:rPr>
          <w:fldChar w:fldCharType="separate"/>
        </w:r>
        <w:r w:rsidR="00AD7096">
          <w:rPr>
            <w:rFonts w:ascii="Times New Roman" w:hAnsi="Times New Roman"/>
            <w:noProof/>
          </w:rPr>
          <w:t>3</w:t>
        </w:r>
        <w:r w:rsidRPr="00CE5D9A">
          <w:rPr>
            <w:rFonts w:ascii="Times New Roman" w:hAnsi="Times New Roman"/>
            <w:noProof/>
          </w:rPr>
          <w:fldChar w:fldCharType="end"/>
        </w:r>
      </w:hyperlink>
    </w:p>
    <w:p w14:paraId="10CE5BE2" w14:textId="2D4CF99E" w:rsidR="00686DFE" w:rsidRPr="00CE5D9A" w:rsidRDefault="00970EF5">
      <w:pPr>
        <w:pStyle w:val="Spistreci2"/>
        <w:rPr>
          <w:rFonts w:ascii="Times New Roman" w:eastAsia="DengXian" w:hAnsi="Times New Roman"/>
          <w:noProof/>
          <w:lang w:eastAsia="pl-PL"/>
        </w:rPr>
      </w:pPr>
      <w:hyperlink w:anchor="_Toc135994821" w:history="1">
        <w:r w:rsidR="00686DFE" w:rsidRPr="00CE5D9A">
          <w:rPr>
            <w:rStyle w:val="Hipercze"/>
            <w:rFonts w:ascii="Times New Roman" w:hAnsi="Times New Roman"/>
            <w:noProof/>
            <w:color w:val="auto"/>
          </w:rPr>
          <w:t>1.</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Nazwa LGD, forma prawna</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_Toc135994821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3</w:t>
        </w:r>
        <w:r w:rsidR="00686DFE" w:rsidRPr="00CE5D9A">
          <w:rPr>
            <w:rFonts w:ascii="Times New Roman" w:hAnsi="Times New Roman"/>
            <w:noProof/>
          </w:rPr>
          <w:fldChar w:fldCharType="end"/>
        </w:r>
      </w:hyperlink>
    </w:p>
    <w:p w14:paraId="57A7A2D3" w14:textId="0AFDB7A3" w:rsidR="00686DFE" w:rsidRPr="00CE5D9A" w:rsidRDefault="00970EF5">
      <w:pPr>
        <w:pStyle w:val="Spistreci2"/>
        <w:rPr>
          <w:rFonts w:ascii="Times New Roman" w:eastAsia="DengXian" w:hAnsi="Times New Roman"/>
          <w:noProof/>
          <w:lang w:eastAsia="pl-PL"/>
        </w:rPr>
      </w:pPr>
      <w:hyperlink w:anchor="_Toc135994822" w:history="1">
        <w:r w:rsidR="00686DFE" w:rsidRPr="00CE5D9A">
          <w:rPr>
            <w:rStyle w:val="Hipercze"/>
            <w:rFonts w:ascii="Times New Roman" w:hAnsi="Times New Roman"/>
            <w:noProof/>
            <w:color w:val="auto"/>
          </w:rPr>
          <w:t>2.</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Proces tworzenia i doświadczenie partnerstwa</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_Toc135994822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3</w:t>
        </w:r>
        <w:r w:rsidR="00686DFE" w:rsidRPr="00CE5D9A">
          <w:rPr>
            <w:rFonts w:ascii="Times New Roman" w:hAnsi="Times New Roman"/>
            <w:noProof/>
          </w:rPr>
          <w:fldChar w:fldCharType="end"/>
        </w:r>
      </w:hyperlink>
    </w:p>
    <w:p w14:paraId="551E5B8F" w14:textId="72DC3C2E" w:rsidR="00686DFE" w:rsidRPr="00CE5D9A" w:rsidRDefault="00970EF5">
      <w:pPr>
        <w:pStyle w:val="Spistreci2"/>
        <w:rPr>
          <w:rFonts w:ascii="Times New Roman" w:eastAsia="DengXian" w:hAnsi="Times New Roman"/>
          <w:noProof/>
          <w:lang w:eastAsia="pl-PL"/>
        </w:rPr>
      </w:pPr>
      <w:hyperlink w:anchor="_Toc135994823" w:history="1">
        <w:r w:rsidR="00686DFE" w:rsidRPr="00CE5D9A">
          <w:rPr>
            <w:rStyle w:val="Hipercze"/>
            <w:rFonts w:ascii="Times New Roman" w:hAnsi="Times New Roman"/>
            <w:noProof/>
            <w:color w:val="auto"/>
          </w:rPr>
          <w:t>3.</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Struktura LGD</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_Toc135994823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7</w:t>
        </w:r>
        <w:r w:rsidR="00686DFE" w:rsidRPr="00CE5D9A">
          <w:rPr>
            <w:rFonts w:ascii="Times New Roman" w:hAnsi="Times New Roman"/>
            <w:noProof/>
          </w:rPr>
          <w:fldChar w:fldCharType="end"/>
        </w:r>
      </w:hyperlink>
    </w:p>
    <w:p w14:paraId="08AB4DCD" w14:textId="6E342CE0" w:rsidR="00686DFE" w:rsidRPr="00CE5D9A" w:rsidRDefault="00970EF5">
      <w:pPr>
        <w:pStyle w:val="Spistreci2"/>
        <w:rPr>
          <w:rFonts w:ascii="Times New Roman" w:eastAsia="DengXian" w:hAnsi="Times New Roman"/>
          <w:noProof/>
          <w:lang w:eastAsia="pl-PL"/>
        </w:rPr>
      </w:pPr>
      <w:hyperlink w:anchor="_Toc135994824" w:history="1">
        <w:r w:rsidR="00686DFE" w:rsidRPr="00CE5D9A">
          <w:rPr>
            <w:rStyle w:val="Hipercze"/>
            <w:rFonts w:ascii="Times New Roman" w:hAnsi="Times New Roman"/>
            <w:noProof/>
            <w:color w:val="auto"/>
          </w:rPr>
          <w:t>4.</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Organ decyzyjny LGD</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_Toc135994824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w:t>
        </w:r>
        <w:r w:rsidR="00686DFE" w:rsidRPr="00CE5D9A">
          <w:rPr>
            <w:rFonts w:ascii="Times New Roman" w:hAnsi="Times New Roman"/>
            <w:noProof/>
          </w:rPr>
          <w:fldChar w:fldCharType="end"/>
        </w:r>
      </w:hyperlink>
    </w:p>
    <w:p w14:paraId="2ED46493" w14:textId="4345A11A" w:rsidR="00686DFE" w:rsidRPr="00CE5D9A" w:rsidRDefault="00970EF5">
      <w:pPr>
        <w:pStyle w:val="Spistreci2"/>
        <w:rPr>
          <w:rFonts w:ascii="Times New Roman" w:eastAsia="DengXian" w:hAnsi="Times New Roman"/>
          <w:noProof/>
          <w:lang w:eastAsia="pl-PL"/>
        </w:rPr>
      </w:pPr>
      <w:hyperlink w:anchor="_Toc135994825" w:history="1">
        <w:r w:rsidR="00686DFE" w:rsidRPr="00CE5D9A">
          <w:rPr>
            <w:rStyle w:val="Hipercze"/>
            <w:rFonts w:ascii="Times New Roman" w:hAnsi="Times New Roman"/>
            <w:noProof/>
            <w:color w:val="auto"/>
          </w:rPr>
          <w:t>5.</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Dokumenty regulujące funkcjonowanie LGD</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_Toc135994825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9</w:t>
        </w:r>
        <w:r w:rsidR="00686DFE" w:rsidRPr="00CE5D9A">
          <w:rPr>
            <w:rFonts w:ascii="Times New Roman" w:hAnsi="Times New Roman"/>
            <w:noProof/>
          </w:rPr>
          <w:fldChar w:fldCharType="end"/>
        </w:r>
      </w:hyperlink>
    </w:p>
    <w:p w14:paraId="25233099" w14:textId="4620A1E8" w:rsidR="00686DFE" w:rsidRPr="00CE5D9A" w:rsidRDefault="00970EF5">
      <w:pPr>
        <w:pStyle w:val="Spistreci1"/>
        <w:rPr>
          <w:rFonts w:ascii="Times New Roman" w:eastAsia="DengXian" w:hAnsi="Times New Roman"/>
          <w:noProof/>
          <w:lang w:eastAsia="pl-PL"/>
        </w:rPr>
      </w:pPr>
      <w:hyperlink w:anchor="_Toc135994826" w:history="1">
        <w:r w:rsidR="00686DFE" w:rsidRPr="00CE5D9A">
          <w:rPr>
            <w:rStyle w:val="Hipercze"/>
            <w:rFonts w:ascii="Times New Roman" w:hAnsi="Times New Roman"/>
            <w:noProof/>
            <w:color w:val="auto"/>
          </w:rPr>
          <w:t>II.</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CHARAKTERYSTYKA OBSZARU I LUDNOŚCI OBJĘTEJ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_Toc135994826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11</w:t>
        </w:r>
        <w:r w:rsidR="00686DFE" w:rsidRPr="00CE5D9A">
          <w:rPr>
            <w:rFonts w:ascii="Times New Roman" w:hAnsi="Times New Roman"/>
            <w:noProof/>
          </w:rPr>
          <w:fldChar w:fldCharType="end"/>
        </w:r>
      </w:hyperlink>
    </w:p>
    <w:p w14:paraId="520C2536" w14:textId="510E344A" w:rsidR="00686DFE" w:rsidRPr="00CE5D9A" w:rsidRDefault="00970EF5">
      <w:pPr>
        <w:pStyle w:val="Spistreci2"/>
        <w:rPr>
          <w:rFonts w:ascii="Times New Roman" w:eastAsia="DengXian" w:hAnsi="Times New Roman"/>
          <w:noProof/>
          <w:lang w:eastAsia="pl-PL"/>
        </w:rPr>
      </w:pPr>
      <w:hyperlink w:anchor="_Toc135994827" w:history="1">
        <w:r w:rsidR="00686DFE" w:rsidRPr="00CE5D9A">
          <w:rPr>
            <w:rStyle w:val="Hipercze"/>
            <w:rFonts w:ascii="Times New Roman" w:hAnsi="Times New Roman"/>
            <w:noProof/>
            <w:color w:val="auto"/>
          </w:rPr>
          <w:t>1.</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Opis i mapa obszaru</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_Toc135994827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11</w:t>
        </w:r>
        <w:r w:rsidR="00686DFE" w:rsidRPr="00CE5D9A">
          <w:rPr>
            <w:rFonts w:ascii="Times New Roman" w:hAnsi="Times New Roman"/>
            <w:noProof/>
          </w:rPr>
          <w:fldChar w:fldCharType="end"/>
        </w:r>
      </w:hyperlink>
    </w:p>
    <w:p w14:paraId="36FC7B55" w14:textId="6C871491" w:rsidR="00686DFE" w:rsidRPr="00CE5D9A" w:rsidRDefault="00970EF5">
      <w:pPr>
        <w:pStyle w:val="Spistreci2"/>
        <w:rPr>
          <w:rFonts w:ascii="Times New Roman" w:eastAsia="DengXian" w:hAnsi="Times New Roman"/>
          <w:noProof/>
          <w:lang w:eastAsia="pl-PL"/>
        </w:rPr>
      </w:pPr>
      <w:hyperlink w:anchor="_Toc135994828" w:history="1">
        <w:r w:rsidR="00686DFE" w:rsidRPr="00CE5D9A">
          <w:rPr>
            <w:rStyle w:val="Hipercze"/>
            <w:rFonts w:ascii="Times New Roman" w:hAnsi="Times New Roman"/>
            <w:noProof/>
            <w:color w:val="auto"/>
          </w:rPr>
          <w:t>2.</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Wyróżniki, potencjał i spójność obszaru</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_Toc135994828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12</w:t>
        </w:r>
        <w:r w:rsidR="00686DFE" w:rsidRPr="00CE5D9A">
          <w:rPr>
            <w:rFonts w:ascii="Times New Roman" w:hAnsi="Times New Roman"/>
            <w:noProof/>
          </w:rPr>
          <w:fldChar w:fldCharType="end"/>
        </w:r>
      </w:hyperlink>
    </w:p>
    <w:p w14:paraId="0F14493E" w14:textId="7897225D" w:rsidR="00686DFE" w:rsidRPr="00CE5D9A" w:rsidRDefault="00970EF5">
      <w:pPr>
        <w:pStyle w:val="Spistreci1"/>
        <w:rPr>
          <w:rFonts w:ascii="Times New Roman" w:eastAsia="DengXian" w:hAnsi="Times New Roman"/>
          <w:noProof/>
          <w:lang w:eastAsia="pl-PL"/>
        </w:rPr>
      </w:pPr>
      <w:hyperlink w:anchor="_Toc135994829" w:history="1">
        <w:r w:rsidR="00686DFE" w:rsidRPr="00CE5D9A">
          <w:rPr>
            <w:rStyle w:val="Hipercze"/>
            <w:rFonts w:ascii="Times New Roman" w:hAnsi="Times New Roman"/>
            <w:noProof/>
            <w:color w:val="auto"/>
          </w:rPr>
          <w:t>III.</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PARTYCYPACYJNY CHARAKTER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_Toc135994829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14</w:t>
        </w:r>
        <w:r w:rsidR="00686DFE" w:rsidRPr="00CE5D9A">
          <w:rPr>
            <w:rFonts w:ascii="Times New Roman" w:hAnsi="Times New Roman"/>
            <w:noProof/>
          </w:rPr>
          <w:fldChar w:fldCharType="end"/>
        </w:r>
      </w:hyperlink>
    </w:p>
    <w:p w14:paraId="184A8F71" w14:textId="1361AA49" w:rsidR="00686DFE" w:rsidRPr="00CE5D9A" w:rsidRDefault="00970EF5">
      <w:pPr>
        <w:pStyle w:val="Spistreci2"/>
        <w:rPr>
          <w:rFonts w:ascii="Times New Roman" w:eastAsia="DengXian" w:hAnsi="Times New Roman"/>
          <w:noProof/>
          <w:lang w:eastAsia="pl-PL"/>
        </w:rPr>
      </w:pPr>
      <w:hyperlink w:anchor="_Toc135994830" w:history="1">
        <w:r w:rsidR="00686DFE" w:rsidRPr="00CE5D9A">
          <w:rPr>
            <w:rStyle w:val="Hipercze"/>
            <w:rFonts w:ascii="Times New Roman" w:hAnsi="Times New Roman"/>
            <w:noProof/>
            <w:color w:val="auto"/>
          </w:rPr>
          <w:t>1.</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Etap opracowania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_Toc135994830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14</w:t>
        </w:r>
        <w:r w:rsidR="00686DFE" w:rsidRPr="00CE5D9A">
          <w:rPr>
            <w:rFonts w:ascii="Times New Roman" w:hAnsi="Times New Roman"/>
            <w:noProof/>
          </w:rPr>
          <w:fldChar w:fldCharType="end"/>
        </w:r>
      </w:hyperlink>
    </w:p>
    <w:p w14:paraId="7F6D9333" w14:textId="1D6DD656" w:rsidR="00686DFE" w:rsidRPr="00CE5D9A" w:rsidRDefault="00970EF5">
      <w:pPr>
        <w:pStyle w:val="Spistreci2"/>
        <w:rPr>
          <w:rFonts w:ascii="Times New Roman" w:eastAsia="DengXian" w:hAnsi="Times New Roman"/>
          <w:noProof/>
          <w:lang w:eastAsia="pl-PL"/>
        </w:rPr>
      </w:pPr>
      <w:hyperlink w:anchor="_Toc135994831" w:history="1">
        <w:r w:rsidR="00686DFE" w:rsidRPr="00CE5D9A">
          <w:rPr>
            <w:rStyle w:val="Hipercze"/>
            <w:rFonts w:ascii="Times New Roman" w:hAnsi="Times New Roman"/>
            <w:noProof/>
            <w:color w:val="auto"/>
          </w:rPr>
          <w:t>2.</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Etap wdrażania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_Toc135994831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18</w:t>
        </w:r>
        <w:r w:rsidR="00686DFE" w:rsidRPr="00CE5D9A">
          <w:rPr>
            <w:rFonts w:ascii="Times New Roman" w:hAnsi="Times New Roman"/>
            <w:noProof/>
          </w:rPr>
          <w:fldChar w:fldCharType="end"/>
        </w:r>
      </w:hyperlink>
    </w:p>
    <w:p w14:paraId="29B511BA" w14:textId="1EECA63F" w:rsidR="00686DFE" w:rsidRPr="00CE5D9A" w:rsidRDefault="00970EF5">
      <w:pPr>
        <w:pStyle w:val="Spistreci1"/>
        <w:rPr>
          <w:rFonts w:ascii="Times New Roman" w:eastAsia="DengXian" w:hAnsi="Times New Roman"/>
          <w:noProof/>
          <w:lang w:eastAsia="pl-PL"/>
        </w:rPr>
      </w:pPr>
      <w:hyperlink w:anchor="_Toc135994832" w:history="1">
        <w:r w:rsidR="00686DFE" w:rsidRPr="00CE5D9A">
          <w:rPr>
            <w:rStyle w:val="Hipercze"/>
            <w:rFonts w:ascii="Times New Roman" w:hAnsi="Times New Roman"/>
            <w:noProof/>
            <w:color w:val="auto"/>
          </w:rPr>
          <w:t>IV.</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ANALIZA POTRZEB I POTENCJAŁU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_Toc135994832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21</w:t>
        </w:r>
        <w:r w:rsidR="00686DFE" w:rsidRPr="00CE5D9A">
          <w:rPr>
            <w:rFonts w:ascii="Times New Roman" w:hAnsi="Times New Roman"/>
            <w:noProof/>
          </w:rPr>
          <w:fldChar w:fldCharType="end"/>
        </w:r>
      </w:hyperlink>
    </w:p>
    <w:p w14:paraId="2275CC56" w14:textId="16D9A8EE" w:rsidR="00686DFE" w:rsidRPr="00CE5D9A" w:rsidRDefault="00970EF5">
      <w:pPr>
        <w:pStyle w:val="Spistreci2"/>
        <w:rPr>
          <w:rFonts w:ascii="Times New Roman" w:eastAsia="DengXian" w:hAnsi="Times New Roman"/>
          <w:noProof/>
          <w:lang w:eastAsia="pl-PL"/>
        </w:rPr>
      </w:pPr>
      <w:hyperlink w:anchor="_Toc135994833" w:history="1">
        <w:r w:rsidR="00686DFE" w:rsidRPr="00CE5D9A">
          <w:rPr>
            <w:rStyle w:val="Hipercze"/>
            <w:rFonts w:ascii="Times New Roman" w:hAnsi="Times New Roman"/>
            <w:noProof/>
            <w:color w:val="auto"/>
          </w:rPr>
          <w:t>1.</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Potrzeby rozwojowe i potencjały obszaru</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_Toc135994833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21</w:t>
        </w:r>
        <w:r w:rsidR="00686DFE" w:rsidRPr="00CE5D9A">
          <w:rPr>
            <w:rFonts w:ascii="Times New Roman" w:hAnsi="Times New Roman"/>
            <w:noProof/>
          </w:rPr>
          <w:fldChar w:fldCharType="end"/>
        </w:r>
      </w:hyperlink>
    </w:p>
    <w:p w14:paraId="1C2CC8D3" w14:textId="2543A56E" w:rsidR="00686DFE" w:rsidRPr="00CE5D9A" w:rsidRDefault="00970EF5">
      <w:pPr>
        <w:pStyle w:val="Spistreci2"/>
        <w:rPr>
          <w:rFonts w:ascii="Times New Roman" w:eastAsia="DengXian" w:hAnsi="Times New Roman"/>
          <w:noProof/>
          <w:lang w:eastAsia="pl-PL"/>
        </w:rPr>
      </w:pPr>
      <w:hyperlink w:anchor="_Toc135994834" w:history="1">
        <w:r w:rsidR="00686DFE" w:rsidRPr="00CE5D9A">
          <w:rPr>
            <w:rStyle w:val="Hipercze"/>
            <w:rFonts w:ascii="Times New Roman" w:hAnsi="Times New Roman"/>
            <w:noProof/>
            <w:color w:val="auto"/>
          </w:rPr>
          <w:t>2.</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Analiza SWOT</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_Toc135994834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49</w:t>
        </w:r>
        <w:r w:rsidR="00686DFE" w:rsidRPr="00CE5D9A">
          <w:rPr>
            <w:rFonts w:ascii="Times New Roman" w:hAnsi="Times New Roman"/>
            <w:noProof/>
          </w:rPr>
          <w:fldChar w:fldCharType="end"/>
        </w:r>
      </w:hyperlink>
    </w:p>
    <w:p w14:paraId="7D21085C" w14:textId="17B63954" w:rsidR="00686DFE" w:rsidRPr="00CE5D9A" w:rsidRDefault="00970EF5">
      <w:pPr>
        <w:pStyle w:val="Spistreci2"/>
        <w:rPr>
          <w:rFonts w:ascii="Times New Roman" w:eastAsia="DengXian" w:hAnsi="Times New Roman"/>
          <w:noProof/>
          <w:lang w:eastAsia="pl-PL"/>
        </w:rPr>
      </w:pPr>
      <w:hyperlink w:anchor="_Toc135994835" w:history="1">
        <w:r w:rsidR="00686DFE" w:rsidRPr="00CE5D9A">
          <w:rPr>
            <w:rStyle w:val="Hipercze"/>
            <w:rFonts w:ascii="Times New Roman" w:hAnsi="Times New Roman"/>
            <w:noProof/>
            <w:color w:val="auto"/>
          </w:rPr>
          <w:t>3.</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Wnioski z diagnozy</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_Toc135994835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52</w:t>
        </w:r>
        <w:r w:rsidR="00686DFE" w:rsidRPr="00CE5D9A">
          <w:rPr>
            <w:rFonts w:ascii="Times New Roman" w:hAnsi="Times New Roman"/>
            <w:noProof/>
          </w:rPr>
          <w:fldChar w:fldCharType="end"/>
        </w:r>
      </w:hyperlink>
    </w:p>
    <w:p w14:paraId="774ABD16" w14:textId="621DDF68" w:rsidR="00686DFE" w:rsidRPr="00CE5D9A" w:rsidRDefault="00970EF5">
      <w:pPr>
        <w:pStyle w:val="Spistreci2"/>
        <w:rPr>
          <w:rFonts w:ascii="Times New Roman" w:eastAsia="DengXian" w:hAnsi="Times New Roman"/>
          <w:noProof/>
          <w:lang w:eastAsia="pl-PL"/>
        </w:rPr>
      </w:pPr>
      <w:hyperlink w:anchor="_Toc135994836" w:history="1">
        <w:r w:rsidR="00686DFE" w:rsidRPr="00CE5D9A">
          <w:rPr>
            <w:rStyle w:val="Hipercze"/>
            <w:rFonts w:ascii="Times New Roman" w:hAnsi="Times New Roman"/>
            <w:noProof/>
            <w:color w:val="auto"/>
          </w:rPr>
          <w:t>4.</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Grupy docelowe</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_Toc135994836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56</w:t>
        </w:r>
        <w:r w:rsidR="00686DFE" w:rsidRPr="00CE5D9A">
          <w:rPr>
            <w:rFonts w:ascii="Times New Roman" w:hAnsi="Times New Roman"/>
            <w:noProof/>
          </w:rPr>
          <w:fldChar w:fldCharType="end"/>
        </w:r>
      </w:hyperlink>
    </w:p>
    <w:p w14:paraId="0944E503" w14:textId="2A3453F2" w:rsidR="00686DFE" w:rsidRPr="00CE5D9A" w:rsidRDefault="00970EF5">
      <w:pPr>
        <w:pStyle w:val="Spistreci1"/>
        <w:rPr>
          <w:rFonts w:ascii="Times New Roman" w:eastAsia="DengXian" w:hAnsi="Times New Roman"/>
          <w:noProof/>
          <w:lang w:eastAsia="pl-PL"/>
        </w:rPr>
      </w:pPr>
      <w:hyperlink w:anchor="_Toc135994837" w:history="1">
        <w:r w:rsidR="00686DFE" w:rsidRPr="00CE5D9A">
          <w:rPr>
            <w:rStyle w:val="Hipercze"/>
            <w:rFonts w:ascii="Times New Roman" w:hAnsi="Times New Roman"/>
            <w:noProof/>
            <w:color w:val="auto"/>
          </w:rPr>
          <w:t>V.</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SPÓJNOŚĆ, KOMPLEMENTARNOŚĆ I SYNERGIA</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_Toc135994837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58</w:t>
        </w:r>
        <w:r w:rsidR="00686DFE" w:rsidRPr="00CE5D9A">
          <w:rPr>
            <w:rFonts w:ascii="Times New Roman" w:hAnsi="Times New Roman"/>
            <w:noProof/>
          </w:rPr>
          <w:fldChar w:fldCharType="end"/>
        </w:r>
      </w:hyperlink>
    </w:p>
    <w:p w14:paraId="33126CD9" w14:textId="7538CDFA" w:rsidR="00686DFE" w:rsidRPr="00CE5D9A" w:rsidRDefault="00970EF5">
      <w:pPr>
        <w:pStyle w:val="Spistreci1"/>
        <w:rPr>
          <w:rFonts w:ascii="Times New Roman" w:eastAsia="DengXian" w:hAnsi="Times New Roman"/>
          <w:noProof/>
          <w:lang w:eastAsia="pl-PL"/>
        </w:rPr>
      </w:pPr>
      <w:hyperlink w:anchor="_Toc135994838" w:history="1">
        <w:r w:rsidR="00686DFE" w:rsidRPr="00CE5D9A">
          <w:rPr>
            <w:rStyle w:val="Hipercze"/>
            <w:rFonts w:ascii="Times New Roman" w:hAnsi="Times New Roman"/>
            <w:noProof/>
            <w:color w:val="auto"/>
          </w:rPr>
          <w:t>VI.</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CELE I WSKAŹNIKI</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_Toc135994838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68</w:t>
        </w:r>
        <w:r w:rsidR="00686DFE" w:rsidRPr="00CE5D9A">
          <w:rPr>
            <w:rFonts w:ascii="Times New Roman" w:hAnsi="Times New Roman"/>
            <w:noProof/>
          </w:rPr>
          <w:fldChar w:fldCharType="end"/>
        </w:r>
      </w:hyperlink>
    </w:p>
    <w:p w14:paraId="64E6829E" w14:textId="62950F3D" w:rsidR="00686DFE" w:rsidRPr="00CE5D9A" w:rsidRDefault="00970EF5">
      <w:pPr>
        <w:pStyle w:val="Spistreci1"/>
        <w:rPr>
          <w:rFonts w:ascii="Times New Roman" w:eastAsia="DengXian" w:hAnsi="Times New Roman"/>
          <w:noProof/>
          <w:lang w:eastAsia="pl-PL"/>
        </w:rPr>
      </w:pPr>
      <w:hyperlink w:anchor="_Toc135994839" w:history="1">
        <w:r w:rsidR="00686DFE" w:rsidRPr="00CE5D9A">
          <w:rPr>
            <w:rStyle w:val="Hipercze"/>
            <w:rFonts w:ascii="Times New Roman" w:hAnsi="Times New Roman"/>
            <w:noProof/>
            <w:color w:val="auto"/>
          </w:rPr>
          <w:t>VII.</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 xml:space="preserve">SPOSÓB WYBORU I OCENY OPERACJI ORAZ SPOSÓB USTANAWIANIA KRYTERIÓW </w:t>
        </w:r>
        <w:r w:rsidR="00686DFE" w:rsidRPr="00CE5D9A">
          <w:rPr>
            <w:rStyle w:val="Hipercze"/>
            <w:rFonts w:ascii="Times New Roman" w:hAnsi="Times New Roman"/>
            <w:noProof/>
            <w:color w:val="auto"/>
          </w:rPr>
          <w:br/>
          <w:t>WYBORU</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_Toc135994839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78</w:t>
        </w:r>
        <w:r w:rsidR="00686DFE" w:rsidRPr="00CE5D9A">
          <w:rPr>
            <w:rFonts w:ascii="Times New Roman" w:hAnsi="Times New Roman"/>
            <w:noProof/>
          </w:rPr>
          <w:fldChar w:fldCharType="end"/>
        </w:r>
      </w:hyperlink>
    </w:p>
    <w:p w14:paraId="7A2DD3AB" w14:textId="5E99C7F7" w:rsidR="00686DFE" w:rsidRPr="00CE5D9A" w:rsidRDefault="00970EF5">
      <w:pPr>
        <w:pStyle w:val="Spistreci1"/>
        <w:rPr>
          <w:rFonts w:ascii="Times New Roman" w:eastAsia="DengXian" w:hAnsi="Times New Roman"/>
          <w:noProof/>
          <w:lang w:eastAsia="pl-PL"/>
        </w:rPr>
      </w:pPr>
      <w:hyperlink w:anchor="_Toc135994840" w:history="1">
        <w:r w:rsidR="00686DFE" w:rsidRPr="00CE5D9A">
          <w:rPr>
            <w:rStyle w:val="Hipercze"/>
            <w:rFonts w:ascii="Times New Roman" w:hAnsi="Times New Roman"/>
            <w:noProof/>
            <w:color w:val="auto"/>
          </w:rPr>
          <w:t>VIII.</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PLAN DZIAŁANIA</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_Toc135994840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81</w:t>
        </w:r>
        <w:r w:rsidR="00686DFE" w:rsidRPr="00CE5D9A">
          <w:rPr>
            <w:rFonts w:ascii="Times New Roman" w:hAnsi="Times New Roman"/>
            <w:noProof/>
          </w:rPr>
          <w:fldChar w:fldCharType="end"/>
        </w:r>
      </w:hyperlink>
    </w:p>
    <w:p w14:paraId="4B1E3304" w14:textId="2DDDF65F" w:rsidR="00686DFE" w:rsidRPr="00CE5D9A" w:rsidRDefault="00970EF5">
      <w:pPr>
        <w:pStyle w:val="Spistreci1"/>
        <w:rPr>
          <w:rFonts w:ascii="Times New Roman" w:eastAsia="DengXian" w:hAnsi="Times New Roman"/>
          <w:noProof/>
          <w:lang w:eastAsia="pl-PL"/>
        </w:rPr>
      </w:pPr>
      <w:hyperlink w:anchor="_Toc135994841" w:history="1">
        <w:r w:rsidR="00686DFE" w:rsidRPr="00CE5D9A">
          <w:rPr>
            <w:rStyle w:val="Hipercze"/>
            <w:rFonts w:ascii="Times New Roman" w:hAnsi="Times New Roman"/>
            <w:noProof/>
            <w:color w:val="auto"/>
          </w:rPr>
          <w:t>IX.</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PLAN FINANSOWY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_Toc135994841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85</w:t>
        </w:r>
        <w:r w:rsidR="00686DFE" w:rsidRPr="00CE5D9A">
          <w:rPr>
            <w:rFonts w:ascii="Times New Roman" w:hAnsi="Times New Roman"/>
            <w:noProof/>
          </w:rPr>
          <w:fldChar w:fldCharType="end"/>
        </w:r>
      </w:hyperlink>
    </w:p>
    <w:p w14:paraId="60980FDF" w14:textId="63F71F6D" w:rsidR="00686DFE" w:rsidRPr="00CE5D9A" w:rsidRDefault="00970EF5">
      <w:pPr>
        <w:pStyle w:val="Spistreci1"/>
        <w:rPr>
          <w:rFonts w:ascii="Times New Roman" w:eastAsia="DengXian" w:hAnsi="Times New Roman"/>
          <w:noProof/>
          <w:lang w:eastAsia="pl-PL"/>
        </w:rPr>
      </w:pPr>
      <w:hyperlink w:anchor="_Toc135994842" w:history="1">
        <w:r w:rsidR="00686DFE" w:rsidRPr="00CE5D9A">
          <w:rPr>
            <w:rStyle w:val="Hipercze"/>
            <w:rFonts w:ascii="Times New Roman" w:hAnsi="Times New Roman"/>
            <w:noProof/>
            <w:color w:val="auto"/>
          </w:rPr>
          <w:t>X.</w:t>
        </w:r>
        <w:r w:rsidR="00686DFE" w:rsidRPr="00CE5D9A">
          <w:rPr>
            <w:rFonts w:ascii="Times New Roman" w:eastAsia="DengXian" w:hAnsi="Times New Roman"/>
            <w:noProof/>
            <w:lang w:eastAsia="pl-PL"/>
          </w:rPr>
          <w:tab/>
        </w:r>
        <w:r w:rsidR="00686DFE" w:rsidRPr="00CE5D9A">
          <w:rPr>
            <w:rStyle w:val="Hipercze"/>
            <w:rFonts w:ascii="Times New Roman" w:hAnsi="Times New Roman"/>
            <w:noProof/>
            <w:color w:val="auto"/>
          </w:rPr>
          <w:t>MONITORING I EWALUACJA</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_Toc135994842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86</w:t>
        </w:r>
        <w:r w:rsidR="00686DFE" w:rsidRPr="00CE5D9A">
          <w:rPr>
            <w:rFonts w:ascii="Times New Roman" w:hAnsi="Times New Roman"/>
            <w:noProof/>
          </w:rPr>
          <w:fldChar w:fldCharType="end"/>
        </w:r>
      </w:hyperlink>
    </w:p>
    <w:p w14:paraId="44A5BBAC" w14:textId="5E6D2CE1" w:rsidR="00686DFE" w:rsidRPr="00CE5D9A" w:rsidRDefault="00970EF5">
      <w:pPr>
        <w:pStyle w:val="Spistreci2"/>
        <w:rPr>
          <w:rFonts w:ascii="Times New Roman" w:eastAsia="DengXian" w:hAnsi="Times New Roman"/>
          <w:noProof/>
          <w:lang w:eastAsia="pl-PL"/>
        </w:rPr>
      </w:pPr>
      <w:hyperlink w:anchor="_Toc135994843" w:history="1">
        <w:r w:rsidR="00686DFE" w:rsidRPr="00CE5D9A">
          <w:rPr>
            <w:rStyle w:val="Hipercze"/>
            <w:rFonts w:ascii="Times New Roman" w:hAnsi="Times New Roman"/>
            <w:noProof/>
            <w:color w:val="auto"/>
          </w:rPr>
          <w:t>Spis rysunków</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_Toc135994843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88</w:t>
        </w:r>
        <w:r w:rsidR="00686DFE" w:rsidRPr="00CE5D9A">
          <w:rPr>
            <w:rFonts w:ascii="Times New Roman" w:hAnsi="Times New Roman"/>
            <w:noProof/>
          </w:rPr>
          <w:fldChar w:fldCharType="end"/>
        </w:r>
      </w:hyperlink>
    </w:p>
    <w:p w14:paraId="251D9146" w14:textId="753A5EC6" w:rsidR="00686DFE" w:rsidRPr="00CE5D9A" w:rsidRDefault="00970EF5">
      <w:pPr>
        <w:pStyle w:val="Spistreci2"/>
        <w:rPr>
          <w:rFonts w:ascii="Times New Roman" w:eastAsia="DengXian" w:hAnsi="Times New Roman"/>
          <w:noProof/>
          <w:lang w:eastAsia="pl-PL"/>
        </w:rPr>
      </w:pPr>
      <w:hyperlink w:anchor="_Toc135994844" w:history="1">
        <w:r w:rsidR="00686DFE" w:rsidRPr="00CE5D9A">
          <w:rPr>
            <w:rStyle w:val="Hipercze"/>
            <w:rFonts w:ascii="Times New Roman" w:hAnsi="Times New Roman"/>
            <w:noProof/>
            <w:color w:val="auto"/>
          </w:rPr>
          <w:t>Spis map</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_Toc135994844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88</w:t>
        </w:r>
        <w:r w:rsidR="00686DFE" w:rsidRPr="00CE5D9A">
          <w:rPr>
            <w:rFonts w:ascii="Times New Roman" w:hAnsi="Times New Roman"/>
            <w:noProof/>
          </w:rPr>
          <w:fldChar w:fldCharType="end"/>
        </w:r>
      </w:hyperlink>
    </w:p>
    <w:p w14:paraId="7A5AF175" w14:textId="0F07458F" w:rsidR="00686DFE" w:rsidRPr="00CE5D9A" w:rsidRDefault="00970EF5">
      <w:pPr>
        <w:pStyle w:val="Spistreci2"/>
        <w:rPr>
          <w:rFonts w:ascii="Times New Roman" w:eastAsia="DengXian" w:hAnsi="Times New Roman"/>
          <w:noProof/>
          <w:lang w:eastAsia="pl-PL"/>
        </w:rPr>
      </w:pPr>
      <w:hyperlink w:anchor="_Toc135994845" w:history="1">
        <w:r w:rsidR="00686DFE" w:rsidRPr="00CE5D9A">
          <w:rPr>
            <w:rStyle w:val="Hipercze"/>
            <w:rFonts w:ascii="Times New Roman" w:hAnsi="Times New Roman"/>
            <w:noProof/>
            <w:color w:val="auto"/>
          </w:rPr>
          <w:t>Spis wykresów</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_Toc135994845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88</w:t>
        </w:r>
        <w:r w:rsidR="00686DFE" w:rsidRPr="00CE5D9A">
          <w:rPr>
            <w:rFonts w:ascii="Times New Roman" w:hAnsi="Times New Roman"/>
            <w:noProof/>
          </w:rPr>
          <w:fldChar w:fldCharType="end"/>
        </w:r>
      </w:hyperlink>
    </w:p>
    <w:p w14:paraId="0DEE1D34" w14:textId="2DCFE89B" w:rsidR="00686DFE" w:rsidRPr="00CE5D9A" w:rsidRDefault="00970EF5">
      <w:pPr>
        <w:pStyle w:val="Spistreci2"/>
        <w:rPr>
          <w:rFonts w:ascii="Times New Roman" w:eastAsia="DengXian" w:hAnsi="Times New Roman"/>
          <w:noProof/>
          <w:lang w:eastAsia="pl-PL"/>
        </w:rPr>
      </w:pPr>
      <w:hyperlink w:anchor="_Toc135994846" w:history="1">
        <w:r w:rsidR="00686DFE" w:rsidRPr="00CE5D9A">
          <w:rPr>
            <w:rStyle w:val="Hipercze"/>
            <w:rFonts w:ascii="Times New Roman" w:hAnsi="Times New Roman"/>
            <w:noProof/>
            <w:color w:val="auto"/>
          </w:rPr>
          <w:t>Spis tabel</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_Toc135994846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88</w:t>
        </w:r>
        <w:r w:rsidR="00686DFE" w:rsidRPr="00CE5D9A">
          <w:rPr>
            <w:rFonts w:ascii="Times New Roman" w:hAnsi="Times New Roman"/>
            <w:noProof/>
          </w:rPr>
          <w:fldChar w:fldCharType="end"/>
        </w:r>
      </w:hyperlink>
    </w:p>
    <w:p w14:paraId="02E30592" w14:textId="5F775D50" w:rsidR="00686DFE" w:rsidRPr="00CE5D9A" w:rsidRDefault="00970EF5">
      <w:pPr>
        <w:pStyle w:val="Spistreci2"/>
        <w:rPr>
          <w:rFonts w:ascii="Times New Roman" w:eastAsia="DengXian" w:hAnsi="Times New Roman"/>
          <w:noProof/>
          <w:lang w:eastAsia="pl-PL"/>
        </w:rPr>
      </w:pPr>
      <w:hyperlink w:anchor="_Toc135994847" w:history="1">
        <w:r w:rsidR="00686DFE" w:rsidRPr="00CE5D9A">
          <w:rPr>
            <w:rStyle w:val="Hipercze"/>
            <w:rFonts w:ascii="Times New Roman" w:hAnsi="Times New Roman"/>
            <w:noProof/>
            <w:color w:val="auto"/>
          </w:rPr>
          <w:t>Wykaz wykorzystanej literatury</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_Toc135994847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89</w:t>
        </w:r>
        <w:r w:rsidR="00686DFE" w:rsidRPr="00CE5D9A">
          <w:rPr>
            <w:rFonts w:ascii="Times New Roman" w:hAnsi="Times New Roman"/>
            <w:noProof/>
          </w:rPr>
          <w:fldChar w:fldCharType="end"/>
        </w:r>
      </w:hyperlink>
    </w:p>
    <w:p w14:paraId="5A5975EC" w14:textId="1D2032A6" w:rsidR="00686DFE" w:rsidRPr="00CE5D9A" w:rsidRDefault="00970EF5">
      <w:pPr>
        <w:pStyle w:val="Spistreci2"/>
        <w:rPr>
          <w:rFonts w:eastAsia="DengXian"/>
          <w:noProof/>
          <w:lang w:eastAsia="pl-PL"/>
        </w:rPr>
      </w:pPr>
      <w:hyperlink w:anchor="_Toc135994848" w:history="1">
        <w:r w:rsidR="00686DFE" w:rsidRPr="00CE5D9A">
          <w:rPr>
            <w:rStyle w:val="Hipercze"/>
            <w:rFonts w:ascii="Times New Roman" w:hAnsi="Times New Roman"/>
            <w:noProof/>
            <w:color w:val="auto"/>
          </w:rPr>
          <w:t>Załączniki do LSR</w:t>
        </w:r>
        <w:r w:rsidR="00686DFE" w:rsidRPr="00CE5D9A">
          <w:rPr>
            <w:rFonts w:ascii="Times New Roman" w:hAnsi="Times New Roman"/>
            <w:noProof/>
          </w:rPr>
          <w:tab/>
        </w:r>
        <w:r w:rsidR="00686DFE" w:rsidRPr="00CE5D9A">
          <w:rPr>
            <w:rFonts w:ascii="Times New Roman" w:hAnsi="Times New Roman"/>
            <w:noProof/>
          </w:rPr>
          <w:fldChar w:fldCharType="begin"/>
        </w:r>
        <w:r w:rsidR="00686DFE" w:rsidRPr="00CE5D9A">
          <w:rPr>
            <w:rFonts w:ascii="Times New Roman" w:hAnsi="Times New Roman"/>
            <w:noProof/>
          </w:rPr>
          <w:instrText xml:space="preserve"> PAGEREF _Toc135994848 \h </w:instrText>
        </w:r>
        <w:r w:rsidR="00686DFE" w:rsidRPr="00CE5D9A">
          <w:rPr>
            <w:rFonts w:ascii="Times New Roman" w:hAnsi="Times New Roman"/>
            <w:noProof/>
          </w:rPr>
        </w:r>
        <w:r w:rsidR="00686DFE" w:rsidRPr="00CE5D9A">
          <w:rPr>
            <w:rFonts w:ascii="Times New Roman" w:hAnsi="Times New Roman"/>
            <w:noProof/>
          </w:rPr>
          <w:fldChar w:fldCharType="separate"/>
        </w:r>
        <w:r w:rsidR="00AD7096">
          <w:rPr>
            <w:rFonts w:ascii="Times New Roman" w:hAnsi="Times New Roman"/>
            <w:noProof/>
          </w:rPr>
          <w:t>90</w:t>
        </w:r>
        <w:r w:rsidR="00686DFE" w:rsidRPr="00CE5D9A">
          <w:rPr>
            <w:rFonts w:ascii="Times New Roman" w:hAnsi="Times New Roman"/>
            <w:noProof/>
          </w:rPr>
          <w:fldChar w:fldCharType="end"/>
        </w:r>
      </w:hyperlink>
    </w:p>
    <w:p w14:paraId="350DCE4E" w14:textId="77777777" w:rsidR="00686DFE" w:rsidRPr="00CE5D9A" w:rsidRDefault="00686DFE">
      <w:pPr>
        <w:spacing w:line="276" w:lineRule="auto"/>
        <w:jc w:val="both"/>
        <w:rPr>
          <w:rFonts w:ascii="Times New Roman" w:hAnsi="Times New Roman"/>
        </w:rPr>
      </w:pPr>
      <w:r w:rsidRPr="00CE5D9A">
        <w:rPr>
          <w:rFonts w:ascii="Times New Roman" w:hAnsi="Times New Roman"/>
        </w:rPr>
        <w:fldChar w:fldCharType="end"/>
      </w:r>
    </w:p>
    <w:p w14:paraId="6DB06292" w14:textId="77777777" w:rsidR="00686DFE" w:rsidRPr="00CE5D9A" w:rsidRDefault="00686DFE">
      <w:pPr>
        <w:jc w:val="center"/>
        <w:rPr>
          <w:rFonts w:ascii="Times New Roman" w:hAnsi="Times New Roman"/>
          <w:b/>
          <w:bCs/>
        </w:rPr>
      </w:pPr>
      <w:r w:rsidRPr="00CE5D9A">
        <w:rPr>
          <w:rFonts w:ascii="Times New Roman" w:hAnsi="Times New Roman"/>
          <w:b/>
          <w:bCs/>
        </w:rPr>
        <w:br w:type="page"/>
      </w:r>
    </w:p>
    <w:p w14:paraId="22C26BE2" w14:textId="77777777" w:rsidR="00686DFE" w:rsidRPr="00CE5D9A" w:rsidRDefault="00686DFE">
      <w:pPr>
        <w:pStyle w:val="Akapitzlist"/>
        <w:numPr>
          <w:ilvl w:val="0"/>
          <w:numId w:val="2"/>
        </w:numPr>
        <w:spacing w:line="276" w:lineRule="auto"/>
        <w:ind w:left="714" w:hanging="357"/>
        <w:contextualSpacing w:val="0"/>
        <w:jc w:val="both"/>
        <w:outlineLvl w:val="0"/>
        <w:rPr>
          <w:rFonts w:ascii="Times New Roman" w:hAnsi="Times New Roman"/>
          <w:b/>
          <w:bCs/>
        </w:rPr>
      </w:pPr>
      <w:bookmarkStart w:id="1" w:name="_Toc135994820"/>
      <w:r w:rsidRPr="00CE5D9A">
        <w:rPr>
          <w:rFonts w:ascii="Times New Roman" w:hAnsi="Times New Roman"/>
          <w:b/>
          <w:bCs/>
        </w:rPr>
        <w:lastRenderedPageBreak/>
        <w:t>CHARAKTERYSTYKA PARTNERSTWA LOKALNEGO</w:t>
      </w:r>
      <w:bookmarkEnd w:id="1"/>
    </w:p>
    <w:p w14:paraId="17B185DC" w14:textId="77777777" w:rsidR="00686DFE" w:rsidRPr="00CE5D9A" w:rsidRDefault="00686DFE">
      <w:pPr>
        <w:pStyle w:val="Akapitzlist"/>
        <w:numPr>
          <w:ilvl w:val="0"/>
          <w:numId w:val="3"/>
        </w:numPr>
        <w:spacing w:before="240" w:line="276" w:lineRule="auto"/>
        <w:ind w:left="1134"/>
        <w:jc w:val="both"/>
        <w:outlineLvl w:val="1"/>
        <w:rPr>
          <w:rFonts w:ascii="Times New Roman" w:hAnsi="Times New Roman"/>
          <w:b/>
          <w:bCs/>
        </w:rPr>
      </w:pPr>
      <w:bookmarkStart w:id="2" w:name="_Toc135994821"/>
      <w:r w:rsidRPr="00CE5D9A">
        <w:rPr>
          <w:rFonts w:ascii="Times New Roman" w:hAnsi="Times New Roman"/>
          <w:b/>
          <w:bCs/>
        </w:rPr>
        <w:t>Nazwa LGD, forma prawna</w:t>
      </w:r>
      <w:bookmarkEnd w:id="2"/>
    </w:p>
    <w:p w14:paraId="10690AB6" w14:textId="4A49D32A" w:rsidR="00686DFE" w:rsidRPr="00CE5D9A" w:rsidRDefault="00686DFE">
      <w:pPr>
        <w:spacing w:before="240" w:line="276" w:lineRule="auto"/>
        <w:jc w:val="both"/>
        <w:rPr>
          <w:rFonts w:ascii="Times New Roman" w:hAnsi="Times New Roman"/>
        </w:rPr>
      </w:pPr>
      <w:r w:rsidRPr="00CE5D9A">
        <w:rPr>
          <w:rFonts w:ascii="Times New Roman" w:hAnsi="Times New Roman"/>
        </w:rPr>
        <w:tab/>
      </w:r>
      <w:r w:rsidRPr="00FB55A5">
        <w:rPr>
          <w:rFonts w:ascii="Times New Roman" w:hAnsi="Times New Roman"/>
          <w:highlight w:val="cyan"/>
        </w:rPr>
        <w:t>Stowarzyszenie Lokalna Grupa Działania „Między Dalinem i Gościbią” (LGD „MDiG”)</w:t>
      </w:r>
      <w:r w:rsidRPr="00CE5D9A">
        <w:rPr>
          <w:rFonts w:ascii="Times New Roman" w:hAnsi="Times New Roman"/>
        </w:rPr>
        <w:t xml:space="preserve"> działa jako stowarzyszenie posiadające osobowość prawną, wpisane w dniu 1 września 2008 r. do Krajowego Rejestru Sądowego pod numerem 0000312740. </w:t>
      </w:r>
      <w:r w:rsidR="004A5BB1" w:rsidRPr="00E827FE">
        <w:rPr>
          <w:rFonts w:ascii="Times New Roman" w:hAnsi="Times New Roman"/>
          <w:color w:val="FF0000"/>
        </w:rPr>
        <w:t>Dnia 25.06.2025r. decyzją Walnego Zebrania Członków zmieniona została nazwa Stowarzyszenia na: LGD Regionu Myślenickiego</w:t>
      </w:r>
      <w:r w:rsidR="004A5BB1" w:rsidRPr="00B16A46">
        <w:rPr>
          <w:rFonts w:ascii="Times New Roman" w:hAnsi="Times New Roman"/>
          <w:color w:val="FF0000"/>
        </w:rPr>
        <w:t xml:space="preserve">. </w:t>
      </w:r>
      <w:r w:rsidRPr="00CE5D9A">
        <w:rPr>
          <w:rFonts w:ascii="Times New Roman" w:hAnsi="Times New Roman"/>
        </w:rPr>
        <w:t>Formą prawną partnerstwa jest stowarzyszenie „specjalne” – jest to jednolita dla wszystkich LGD forma organizacyjno-prawna, charakteryzująca się tym, że w stowarzyszeniu oprócz osób fizycznych członkami zwyczajnymi mogą być także osoby prawne, w tym jednostki samorządu terytorialnego, z wyłączeniem województw, a nadzór nad nim sprawuje marszałek województwa i może ono prowadzić działalność gospodarczą służącą realizacji LSR. Poza tym w takim stowarzyszeniu, obok walnego zebrania członków, zarządu oraz organu kontroli wewnętrznej, funkcjonuje dodatkowy organ jakim jest rada, która podejmuje decyzje w sprawie wyboru operacji realizowanych w ramach LSR (chyba że w Statucie LGD przewidziano, że zadania te należą do właściwości zarządu).</w:t>
      </w:r>
    </w:p>
    <w:p w14:paraId="28CCAE07" w14:textId="77777777" w:rsidR="00686DFE" w:rsidRPr="00CE5D9A" w:rsidRDefault="00686DFE">
      <w:pPr>
        <w:pStyle w:val="Akapitzlist"/>
        <w:numPr>
          <w:ilvl w:val="0"/>
          <w:numId w:val="3"/>
        </w:numPr>
        <w:spacing w:before="240" w:line="276" w:lineRule="auto"/>
        <w:ind w:left="1134"/>
        <w:jc w:val="both"/>
        <w:outlineLvl w:val="1"/>
        <w:rPr>
          <w:rFonts w:ascii="Times New Roman" w:hAnsi="Times New Roman"/>
          <w:b/>
          <w:bCs/>
        </w:rPr>
      </w:pPr>
      <w:bookmarkStart w:id="3" w:name="_Toc135994822"/>
      <w:r w:rsidRPr="00CE5D9A">
        <w:rPr>
          <w:rFonts w:ascii="Times New Roman" w:hAnsi="Times New Roman"/>
          <w:b/>
          <w:bCs/>
        </w:rPr>
        <w:t>Proces tworzenia i doświadczenie partnerstwa</w:t>
      </w:r>
      <w:bookmarkEnd w:id="3"/>
      <w:r w:rsidRPr="00CE5D9A">
        <w:rPr>
          <w:rFonts w:ascii="Times New Roman" w:hAnsi="Times New Roman"/>
          <w:b/>
          <w:bCs/>
        </w:rPr>
        <w:t xml:space="preserve"> </w:t>
      </w:r>
      <w:r w:rsidRPr="00CE5D9A">
        <w:rPr>
          <w:rFonts w:ascii="Times New Roman" w:hAnsi="Times New Roman"/>
        </w:rPr>
        <w:t xml:space="preserve"> </w:t>
      </w:r>
    </w:p>
    <w:p w14:paraId="4F3D0813"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Społeczności dwóch gmin – Myślenice i Sułkowice – podjęły starania o udział w programie Leader jeszcze na etapie Działania 2.7 Sektorowego Programu Operacyjnego „Restrukturyzacja i modernizacja sektora żywnościowego i rozwój obszarów wiejskich” – „Pilotażowy Program Leader+”. Gminę Sułkowice obejmowała LGD „Gościniec 4 Żywiołów”, która uczestniczyła w Schemacie I PPL+. LGD ta nie mogła wziąć udziału w Schemacie II PPL+, ze względu na zbyt dużą gęstość zaludnienia. Społeczność Gminy Myślenice przystąpiła wraz ze społecznościami innych gmin do budowania LGD Turystyczna Podkowa, ale musiała się wycofać ze względu na zbyt dużą gęstość zaludnienia – umożliwiło to LGD Turystyczna Podkowa udział w Schemacie II PPL+. Obecna LGD jest wynikiem współpracy Burmistrzów i mieszkańców gmin Sułkowice i Myślenice w zakresie utworzenia Lokalnej Grupy Działania na terenie obu gmin. Inicjatywa ta została potwierdzona decyzjami podjętymi przez organy uchwałodawcze. W dniu 29 kwietnia 2008 r. Rada Miejska w Sułkowicach podjęła uchwałę w sprawie wyrażenia zgody na współpracę partnerską z Gminą Myślenice w zakresie realizacji działań Osi 4 „Leader” Programu Rozwoju Obszarów Wiejskich na lata 2007–2013 (PROW). Analogiczną uchwałę podjęła w dniu 26 maja 2008 r. Rada Miejska w Myślenicach. 17 czerwca 2008 r. Burmistrzowie obu gmin podpisali umowę o współpracy partnerskiej, której rezultatem miało być zorganizowanie na obszarze obydwu gmin Lokalnej Grupy Działania (LGD) oraz opracowanie Lokalnej Strategii Rozwoju (LSR). W zebraniu założycielskim, które odbyło się dnia 11 lipca 2008 roku w Sułkowicach wzięło udział 25 osób – 22 osoby fizyczne i 3 osoby reprezentujące podmioty prawne. Dla potrzeb rejestracji powołano Komitet Założycielski złożony z 4 osób – po dwie osob</w:t>
      </w:r>
      <w:r w:rsidR="00FB4F8A" w:rsidRPr="00CE5D9A">
        <w:rPr>
          <w:rFonts w:ascii="Times New Roman" w:hAnsi="Times New Roman"/>
        </w:rPr>
        <w:t>y z terenu gmin Myślenice i </w:t>
      </w:r>
      <w:r w:rsidRPr="00CE5D9A">
        <w:rPr>
          <w:rFonts w:ascii="Times New Roman" w:hAnsi="Times New Roman"/>
        </w:rPr>
        <w:t>Sułkowice. Po złożeniu stosownych dokumentów przez Komitet Założycielski, Sąd dokonał wpisu do KRS w dniu 1 września 2008 r. W dniu 21 października 2008 r. w Sułkowicach odbyło się I Walne Zebranie Członków, które wybrało władze LGD, w tym 5-osobowy Zarząd i 3-osobową Komisję Rewizyjną. 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„MDiG” (jej członkowie, osoby wchodzące w skład organów statutowych, pracownicy biura, a także wypracowane struktury i mechanizmy podejmowania decyzji) zdobyła doświadczenie, które skutkowało otrzymaniem dofinansowania poniższych projektów w ramach: działania „Wdrażanie lokalnych strategii rozwoju”, „Wdrażanie projektów współpracy”, oraz „Funkcjonowanie lokalnej grupy działania” w ramach Programu Rozwoju Obszarów Wiejskich na lata 2007–2013 finansowanego ze środków Europejskiego Funduszu Rolnego na rzecz Rozwoju Obszarów Wiejskich (EFRROW). Wysokość budżetu na realizację projektów w ramach działania „Wdrażanie lokalnych strategii rozwoju” wynosiła około 6 mln zł i wydatkowana zo</w:t>
      </w:r>
      <w:r w:rsidR="00FB4F8A" w:rsidRPr="00CE5D9A">
        <w:rPr>
          <w:rFonts w:ascii="Times New Roman" w:hAnsi="Times New Roman"/>
        </w:rPr>
        <w:t>stała na projekty z </w:t>
      </w:r>
      <w:r w:rsidRPr="00CE5D9A">
        <w:rPr>
          <w:rFonts w:ascii="Times New Roman" w:hAnsi="Times New Roman"/>
        </w:rPr>
        <w:t xml:space="preserve">zakresu poprawy infrastruktury sportowej, utworzenia miejsc wypoczynku, poprawy stanu infrastruktury technicznej, promocji walorów lokalnych, integracji mieszkańców, warsztatów artystycznych, kultywowania dziedzictwa kulturowego, tworzenia i rozwoju mikroprzedsiębiorstw, różnicowania w kierunku działalności nierolniczej oraz promowania obszaru gmin wchodzących w skład LGD. Zorganizowane zostały imprezy kulturalne, spotkania informacyjne, wdrażana była współpraca z Lokalnymi Grupami Działania z regionu. Prowadzone były szkolenia oraz konsultacje </w:t>
      </w:r>
      <w:r w:rsidRPr="00CE5D9A">
        <w:rPr>
          <w:rFonts w:ascii="Times New Roman" w:hAnsi="Times New Roman"/>
        </w:rPr>
        <w:lastRenderedPageBreak/>
        <w:t>dla partnerów LGD – mieszkańców, przedsię</w:t>
      </w:r>
      <w:r w:rsidR="00FB4F8A" w:rsidRPr="00CE5D9A">
        <w:rPr>
          <w:rFonts w:ascii="Times New Roman" w:hAnsi="Times New Roman"/>
        </w:rPr>
        <w:t xml:space="preserve">biorców, podmiotów publicznych </w:t>
      </w:r>
      <w:r w:rsidRPr="00CE5D9A">
        <w:rPr>
          <w:rFonts w:ascii="Times New Roman" w:hAnsi="Times New Roman"/>
        </w:rPr>
        <w:t>i</w:t>
      </w:r>
      <w:r w:rsidR="00FB4F8A" w:rsidRPr="00CE5D9A">
        <w:rPr>
          <w:rFonts w:ascii="Times New Roman" w:hAnsi="Times New Roman"/>
        </w:rPr>
        <w:t> </w:t>
      </w:r>
      <w:r w:rsidRPr="00CE5D9A">
        <w:rPr>
          <w:rFonts w:ascii="Times New Roman" w:hAnsi="Times New Roman"/>
        </w:rPr>
        <w:t xml:space="preserve">społecznych. Założenia budżetu na realizację LSR 2007–2013 zrealizowane zostały w 92%. </w:t>
      </w:r>
    </w:p>
    <w:p w14:paraId="736BB051"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Na drodze współpracy trzech LGD: Lokalnej Grupy Działania „Między Dalinem i Gościbią”, Lokalnej Grupy Działania Klimas oraz Stowarzyszenia Lokalna Grupa Działania Turystyczna Podkowa, w ramach działania „Wdrożenie projektów współpracy” w zakresie operacji polegającej na realizacji projektu współpracy, objętego Programem Rozwoju Obszarów Wiejskich na lata 2007–2013 powstał Portal Ziemi Myślenickiej. Portal Ziemi Myślenickiej daje możliwości odkrycia tajemnic i skarbów regionu. Serwis wykorzystuje najnowsze technologie informatyczne umożliwiające zaplanowanie niezapomnianej podróży w zaciszu domowego ogniska. Systematycznie rozwijana i uzupełniana baza obiektów zabytkowych, walorów krajobrazowych i infrastruktury turystycznej oraz interaktywna mapa Ziemi Myślenickiej umożliwią spacer bez wychodzenia z domu.</w:t>
      </w:r>
    </w:p>
    <w:p w14:paraId="0558177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Lokalna Strategia Rozwoju w okresie aplikacyjnym 2014–2020 wskazywała dwa cele ogólne: „Tworzenie warunków do rozwoju przedsiębiorczości, współpracy międzysektorowej i budowa różnorodności gospodarczej z wykorzystaniem potencjału obszaru i mieszkańców” oraz „Inwestowanie w sferę społeczną zapewniającą rozwój mieszkańców, oraz promocję obszaru z poszanowaniem tradycji, dziedzictwa kulturowego, ekologii, rekreacji dla podnoszenia jakości życia mieszkańców”. LGD „MDiG” w okresie realizacji Strategii wprowadziła kilka zmian w LSR, które wynikały m.in. z faktu, iż LGD otrzymała dwa razy bonus. </w:t>
      </w:r>
    </w:p>
    <w:p w14:paraId="1F8872B7"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okresie od maja 2017 roku do końca lutego 2021 roku, LGD „MDiG” zorganizowała 23 nabory wniosków aplikacyjnych, z czego dwa zostały odwołane. Ogółem złożono 122 wnioski aplikacyjne, z czego wybrano 102. Nabory zostały ogłoszone od razu na tyle środków, ile LGD miała do dyspozycji. Ogłaszanie naborów można podzielić na dwa etapy. W pierwszym etapie ogłaszane były nabory na projekty w zakresie przedsiębiorczości, w drugim etapie na działania społeczne. Beneficjenci mogli liczyć na spore wsparcie ze strony pracowników biura, zwłaszcza w pomocy przy opracowaniu wniosków na realizację działań społecznych, co przełożyło się na efektywne wykorzystanie środków i realizację wskaźników. Należy podkreślić, iż pandemia miała znaczenie w przypadku pracy Rady, wiązało się to z przesuwaniem terminów ogłaszanych naborów. Zdecydowana większość projektów została oceniona przed pandemią, a tylko ostatni nabór odbył się w trakcie pandemii.</w:t>
      </w:r>
    </w:p>
    <w:p w14:paraId="50A5AB7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Analizując postęp finansowy</w:t>
      </w:r>
      <w:r w:rsidRPr="00CE5D9A">
        <w:rPr>
          <w:rStyle w:val="Odwoanieprzypisudolnego"/>
          <w:rFonts w:ascii="Times New Roman" w:hAnsi="Times New Roman"/>
        </w:rPr>
        <w:footnoteReference w:id="1"/>
      </w:r>
      <w:r w:rsidRPr="00CE5D9A">
        <w:rPr>
          <w:rFonts w:ascii="Times New Roman" w:hAnsi="Times New Roman"/>
        </w:rPr>
        <w:t>, realizacja budżetu dla Celu ogólnego 1 została osiągnięta na poziomie 59%, natomiast dla Celu ogólnego 2 na poziomie 53%. W zakresie postępu finansowego należy wskazać, iż LGD otrzymało dwa razy bonus. W opinii pracowników Biura pandemia nie miała większego znaczenia na efektywność pracy, ponieważ Biuro funkcjonowało standardowo i nie było konieczności wprowadzenia pracy zdalnej czy hybrydowej. Nie miały miejsca sytuacje, aby jakikolwiek Wnioskodawca nie uzyskał potrzebnych informacji z powodu pandemii. Warto podkreślić, iż bardzo dobrze zostało przeprowadzone rozeznanie potrzeb mieszkańców na etapie opracowywania LSR, co przełożyło się na właściwe zrealizowanie wskaźników.</w:t>
      </w:r>
    </w:p>
    <w:p w14:paraId="7EAF33DD"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Członkowie LGD posiadają doświadczenie w realizacji projektów w partnerstwie:</w:t>
      </w:r>
    </w:p>
    <w:p w14:paraId="2265A45E" w14:textId="77777777" w:rsidR="00686DFE" w:rsidRPr="00CE5D9A" w:rsidRDefault="00686DFE">
      <w:pPr>
        <w:pStyle w:val="Akapitzlist"/>
        <w:numPr>
          <w:ilvl w:val="0"/>
          <w:numId w:val="4"/>
        </w:numPr>
        <w:spacing w:after="0" w:line="276" w:lineRule="auto"/>
        <w:ind w:left="851" w:hanging="425"/>
        <w:jc w:val="both"/>
        <w:rPr>
          <w:rFonts w:ascii="Times New Roman" w:hAnsi="Times New Roman"/>
        </w:rPr>
      </w:pPr>
      <w:r w:rsidRPr="00CE5D9A">
        <w:rPr>
          <w:rFonts w:ascii="Times New Roman" w:hAnsi="Times New Roman"/>
          <w:i/>
          <w:iCs/>
        </w:rPr>
        <w:t xml:space="preserve">Utworzenie skweru rekreacyjno-turystycznego w Sułkowicach – </w:t>
      </w:r>
      <w:r w:rsidRPr="00CE5D9A">
        <w:rPr>
          <w:rFonts w:ascii="Times New Roman" w:hAnsi="Times New Roman"/>
        </w:rPr>
        <w:t>poprawa stanu infrastruktury rekreacyjno-turystycznej dla poprawy życia mieszkańców poprzez utworzenie skweru rekreacyjno-turystycznego w Sułkowicach;</w:t>
      </w:r>
    </w:p>
    <w:p w14:paraId="305F6006" w14:textId="77777777" w:rsidR="00686DFE" w:rsidRPr="00CE5D9A" w:rsidRDefault="00686DFE">
      <w:pPr>
        <w:pStyle w:val="Akapitzlist"/>
        <w:numPr>
          <w:ilvl w:val="0"/>
          <w:numId w:val="4"/>
        </w:numPr>
        <w:spacing w:after="0" w:line="276" w:lineRule="auto"/>
        <w:ind w:left="851" w:hanging="425"/>
        <w:jc w:val="both"/>
        <w:rPr>
          <w:rFonts w:ascii="Times New Roman" w:hAnsi="Times New Roman"/>
        </w:rPr>
      </w:pPr>
      <w:r w:rsidRPr="00CE5D9A">
        <w:rPr>
          <w:rFonts w:ascii="Times New Roman" w:hAnsi="Times New Roman"/>
          <w:i/>
          <w:iCs/>
        </w:rPr>
        <w:t xml:space="preserve">Utworzenie przystanku turystycznego na szlaku Jakubowym w Sułkowicach </w:t>
      </w:r>
      <w:r w:rsidRPr="00CE5D9A">
        <w:rPr>
          <w:rFonts w:ascii="Times New Roman" w:hAnsi="Times New Roman"/>
        </w:rPr>
        <w:t>– poprawa stanu infrastruktury rekreacyjno- turystyczne poprzez utworzenie przystanku turystycznego na Szlaku Jakubowym, zlokalizowanego przy cmentarzu cholerycznym w Sułkowicach wraz z odnowie</w:t>
      </w:r>
      <w:r w:rsidR="00FB4F8A" w:rsidRPr="00CE5D9A">
        <w:rPr>
          <w:rFonts w:ascii="Times New Roman" w:hAnsi="Times New Roman"/>
        </w:rPr>
        <w:t>niem i </w:t>
      </w:r>
      <w:r w:rsidRPr="00CE5D9A">
        <w:rPr>
          <w:rFonts w:ascii="Times New Roman" w:hAnsi="Times New Roman"/>
        </w:rPr>
        <w:t>oznakowaniem obelisku cmentarnego;</w:t>
      </w:r>
    </w:p>
    <w:p w14:paraId="55F390A8" w14:textId="77777777" w:rsidR="00686DFE" w:rsidRPr="00CE5D9A" w:rsidRDefault="00686DFE">
      <w:pPr>
        <w:pStyle w:val="Akapitzlist"/>
        <w:numPr>
          <w:ilvl w:val="0"/>
          <w:numId w:val="4"/>
        </w:numPr>
        <w:spacing w:after="0" w:line="276" w:lineRule="auto"/>
        <w:ind w:left="851" w:hanging="425"/>
        <w:jc w:val="both"/>
        <w:rPr>
          <w:rFonts w:ascii="Times New Roman" w:hAnsi="Times New Roman"/>
          <w:i/>
          <w:iCs/>
        </w:rPr>
      </w:pPr>
      <w:r w:rsidRPr="00CE5D9A">
        <w:rPr>
          <w:rFonts w:ascii="Times New Roman" w:hAnsi="Times New Roman"/>
          <w:i/>
          <w:iCs/>
        </w:rPr>
        <w:t xml:space="preserve">Organizacja spotkań autorskich promujących Gminę Sułkowice poprzez książkę „Moja Polska. Historia oczami dziecka” – </w:t>
      </w:r>
      <w:r w:rsidRPr="00CE5D9A">
        <w:rPr>
          <w:rFonts w:ascii="Times New Roman" w:hAnsi="Times New Roman"/>
        </w:rPr>
        <w:t>wydano publikacje i przeprowadzono 3 spotkania autorskie;</w:t>
      </w:r>
    </w:p>
    <w:p w14:paraId="7C016BFF" w14:textId="77777777" w:rsidR="00686DFE" w:rsidRPr="00CE5D9A" w:rsidRDefault="00686DFE">
      <w:pPr>
        <w:pStyle w:val="Akapitzlist"/>
        <w:numPr>
          <w:ilvl w:val="0"/>
          <w:numId w:val="4"/>
        </w:numPr>
        <w:spacing w:after="0" w:line="276" w:lineRule="auto"/>
        <w:ind w:left="851" w:hanging="425"/>
        <w:jc w:val="both"/>
        <w:rPr>
          <w:rFonts w:ascii="Times New Roman" w:hAnsi="Times New Roman"/>
        </w:rPr>
      </w:pPr>
      <w:r w:rsidRPr="00CE5D9A">
        <w:rPr>
          <w:rFonts w:ascii="Times New Roman" w:hAnsi="Times New Roman"/>
          <w:i/>
          <w:iCs/>
        </w:rPr>
        <w:t>Drogi Do Wolności – dzieje przodków walczących o wolność Polski we wspomnieniach i archiwaliach</w:t>
      </w:r>
      <w:r w:rsidRPr="00CE5D9A">
        <w:rPr>
          <w:rFonts w:ascii="Times New Roman" w:hAnsi="Times New Roman"/>
        </w:rPr>
        <w:t xml:space="preserve"> – wydanie publikacji. </w:t>
      </w:r>
    </w:p>
    <w:p w14:paraId="5D991636" w14:textId="21E9E03C" w:rsidR="00686DFE" w:rsidRPr="00CE5D9A" w:rsidRDefault="00EB66C4">
      <w:pPr>
        <w:spacing w:before="240" w:after="0" w:line="276" w:lineRule="auto"/>
        <w:ind w:firstLine="708"/>
        <w:jc w:val="both"/>
        <w:rPr>
          <w:rFonts w:ascii="Times New Roman" w:hAnsi="Times New Roman"/>
        </w:rPr>
      </w:pPr>
      <w:r w:rsidRPr="00EB66C4">
        <w:rPr>
          <w:rFonts w:ascii="Times New Roman" w:hAnsi="Times New Roman"/>
          <w:color w:val="FF0000"/>
        </w:rPr>
        <w:t>LGD Regionu Myślenickiego</w:t>
      </w:r>
      <w:r w:rsidRPr="00CE5D9A">
        <w:rPr>
          <w:rFonts w:ascii="Times New Roman" w:hAnsi="Times New Roman"/>
        </w:rPr>
        <w:t xml:space="preserve"> </w:t>
      </w:r>
      <w:r w:rsidR="00686DFE" w:rsidRPr="00EB66C4">
        <w:rPr>
          <w:rFonts w:ascii="Times New Roman" w:hAnsi="Times New Roman"/>
          <w:strike/>
          <w:color w:val="FF0000"/>
          <w:highlight w:val="yellow"/>
        </w:rPr>
        <w:t>LGD „MDiG”</w:t>
      </w:r>
      <w:r w:rsidR="00686DFE" w:rsidRPr="00EB66C4">
        <w:rPr>
          <w:rFonts w:ascii="Times New Roman" w:hAnsi="Times New Roman"/>
          <w:color w:val="FF0000"/>
          <w:highlight w:val="yellow"/>
        </w:rPr>
        <w:t xml:space="preserve"> </w:t>
      </w:r>
      <w:r w:rsidRPr="00EB66C4">
        <w:rPr>
          <w:rFonts w:ascii="Times New Roman" w:hAnsi="Times New Roman"/>
          <w:color w:val="FF0000"/>
          <w:highlight w:val="yellow"/>
        </w:rPr>
        <w:t>zrealizował</w:t>
      </w:r>
      <w:r>
        <w:rPr>
          <w:rFonts w:ascii="Times New Roman" w:hAnsi="Times New Roman"/>
          <w:color w:val="FF0000"/>
          <w:highlight w:val="yellow"/>
        </w:rPr>
        <w:t>o</w:t>
      </w:r>
      <w:r w:rsidRPr="00EB66C4">
        <w:rPr>
          <w:rFonts w:ascii="Times New Roman" w:hAnsi="Times New Roman"/>
          <w:color w:val="FF0000"/>
          <w:highlight w:val="yellow"/>
        </w:rPr>
        <w:t xml:space="preserve"> </w:t>
      </w:r>
      <w:r w:rsidR="00686DFE" w:rsidRPr="00EB66C4">
        <w:rPr>
          <w:rFonts w:ascii="Times New Roman" w:hAnsi="Times New Roman"/>
          <w:strike/>
          <w:color w:val="FF0000"/>
          <w:highlight w:val="yellow"/>
        </w:rPr>
        <w:t xml:space="preserve">realizuje </w:t>
      </w:r>
      <w:r w:rsidR="00686DFE" w:rsidRPr="00E827FE">
        <w:rPr>
          <w:rFonts w:ascii="Times New Roman" w:hAnsi="Times New Roman"/>
          <w:highlight w:val="yellow"/>
        </w:rPr>
        <w:t xml:space="preserve">również projekt współpracy </w:t>
      </w:r>
      <w:r w:rsidR="00686DFE" w:rsidRPr="00E827FE">
        <w:rPr>
          <w:rFonts w:ascii="Times New Roman" w:hAnsi="Times New Roman"/>
          <w:i/>
          <w:iCs/>
          <w:highlight w:val="yellow"/>
        </w:rPr>
        <w:t xml:space="preserve">Szlaki turystyczne szansą rozwoju obszarów wiejskich </w:t>
      </w:r>
      <w:r w:rsidR="00686DFE" w:rsidRPr="00E827FE">
        <w:rPr>
          <w:rFonts w:ascii="Times New Roman" w:hAnsi="Times New Roman"/>
          <w:highlight w:val="yellow"/>
        </w:rPr>
        <w:t xml:space="preserve">LGD „Gościńca 4 Żywiołów” oraz LGD „Między Dalinem i </w:t>
      </w:r>
      <w:r w:rsidR="00686DFE" w:rsidRPr="00E827FE">
        <w:rPr>
          <w:rFonts w:ascii="Times New Roman" w:hAnsi="Times New Roman"/>
          <w:highlight w:val="yellow"/>
        </w:rPr>
        <w:lastRenderedPageBreak/>
        <w:t>Gościbią” wspólnie z</w:t>
      </w:r>
      <w:r w:rsidR="00686DFE" w:rsidRPr="00E827FE">
        <w:rPr>
          <w:highlight w:val="yellow"/>
        </w:rPr>
        <w:t xml:space="preserve"> </w:t>
      </w:r>
      <w:r w:rsidR="00686DFE" w:rsidRPr="00E827FE">
        <w:rPr>
          <w:rFonts w:ascii="Times New Roman" w:hAnsi="Times New Roman"/>
          <w:highlight w:val="yellow"/>
        </w:rPr>
        <w:t>LGD Gościniec 4 Żywiołów.</w:t>
      </w:r>
      <w:r w:rsidR="00686DFE" w:rsidRPr="00CE5D9A">
        <w:rPr>
          <w:rFonts w:ascii="Times New Roman" w:hAnsi="Times New Roman"/>
        </w:rPr>
        <w:t xml:space="preserve"> Projekt </w:t>
      </w:r>
      <w:r w:rsidR="00686DFE" w:rsidRPr="00EB66C4">
        <w:rPr>
          <w:rFonts w:ascii="Times New Roman" w:hAnsi="Times New Roman"/>
          <w:color w:val="FF0000"/>
        </w:rPr>
        <w:t>umożliwi</w:t>
      </w:r>
      <w:r w:rsidRPr="00EB66C4">
        <w:rPr>
          <w:rFonts w:ascii="Times New Roman" w:hAnsi="Times New Roman"/>
          <w:color w:val="FF0000"/>
        </w:rPr>
        <w:t>ł</w:t>
      </w:r>
      <w:r w:rsidR="00686DFE" w:rsidRPr="00EB66C4">
        <w:rPr>
          <w:rFonts w:ascii="Times New Roman" w:hAnsi="Times New Roman"/>
          <w:color w:val="FF0000"/>
        </w:rPr>
        <w:t xml:space="preserve"> </w:t>
      </w:r>
      <w:r w:rsidRPr="00EB66C4">
        <w:rPr>
          <w:rFonts w:ascii="Times New Roman" w:hAnsi="Times New Roman"/>
          <w:color w:val="FF0000"/>
        </w:rPr>
        <w:t>s</w:t>
      </w:r>
      <w:r w:rsidR="00686DFE" w:rsidRPr="00EB66C4">
        <w:rPr>
          <w:rFonts w:ascii="Times New Roman" w:hAnsi="Times New Roman"/>
          <w:color w:val="FF0000"/>
        </w:rPr>
        <w:t xml:space="preserve">korzystanie </w:t>
      </w:r>
      <w:r w:rsidR="00686DFE" w:rsidRPr="00CE5D9A">
        <w:rPr>
          <w:rFonts w:ascii="Times New Roman" w:hAnsi="Times New Roman"/>
        </w:rPr>
        <w:t xml:space="preserve">z utworzonej infrastruktury, poszerzenie wiedzy o regionie, promocję turystki rowerowej i obszaru, a także podnoszenie swoich umiejętności rowerowych i nawiązanie nowych znajomości. Dla osób niebiorących udziału w projekcie, będzie możliwość poznania walorów obszarów LGD oraz szansa skorzystania z infrastruktury utworzonej na rzecz projektu. </w:t>
      </w:r>
    </w:p>
    <w:p w14:paraId="54F60A21" w14:textId="65A970B4"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Projekt</w:t>
      </w:r>
      <w:r w:rsidR="00EB66C4">
        <w:rPr>
          <w:rFonts w:ascii="Times New Roman" w:hAnsi="Times New Roman"/>
        </w:rPr>
        <w:t xml:space="preserve"> </w:t>
      </w:r>
      <w:r w:rsidR="00EB66C4" w:rsidRPr="00EB66C4">
        <w:rPr>
          <w:rFonts w:ascii="Times New Roman" w:hAnsi="Times New Roman"/>
          <w:color w:val="FF0000"/>
        </w:rPr>
        <w:t>był</w:t>
      </w:r>
      <w:r w:rsidRPr="00EB66C4">
        <w:rPr>
          <w:rFonts w:ascii="Times New Roman" w:hAnsi="Times New Roman"/>
          <w:color w:val="FF0000"/>
        </w:rPr>
        <w:t xml:space="preserve"> </w:t>
      </w:r>
      <w:r w:rsidRPr="00EB66C4">
        <w:rPr>
          <w:rFonts w:ascii="Times New Roman" w:hAnsi="Times New Roman"/>
          <w:strike/>
          <w:color w:val="FF0000"/>
        </w:rPr>
        <w:t>jest</w:t>
      </w:r>
      <w:r w:rsidRPr="00EB66C4">
        <w:rPr>
          <w:rFonts w:ascii="Times New Roman" w:hAnsi="Times New Roman"/>
          <w:color w:val="FF0000"/>
        </w:rPr>
        <w:t xml:space="preserve"> </w:t>
      </w:r>
      <w:r w:rsidRPr="00CE5D9A">
        <w:rPr>
          <w:rFonts w:ascii="Times New Roman" w:hAnsi="Times New Roman"/>
        </w:rPr>
        <w:t>skierowany do osób niepełnosprawnych, osób po 50. roku życia oraz osób do 30. roku życia. Pracownicy podczas wywiadu podkreślili, iż projekty współpracy zawsze powinny być z korzyścią dla lokalnej społeczności i w takim kierunku powinno się takie projekty realizować.</w:t>
      </w:r>
    </w:p>
    <w:p w14:paraId="7DEF7F22" w14:textId="135422AD"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Stowarzyszenie</w:t>
      </w:r>
      <w:r w:rsidR="00EB66C4">
        <w:rPr>
          <w:rFonts w:ascii="Times New Roman" w:hAnsi="Times New Roman"/>
        </w:rPr>
        <w:t xml:space="preserve"> </w:t>
      </w:r>
      <w:r w:rsidR="00EB66C4" w:rsidRPr="00EB66C4">
        <w:rPr>
          <w:rFonts w:ascii="Times New Roman" w:hAnsi="Times New Roman"/>
          <w:color w:val="FF0000"/>
        </w:rPr>
        <w:t>LGD Regionu Myślenickiego</w:t>
      </w:r>
      <w:r w:rsidRPr="00EB66C4">
        <w:rPr>
          <w:rFonts w:ascii="Times New Roman" w:hAnsi="Times New Roman"/>
          <w:color w:val="FF0000"/>
        </w:rPr>
        <w:t xml:space="preserve"> </w:t>
      </w:r>
      <w:r w:rsidRPr="00E827FE">
        <w:rPr>
          <w:rFonts w:ascii="Times New Roman" w:hAnsi="Times New Roman"/>
          <w:strike/>
          <w:color w:val="FF0000"/>
        </w:rPr>
        <w:t>Lokalna Grupa Działania „Między Dalinem i Gościbią”</w:t>
      </w:r>
      <w:r w:rsidRPr="00E827FE">
        <w:rPr>
          <w:rFonts w:ascii="Times New Roman" w:hAnsi="Times New Roman"/>
          <w:color w:val="FF0000"/>
        </w:rPr>
        <w:t xml:space="preserve"> </w:t>
      </w:r>
      <w:r w:rsidRPr="00CE5D9A">
        <w:rPr>
          <w:rFonts w:ascii="Times New Roman" w:hAnsi="Times New Roman"/>
        </w:rPr>
        <w:t>współpracuje z innymi Lokalnymi Grupami Działania w ramach organizacji „Federacja LGD Małopolska”, która obejmie swoim zasięgiem 30 gmin z powiatów: nowosądeckiego, gorlickiego, limanowskiego oraz myślenickiego, zamieszkiwanych łącznie przez 360 tys. mieszkańców. W skład federacji, poza</w:t>
      </w:r>
      <w:r w:rsidR="00EB66C4">
        <w:rPr>
          <w:rFonts w:ascii="Times New Roman" w:hAnsi="Times New Roman"/>
        </w:rPr>
        <w:t xml:space="preserve"> </w:t>
      </w:r>
      <w:r w:rsidR="00EB66C4" w:rsidRPr="00EB66C4">
        <w:rPr>
          <w:rFonts w:ascii="Times New Roman" w:hAnsi="Times New Roman"/>
          <w:color w:val="FF0000"/>
        </w:rPr>
        <w:t>LGD Regionu Myślenickiego</w:t>
      </w:r>
      <w:r w:rsidRPr="00CE5D9A">
        <w:rPr>
          <w:rFonts w:ascii="Times New Roman" w:hAnsi="Times New Roman"/>
        </w:rPr>
        <w:t xml:space="preserve"> </w:t>
      </w:r>
      <w:r w:rsidRPr="00E827FE">
        <w:rPr>
          <w:rFonts w:ascii="Times New Roman" w:hAnsi="Times New Roman"/>
          <w:strike/>
          <w:color w:val="FF0000"/>
        </w:rPr>
        <w:t>LGD Między Dalinem i Gościbią</w:t>
      </w:r>
      <w:r w:rsidRPr="00E827FE">
        <w:rPr>
          <w:rFonts w:ascii="Times New Roman" w:hAnsi="Times New Roman"/>
          <w:color w:val="FF0000"/>
        </w:rPr>
        <w:t xml:space="preserve"> </w:t>
      </w:r>
      <w:r w:rsidRPr="00CE5D9A">
        <w:rPr>
          <w:rFonts w:ascii="Times New Roman" w:hAnsi="Times New Roman"/>
        </w:rPr>
        <w:t>wchodzi jeszcze siedem Lokalnych Grup Działania: LGD Korona Sądecka, LGD Beskid Gorlicki, LGD Przyjazna Ziemia Limanowska, LGD Dolina Raby, LGD Perły Beskidu Sądeckiego, Lokalna Grupa Działania Stowarzyszenie Dolina Karpia oraz LGD Gościniec 4 Żywiołów. Inicjatywa jest współfinansowana ze środków przekazanych przez Operatora Programu Grantowego w ramach projektu „Małopolski Ośrodek Wsparcia Ekonomii Społecznej – Subregion Sądecki” realizowanego w ramach Regionalnego Programu Operacyjnego Województwa Małopolskiego na lata 2014–2020 współfinansowanego z Europejskiego Funduszu Społecznego.</w:t>
      </w:r>
    </w:p>
    <w:p w14:paraId="67ED31D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Celem związku jest</w:t>
      </w:r>
      <w:r w:rsidRPr="00CE5D9A">
        <w:rPr>
          <w:rStyle w:val="Odwoanieprzypisudolnego"/>
          <w:rFonts w:ascii="Times New Roman" w:hAnsi="Times New Roman"/>
        </w:rPr>
        <w:footnoteReference w:id="2"/>
      </w:r>
      <w:r w:rsidRPr="00CE5D9A">
        <w:rPr>
          <w:rFonts w:ascii="Times New Roman" w:hAnsi="Times New Roman"/>
        </w:rPr>
        <w:t>:</w:t>
      </w:r>
    </w:p>
    <w:p w14:paraId="119CD926"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działalność na rzecz rozwoju obszarów wiejskich w aspekcie społecznym, gospodarczym i środowiskowym,</w:t>
      </w:r>
    </w:p>
    <w:p w14:paraId="49433F73"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działalność na rzecz rozwoju ekonomii społecznej (przedsiębiorczości społecznej),</w:t>
      </w:r>
    </w:p>
    <w:p w14:paraId="33E604E8"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działalność wspomagająca rozwój gospodarczy, w tym rozwój przedsiębiorczości,</w:t>
      </w:r>
    </w:p>
    <w:p w14:paraId="1A5701DD"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rozwijanie współpracy międzynarodowej,</w:t>
      </w:r>
    </w:p>
    <w:p w14:paraId="16EF3D00"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działalność na rzecz ochrony dziedzictwa kulturowego, podtrzymywania i upowszechniania tradycji narodowej, pielęgnowania polskości oraz świadom</w:t>
      </w:r>
      <w:r w:rsidR="00FB4F8A" w:rsidRPr="00CE5D9A">
        <w:rPr>
          <w:rFonts w:ascii="Times New Roman" w:hAnsi="Times New Roman"/>
        </w:rPr>
        <w:t>ości narodowej, obywatelskiej i </w:t>
      </w:r>
      <w:r w:rsidRPr="00CE5D9A">
        <w:rPr>
          <w:rFonts w:ascii="Times New Roman" w:hAnsi="Times New Roman"/>
        </w:rPr>
        <w:t>kulturowej,</w:t>
      </w:r>
    </w:p>
    <w:p w14:paraId="7303E7F0" w14:textId="77777777" w:rsidR="00686DFE" w:rsidRPr="00CE5D9A" w:rsidRDefault="00686DFE">
      <w:pPr>
        <w:pStyle w:val="Akapitzlist"/>
        <w:numPr>
          <w:ilvl w:val="0"/>
          <w:numId w:val="5"/>
        </w:numPr>
        <w:spacing w:after="0" w:line="276" w:lineRule="auto"/>
        <w:jc w:val="both"/>
        <w:rPr>
          <w:rFonts w:ascii="Times New Roman" w:hAnsi="Times New Roman"/>
        </w:rPr>
      </w:pPr>
      <w:r w:rsidRPr="00CE5D9A">
        <w:rPr>
          <w:rFonts w:ascii="Times New Roman" w:hAnsi="Times New Roman"/>
        </w:rPr>
        <w:t>działalność na rzecz rozwoju nauki, edukacji, oświaty i wychowania.</w:t>
      </w:r>
    </w:p>
    <w:p w14:paraId="77E5D234"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Gminy: Lubień, Pcim, Raciechowice,</w:t>
      </w:r>
      <w:r w:rsidR="00BD6011" w:rsidRPr="00CE5D9A">
        <w:rPr>
          <w:rFonts w:ascii="Times New Roman" w:hAnsi="Times New Roman"/>
        </w:rPr>
        <w:t xml:space="preserve"> Siepraw,</w:t>
      </w:r>
      <w:r w:rsidRPr="00CE5D9A">
        <w:rPr>
          <w:rFonts w:ascii="Times New Roman" w:hAnsi="Times New Roman"/>
        </w:rPr>
        <w:t xml:space="preserve"> Tokarnia oraz Wiśniowa należące w poprzedniej perspektywie do LGD Turystyczna Podkowa realizowały 1 projekt współpracy pn. „Wyznaczenie szlaku kulinarnego produktu lokalnego Polsko-Rumuński Szlak Lokalnych Kulinariów”. Projekt realizowany był w ramach współpracy międzynarodowej 4 LGD, tj. LGD "Podbabiogórze", LGD Turystyczna Podkowa jako partner wiodący, Asociaţia „Grupul De Acţiune Locală Maramureş Vest” i Asociația Parteneriat GAL „Ținutul Haiducilor” i zakładał przedsięwzięcia o charakterze kulturalnym polegające na przeprowadzeniu warsztatów kulinarnych. Projekt realizowany jest od października 2020 r., a jego celem jest promocja obszaru LGD Turystyczna Podkowa, poszerzenie wiedzy o jego walorach turystycznych oraz włączenie społeczne i aktywizacja społeczności wiejskich. Projekt przyczynia się do zachowania dziedzictwa lokalnego i promowania włączenia społecznego poprzez współpracę społeczności lokalnych w zakresie walorów kulturowych i tradycji kulinarnych obszarów 43 różnych regionów. Dzięki prezentacji produktów kulinarnych uczestnicy projektu (mieszkańcy, turyści, mieszkańcy sąsiednich LGD) poznali produkty kulinarne charakterystyczne dla każdego z LGD-ów.</w:t>
      </w:r>
    </w:p>
    <w:p w14:paraId="46BE0402" w14:textId="428D8553"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Poza projektem współpracy w ramach Strategii RLKS, gminy: Lubień, Pcim, Raciechowice,</w:t>
      </w:r>
      <w:r w:rsidR="00BD6011" w:rsidRPr="00CE5D9A">
        <w:rPr>
          <w:rFonts w:ascii="Times New Roman" w:hAnsi="Times New Roman"/>
        </w:rPr>
        <w:t xml:space="preserve"> Siepraw,</w:t>
      </w:r>
      <w:r w:rsidRPr="00CE5D9A">
        <w:rPr>
          <w:rFonts w:ascii="Times New Roman" w:hAnsi="Times New Roman"/>
        </w:rPr>
        <w:t xml:space="preserve"> Tokarnia oraz Wiśniowa w ramach LGD Turystyczna Podkowa realizowały w poprzedniej perspektywie również 3 inne przedsięwzięcia. Pierwszy projekt pn. „Montaż instalacji OZE na obszarze LGD Turystyczna Podkowa” był dofinansowany z Regionalnego Program Operacyjnego Województwa Małopolskiego na lata 2014–2020. W</w:t>
      </w:r>
      <w:r w:rsidR="00E31C0B" w:rsidRPr="00CE5D9A">
        <w:rPr>
          <w:rFonts w:ascii="Times New Roman" w:hAnsi="Times New Roman"/>
        </w:rPr>
        <w:t> </w:t>
      </w:r>
      <w:r w:rsidRPr="00CE5D9A">
        <w:rPr>
          <w:rFonts w:ascii="Times New Roman" w:hAnsi="Times New Roman"/>
        </w:rPr>
        <w:t>ramach projektu na obszarze 7 gmin (Dobczyce, Lubień, Pcim, Raciechowice, Siepraw, Tokarnia, Wiśniowa) zainstalowano 938 instalacji kolektorów słonecznych, 567 mikroinstalacji PV i 184 instalacje pomp ciepła do podgrzania CWU. Całkowita wartość projektu wynosi 23 257 503,06 zł, w tym 12 713 885,60 zł z RPO WM.</w:t>
      </w:r>
    </w:p>
    <w:p w14:paraId="02ACA8F5"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Drugim przedsięwzięciem był projekt pn. „Działalność lokalnych społeczności w aspekcie turystycznego rozwoju obszarów wiejskich Europy” dofinansowany z ,,Krajowej Sieci Obszarów Wiejskich Programu Rozwoju Obszarów Wiejskich na lata 2014-2020”. Jego celem było ukazanie mieszkańcom obszarów wiejskich alternatywnych zajęć, przynoszących dochody finansowe. W ramach projektu realizowano działania ukierunkowane na zdobycie/poszerzenie przez 32 osoby wiedzy praktycznej z zakresu podejmowania przedsięwzięć gospodarczych zgodnych z zasadami zrównoważone</w:t>
      </w:r>
      <w:r w:rsidR="00FB4F8A" w:rsidRPr="00CE5D9A">
        <w:rPr>
          <w:rFonts w:ascii="Times New Roman" w:hAnsi="Times New Roman"/>
        </w:rPr>
        <w:t>go rozwoju, w wyniku kontaktu z </w:t>
      </w:r>
      <w:r w:rsidRPr="00CE5D9A">
        <w:rPr>
          <w:rFonts w:ascii="Times New Roman" w:hAnsi="Times New Roman"/>
        </w:rPr>
        <w:t xml:space="preserve">zagranicznymi, konkretnymi, ekonomicznie uzasadnionymi przykładami nowatorskich aktywności gospodarczych przyjaznych środowisku, które mogą się przyczynić do zrównoważonego rozwoju obszarów wiejskich lub z przykładami adaptacji tradycyjnych aktywności mieszkańców obszarów wiejskich do uwarunkowań zrównoważonego rozwoju. </w:t>
      </w:r>
    </w:p>
    <w:p w14:paraId="34DA6585"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Członkowie LGD posiadają niezbędne doświadczenie oraz wiedzę w zakresie zarządzania oraz realizacji operacji w ramach LSR, a także w zakresie pozyskiwania środków z innych źródeł na realizację projektów dla lokalnych społeczności, m.in.:</w:t>
      </w:r>
    </w:p>
    <w:p w14:paraId="397560BB"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iCs/>
        </w:rPr>
        <w:t>Puzzle promocja obszaru LGD „Między Dalinem i Gościbią”</w:t>
      </w:r>
      <w:r w:rsidRPr="00CE5D9A">
        <w:rPr>
          <w:rFonts w:ascii="Times New Roman" w:hAnsi="Times New Roman"/>
        </w:rPr>
        <w:t xml:space="preserve"> – projekt miał na celu promocję obszaru i był zrealizowany w ramach Mecenatu Małopolski z budżetu Województwa Małopolskiego. W ramach tego zadania opracowano i wydano puzzle (1 000 sztuk) z mapką obszaru LGD. Projekt był realizowany w 2019 roku, a jego budżet wyniósł 12 692,30 zł.</w:t>
      </w:r>
    </w:p>
    <w:p w14:paraId="670CC65D"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iCs/>
        </w:rPr>
        <w:t xml:space="preserve">Historia łączy pokolenia </w:t>
      </w:r>
      <w:r w:rsidRPr="00CE5D9A">
        <w:rPr>
          <w:rFonts w:ascii="Times New Roman" w:hAnsi="Times New Roman"/>
        </w:rPr>
        <w:t>– przeprowadzono 15 warsztatów, w tym kulturowe związane z lokalna gwarą, warsztaty pokazów tradycyjnych wyrobów wiejskich oraz warsztaty związane z wyrobem ozdób choinkowych;</w:t>
      </w:r>
    </w:p>
    <w:p w14:paraId="7022D538"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iCs/>
        </w:rPr>
        <w:t>Porębskie Spotkanie z Seniorem i Tradycją</w:t>
      </w:r>
      <w:r w:rsidRPr="00CE5D9A">
        <w:rPr>
          <w:rFonts w:ascii="Times New Roman" w:hAnsi="Times New Roman"/>
        </w:rPr>
        <w:t xml:space="preserve"> – zostało zorganizowane i przeprowadzone międzypokoleniowe spotkanie z tradycja i wspomnieniami lokalnych seniorów;</w:t>
      </w:r>
    </w:p>
    <w:p w14:paraId="035AB3B8"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iCs/>
        </w:rPr>
        <w:t>Wakacyjna AktywAKCJA</w:t>
      </w:r>
      <w:r w:rsidRPr="00CE5D9A">
        <w:rPr>
          <w:rFonts w:ascii="Times New Roman" w:hAnsi="Times New Roman"/>
        </w:rPr>
        <w:t xml:space="preserve"> – organizacja rajdu pieszego;</w:t>
      </w:r>
    </w:p>
    <w:p w14:paraId="49AD3C63"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iCs/>
        </w:rPr>
        <w:t>Świetlica</w:t>
      </w:r>
      <w:r w:rsidRPr="00CE5D9A">
        <w:rPr>
          <w:rFonts w:ascii="Times New Roman" w:hAnsi="Times New Roman"/>
        </w:rPr>
        <w:t xml:space="preserve"> – zagospodarowanie czasu wolnego dzieci i młodzieży poprzez stwarzanie alternatywnych form spedziana czasu wolnego.</w:t>
      </w:r>
    </w:p>
    <w:p w14:paraId="15F271B1" w14:textId="77777777" w:rsidR="00686DFE" w:rsidRPr="00CE5D9A" w:rsidRDefault="00686DFE">
      <w:pPr>
        <w:pStyle w:val="Akapitzlist"/>
        <w:numPr>
          <w:ilvl w:val="0"/>
          <w:numId w:val="6"/>
        </w:numPr>
        <w:spacing w:after="120" w:line="276" w:lineRule="auto"/>
        <w:jc w:val="both"/>
        <w:rPr>
          <w:rFonts w:ascii="Times New Roman" w:hAnsi="Times New Roman"/>
        </w:rPr>
      </w:pPr>
      <w:r w:rsidRPr="00CE5D9A">
        <w:rPr>
          <w:rFonts w:ascii="Times New Roman" w:hAnsi="Times New Roman"/>
          <w:i/>
        </w:rPr>
        <w:t>Kulturalnie i naukowo spędzam ferie na wesoło</w:t>
      </w:r>
      <w:r w:rsidRPr="00CE5D9A">
        <w:rPr>
          <w:rFonts w:ascii="Times New Roman" w:hAnsi="Times New Roman"/>
        </w:rPr>
        <w:t xml:space="preserve"> – zagospodarowanie czasu wolnego dzieci i młodzieży poprzez stwarzanie alternatywnych form spędzania czasu wolnego.</w:t>
      </w:r>
    </w:p>
    <w:p w14:paraId="110050F8" w14:textId="6CD01FD1"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Biuro</w:t>
      </w:r>
      <w:r w:rsidR="000E08C3">
        <w:rPr>
          <w:rFonts w:ascii="Times New Roman" w:hAnsi="Times New Roman"/>
        </w:rPr>
        <w:t xml:space="preserve"> </w:t>
      </w:r>
      <w:r w:rsidR="000E08C3" w:rsidRPr="000E08C3">
        <w:rPr>
          <w:rFonts w:ascii="Times New Roman" w:hAnsi="Times New Roman"/>
          <w:color w:val="FF0000"/>
        </w:rPr>
        <w:t>LGD Regionu Myślenickiego</w:t>
      </w:r>
      <w:r w:rsidRPr="00CE5D9A">
        <w:rPr>
          <w:rFonts w:ascii="Times New Roman" w:hAnsi="Times New Roman"/>
        </w:rPr>
        <w:t xml:space="preserve"> </w:t>
      </w:r>
      <w:r w:rsidRPr="00E827FE">
        <w:rPr>
          <w:rFonts w:ascii="Times New Roman" w:hAnsi="Times New Roman"/>
          <w:strike/>
          <w:color w:val="FF0000"/>
        </w:rPr>
        <w:t>LGD Między Dalinem i Gościbią</w:t>
      </w:r>
      <w:r w:rsidRPr="00E827FE">
        <w:rPr>
          <w:rFonts w:ascii="Times New Roman" w:hAnsi="Times New Roman"/>
          <w:color w:val="FF0000"/>
        </w:rPr>
        <w:t xml:space="preserve"> </w:t>
      </w:r>
      <w:r w:rsidRPr="00CE5D9A">
        <w:rPr>
          <w:rFonts w:ascii="Times New Roman" w:hAnsi="Times New Roman"/>
        </w:rPr>
        <w:t xml:space="preserve">tworzy Kierownik Biura oraz pracownicy merytoryczni: </w:t>
      </w:r>
      <w:r w:rsidR="004E4FEE" w:rsidRPr="00CE5D9A">
        <w:rPr>
          <w:rFonts w:ascii="Times New Roman" w:hAnsi="Times New Roman"/>
        </w:rPr>
        <w:t>pracownik</w:t>
      </w:r>
      <w:r w:rsidRPr="00CE5D9A">
        <w:rPr>
          <w:rFonts w:ascii="Times New Roman" w:hAnsi="Times New Roman"/>
        </w:rPr>
        <w:t xml:space="preserve"> ds. projektów</w:t>
      </w:r>
      <w:r w:rsidR="004E4FEE" w:rsidRPr="00CE5D9A">
        <w:rPr>
          <w:rFonts w:ascii="Times New Roman" w:hAnsi="Times New Roman"/>
        </w:rPr>
        <w:t xml:space="preserve"> i LSR</w:t>
      </w:r>
      <w:r w:rsidRPr="00CE5D9A">
        <w:rPr>
          <w:rFonts w:ascii="Times New Roman" w:hAnsi="Times New Roman"/>
        </w:rPr>
        <w:t xml:space="preserve"> (obsługa </w:t>
      </w:r>
      <w:r w:rsidR="004E4FEE" w:rsidRPr="00CE5D9A">
        <w:rPr>
          <w:rFonts w:ascii="Times New Roman" w:hAnsi="Times New Roman"/>
        </w:rPr>
        <w:t>projektowa, wdrażanie</w:t>
      </w:r>
      <w:r w:rsidRPr="00CE5D9A">
        <w:rPr>
          <w:rFonts w:ascii="Times New Roman" w:hAnsi="Times New Roman"/>
        </w:rPr>
        <w:t xml:space="preserve">), specjalista ds. </w:t>
      </w:r>
      <w:r w:rsidR="004E4FEE" w:rsidRPr="00CE5D9A">
        <w:rPr>
          <w:rFonts w:ascii="Times New Roman" w:hAnsi="Times New Roman"/>
        </w:rPr>
        <w:t>animacji lokalnej, promocji i współpracy</w:t>
      </w:r>
      <w:r w:rsidRPr="00CE5D9A">
        <w:rPr>
          <w:rFonts w:ascii="Times New Roman" w:hAnsi="Times New Roman"/>
        </w:rPr>
        <w:t xml:space="preserve"> (</w:t>
      </w:r>
      <w:r w:rsidR="004E4FEE" w:rsidRPr="00CE5D9A">
        <w:rPr>
          <w:rFonts w:ascii="Times New Roman" w:hAnsi="Times New Roman"/>
        </w:rPr>
        <w:t>obsługa beneficjenta</w:t>
      </w:r>
      <w:r w:rsidRPr="00CE5D9A">
        <w:rPr>
          <w:rFonts w:ascii="Times New Roman" w:hAnsi="Times New Roman"/>
        </w:rPr>
        <w:t>) oraz specjalista ds. księgowości i kadr (ogólne funkcjonowanie biura)</w:t>
      </w:r>
      <w:r w:rsidR="004E4FEE" w:rsidRPr="00CE5D9A">
        <w:t xml:space="preserve"> </w:t>
      </w:r>
      <w:r w:rsidR="004E4FEE" w:rsidRPr="00CE5D9A">
        <w:rPr>
          <w:rFonts w:ascii="Times New Roman" w:hAnsi="Times New Roman"/>
        </w:rPr>
        <w:t xml:space="preserve">a w miarę potrzeby pracownik administracyjno-biurowy. </w:t>
      </w:r>
      <w:r w:rsidRPr="00CE5D9A">
        <w:rPr>
          <w:rFonts w:ascii="Times New Roman" w:hAnsi="Times New Roman"/>
        </w:rPr>
        <w:t xml:space="preserve">Prace Biura </w:t>
      </w:r>
      <w:r w:rsidRPr="00E827FE">
        <w:rPr>
          <w:rFonts w:ascii="Times New Roman" w:hAnsi="Times New Roman"/>
          <w:strike/>
          <w:color w:val="FF0000"/>
        </w:rPr>
        <w:t>Lokalnej Grupy Działania „Między Dalinem i Gościbią”</w:t>
      </w:r>
      <w:r w:rsidRPr="00E827FE">
        <w:rPr>
          <w:rFonts w:ascii="Times New Roman" w:hAnsi="Times New Roman"/>
          <w:color w:val="FF0000"/>
        </w:rPr>
        <w:t xml:space="preserve"> </w:t>
      </w:r>
      <w:r w:rsidRPr="00CE5D9A">
        <w:rPr>
          <w:rFonts w:ascii="Times New Roman" w:hAnsi="Times New Roman"/>
        </w:rPr>
        <w:t>regulowane są Regulaminem Biura Lokalnej Grupy Działania, Opisem stanowisk pracy Biura LGD, Opisem warunków technicznych i lokalowych Biura LGD oraz Pro</w:t>
      </w:r>
      <w:r w:rsidR="004E4FEE" w:rsidRPr="00CE5D9A">
        <w:rPr>
          <w:rFonts w:ascii="Times New Roman" w:hAnsi="Times New Roman"/>
        </w:rPr>
        <w:t>cedurą naboru</w:t>
      </w:r>
      <w:r w:rsidRPr="00CE5D9A">
        <w:rPr>
          <w:rFonts w:ascii="Times New Roman" w:hAnsi="Times New Roman"/>
        </w:rPr>
        <w:t xml:space="preserve"> pracowników na wolne stanowiska pracy w Biurze LGD. Pracownicy Biura LGD posiadają doświa</w:t>
      </w:r>
      <w:r w:rsidR="00FB4F8A" w:rsidRPr="00CE5D9A">
        <w:rPr>
          <w:rFonts w:ascii="Times New Roman" w:hAnsi="Times New Roman"/>
        </w:rPr>
        <w:t>dczenie w zakresie realizacji i </w:t>
      </w:r>
      <w:r w:rsidRPr="00CE5D9A">
        <w:rPr>
          <w:rFonts w:ascii="Times New Roman" w:hAnsi="Times New Roman"/>
        </w:rPr>
        <w:t xml:space="preserve">aktualizacji LSR. </w:t>
      </w:r>
    </w:p>
    <w:p w14:paraId="542F006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Należy podkreślić, iż LGD zawsze wykorzystuje różne narzędzia, tak aby dotrzeć do jak największej grupy odbiorców. Wskaźniki, które zostały przewidziane do realizacji Planu komunikacji, były dostosowywane na podstawie doświadczeń pracowników Biura. Wartością dodaną działalności Biura jest fakt, iż część pracowników Biura pracuje w Stowarzyszeniu od samego początku jego istnienia. Fakt, iż nie było nigdy problemów z naborami, wynika z codziennej pracy, w ramach której pracownicy udzielają informacji i pomagają na każdym etapie przygotowania wniosków oraz późniejszego ich realizowania i rozliczania. Zaangażowanie pracowników miało także znaczenie w czasie pandemii, kiedy Biuro pracowało bez zmian w systemie stacjonarnym i nie było ograniczeń np. w kontaktach beneficjantów z pracownikami. Widoczne zaangażowanie zarówno pracowników Biura, Zarządu jak i Rady ma swoje przełożenie na efektywność procesu wdrażania LSR w okresie programowania 2014–2020.</w:t>
      </w:r>
      <w:r w:rsidRPr="00CE5D9A">
        <w:t xml:space="preserve"> </w:t>
      </w:r>
    </w:p>
    <w:p w14:paraId="2A2E4B4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Pracownicy Biura i członkowie organów statutowych podczas wdrażania poprzedniej LSR uczestniczyli m.in. w szkoleniach warsztatowych, których tematyka koncentrowała się głównie na doskonaleniu umiejętności wypełniania wniosków aplikacyjnych, szkoleniach z zakresu przepisów prawnych związanych z okresem programowania finansowego 2014–2020, dedykowanych głównie zarządowi LGD, a także szkoleniach z zakresu ewaluacji i monitoringu. We wdrażaniu niniejszej LSR planuje się przepro</w:t>
      </w:r>
      <w:r w:rsidR="00FB4F8A" w:rsidRPr="00CE5D9A">
        <w:rPr>
          <w:rFonts w:ascii="Times New Roman" w:hAnsi="Times New Roman"/>
        </w:rPr>
        <w:t xml:space="preserve">wadzenie szkoleń dla Rady LGD </w:t>
      </w:r>
      <w:r w:rsidR="00FB4F8A" w:rsidRPr="00CE5D9A">
        <w:rPr>
          <w:rFonts w:ascii="Times New Roman" w:hAnsi="Times New Roman"/>
        </w:rPr>
        <w:lastRenderedPageBreak/>
        <w:t>z </w:t>
      </w:r>
      <w:r w:rsidRPr="00CE5D9A">
        <w:rPr>
          <w:rFonts w:ascii="Times New Roman" w:hAnsi="Times New Roman"/>
        </w:rPr>
        <w:t xml:space="preserve">zakresu kryteriów oceny wniosków aplikacyjnych, w tym dostosowania kryteriów do wytycznych Urzędu Marszałkowskiego, a dla Zarządu – szkoleń z zakresu przepisów prawnych związanych z kolejnym okresem programowania finansowego. </w:t>
      </w:r>
    </w:p>
    <w:p w14:paraId="4D09B110" w14:textId="3FB99522"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Pracownicy Biura</w:t>
      </w:r>
      <w:r w:rsidR="00EB66C4">
        <w:rPr>
          <w:rFonts w:ascii="Times New Roman" w:hAnsi="Times New Roman"/>
        </w:rPr>
        <w:t xml:space="preserve"> </w:t>
      </w:r>
      <w:r w:rsidR="00EB66C4" w:rsidRPr="00EB66C4">
        <w:rPr>
          <w:rFonts w:ascii="Times New Roman" w:hAnsi="Times New Roman"/>
          <w:color w:val="FF0000"/>
        </w:rPr>
        <w:t>LGD Regionu Myślenickiego</w:t>
      </w:r>
      <w:r w:rsidRPr="00CE5D9A">
        <w:rPr>
          <w:rFonts w:ascii="Times New Roman" w:hAnsi="Times New Roman"/>
        </w:rPr>
        <w:t xml:space="preserve"> </w:t>
      </w:r>
      <w:r w:rsidRPr="00E827FE">
        <w:rPr>
          <w:rFonts w:ascii="Times New Roman" w:hAnsi="Times New Roman"/>
          <w:strike/>
          <w:color w:val="FF0000"/>
        </w:rPr>
        <w:t>LGD „MDiG”</w:t>
      </w:r>
      <w:r w:rsidRPr="00E827FE">
        <w:rPr>
          <w:rFonts w:ascii="Times New Roman" w:hAnsi="Times New Roman"/>
          <w:color w:val="FF0000"/>
        </w:rPr>
        <w:t xml:space="preserve"> </w:t>
      </w:r>
      <w:r w:rsidRPr="00CE5D9A">
        <w:rPr>
          <w:rFonts w:ascii="Times New Roman" w:hAnsi="Times New Roman"/>
        </w:rPr>
        <w:t>świadczą na rzecz interesariuszy – zgodnie z regulaminem pracy Biura – bezpłatne doradztwo w zakresie możliwości ubiegania się o pomoc na realizację projektów w ramach LSR, przygotowywania wniosków o przyznanie pomocy i wniosków o płatność na operacje realizujące cele LSR. Duże znaczenie ma doradztwo w obszarze informowania oraz konsultowania wniosków, tak aby były one dobrze przygotowane. Najwięcej porad udzielono indywidualnie w Biurze. Wartością dodaną z całą pewnością jest bezpośredni kontakt wnioskodawcy z pracownikiem, dzięki temu wnioski są przygotowane na wysokim poziomie.</w:t>
      </w:r>
      <w:r w:rsidRPr="00CE5D9A">
        <w:t xml:space="preserve"> </w:t>
      </w:r>
      <w:r w:rsidRPr="00CE5D9A">
        <w:rPr>
          <w:rFonts w:ascii="Times New Roman" w:hAnsi="Times New Roman"/>
        </w:rPr>
        <w:t xml:space="preserve">Biuro prowadzi ewidencję udzielonego doradztwa, a ocena doradztwa monitorowana jest poprzez: wypełnianie ankiety przez potencjalnego wnioskodawcę, któremu udzielono doradztwa, analizę złożonych wniosków przez korzystających z doradztwa, analizę wybranych do finansowania wniosków złożonych przez podmioty, które skorzystały z doradztwa, analizę wniosków zrealizowanych i niezrealizowanych przez podmioty, które korzystały z doradztwa. </w:t>
      </w:r>
    </w:p>
    <w:p w14:paraId="07DA925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Doświadczenie zawodowe z zakresu: realizacji, koordynacji i rozliczania projektów członkowie LGD zdobywali podczas wdrażania LSR na lata 2007–2013 oraz LSR na lata 2014–2020 (wnioski dot. funkcjonowania LGD, przedsięwzięć określonych w LSR, obsługi potencjalnych Beneficjentów: udzielania niezbędnych informacji, konsultacji i doradztwa). Ponadto posiadają wiedzę i doświa</w:t>
      </w:r>
      <w:r w:rsidR="00FB4F8A" w:rsidRPr="00CE5D9A">
        <w:rPr>
          <w:rFonts w:ascii="Times New Roman" w:hAnsi="Times New Roman"/>
        </w:rPr>
        <w:t>dczenie w zakresie planowania i </w:t>
      </w:r>
      <w:r w:rsidRPr="00CE5D9A">
        <w:rPr>
          <w:rFonts w:ascii="Times New Roman" w:hAnsi="Times New Roman"/>
        </w:rPr>
        <w:t>organizacji spotkań, przygotowania i prezentacji informacji na temat operacji, obsługi i zatwierdzania wniosków, realizacji działań promocyjnych i informacyjnych, obsługi biura. Ukończyli wiele</w:t>
      </w:r>
      <w:r w:rsidR="00FB4F8A" w:rsidRPr="00CE5D9A">
        <w:rPr>
          <w:rFonts w:ascii="Times New Roman" w:hAnsi="Times New Roman"/>
        </w:rPr>
        <w:t xml:space="preserve"> szkoleń niezbędnych do pracy w </w:t>
      </w:r>
      <w:r w:rsidRPr="00CE5D9A">
        <w:rPr>
          <w:rFonts w:ascii="Times New Roman" w:hAnsi="Times New Roman"/>
        </w:rPr>
        <w:t>Biurze LGD, m.in. kurs IPMA, szkolenie z ewaluacji LSR, szkolenia z zakresu animacji itp. Pracownicy posiadają niezbędne doświadczenie, nabyte głównie podczas nadzorowania wdrażania Lokalnej Strategii Rozwoju, przygotowywania oraz rozliczania wniosków o płatność. Zespół posiada wiedzę i doświadczenie z zakresu realizacji procedur związanych z zasadą konkurencyjności i efektywnego zarządzania finansami oraz zamówień publicznych. Kwalifikacje i kompetencje wymagane od pracowników są adekwatne do przewidzianych obowiązków. Większość członków LGD posiada doświadczenie w realizacji projektów na terenach obszarów wiejskich, które zdobyli przy wdrażaniu różnorodnych projektów, np. w ramach celu szczegółowego „Wsparcie</w:t>
      </w:r>
      <w:r w:rsidR="00FB4F8A" w:rsidRPr="00CE5D9A">
        <w:rPr>
          <w:rFonts w:ascii="Times New Roman" w:hAnsi="Times New Roman"/>
        </w:rPr>
        <w:t xml:space="preserve"> przedsiębiorców w tworzeniu i </w:t>
      </w:r>
      <w:r w:rsidRPr="00CE5D9A">
        <w:rPr>
          <w:rFonts w:ascii="Times New Roman" w:hAnsi="Times New Roman"/>
        </w:rPr>
        <w:t xml:space="preserve">utrzymaniu miejsc pracy” wskaźniki zostały osiągnięte w wysokim stopniu, np. na przedsięwzięcie polegające na wdrażaniu innowacji w przedsiębiorstwach podpisano 100% umów na realizację projektów. </w:t>
      </w:r>
    </w:p>
    <w:p w14:paraId="672D2A82" w14:textId="424A536D"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Przejawem odpowiedzialności za budowanie partnerstwa w ramach </w:t>
      </w:r>
      <w:r w:rsidR="00EB66C4" w:rsidRPr="00EB66C4">
        <w:rPr>
          <w:rFonts w:ascii="Times New Roman" w:hAnsi="Times New Roman"/>
          <w:color w:val="FF0000"/>
        </w:rPr>
        <w:t>LGD Regionu Myślenickiego</w:t>
      </w:r>
      <w:r w:rsidR="00EB66C4" w:rsidRPr="00CE5D9A">
        <w:rPr>
          <w:rFonts w:ascii="Times New Roman" w:hAnsi="Times New Roman"/>
        </w:rPr>
        <w:t xml:space="preserve"> </w:t>
      </w:r>
      <w:r w:rsidRPr="00E827FE">
        <w:rPr>
          <w:rFonts w:ascii="Times New Roman" w:hAnsi="Times New Roman"/>
          <w:strike/>
          <w:color w:val="FF0000"/>
        </w:rPr>
        <w:t>LGD „MDiG”</w:t>
      </w:r>
      <w:r w:rsidRPr="00E827FE">
        <w:rPr>
          <w:rFonts w:ascii="Times New Roman" w:hAnsi="Times New Roman"/>
          <w:color w:val="FF0000"/>
        </w:rPr>
        <w:t xml:space="preserve"> </w:t>
      </w:r>
      <w:r w:rsidRPr="00CE5D9A">
        <w:rPr>
          <w:rFonts w:ascii="Times New Roman" w:hAnsi="Times New Roman"/>
        </w:rPr>
        <w:t xml:space="preserve">jest ciągłe uczestnictwo osób wchodzących w skład organów statutowych oraz pracowników Biura w szkoleniach mających na celu podniesienie kwalifikacji oraz uzupełnienie wiedzy zgodnie ze zmieniającymi się procedurami, legislacją krajową i UE oraz udział w konsultacjach z pracownikami Urzędu Marszałkowskiego Województwa Małopolskiego. </w:t>
      </w:r>
    </w:p>
    <w:p w14:paraId="4AC4B6AF" w14:textId="77777777" w:rsidR="00686DFE" w:rsidRPr="00CE5D9A" w:rsidRDefault="00686DFE">
      <w:pPr>
        <w:pStyle w:val="Akapitzlist"/>
        <w:numPr>
          <w:ilvl w:val="0"/>
          <w:numId w:val="3"/>
        </w:numPr>
        <w:spacing w:before="240" w:line="276" w:lineRule="auto"/>
        <w:ind w:left="1134"/>
        <w:jc w:val="both"/>
        <w:outlineLvl w:val="1"/>
        <w:rPr>
          <w:rFonts w:ascii="Times New Roman" w:hAnsi="Times New Roman"/>
          <w:b/>
          <w:bCs/>
        </w:rPr>
      </w:pPr>
      <w:bookmarkStart w:id="4" w:name="_Toc135994823"/>
      <w:r w:rsidRPr="00CE5D9A">
        <w:rPr>
          <w:rFonts w:ascii="Times New Roman" w:hAnsi="Times New Roman"/>
          <w:b/>
          <w:bCs/>
        </w:rPr>
        <w:t>Struktura LGD</w:t>
      </w:r>
      <w:bookmarkEnd w:id="4"/>
    </w:p>
    <w:p w14:paraId="77A14245" w14:textId="2122FC0B" w:rsidR="00686DFE" w:rsidRPr="00CE5D9A" w:rsidRDefault="00686DFE">
      <w:pPr>
        <w:spacing w:before="240" w:after="0" w:line="276" w:lineRule="auto"/>
        <w:ind w:firstLine="708"/>
        <w:jc w:val="both"/>
        <w:rPr>
          <w:rFonts w:ascii="Times New Roman" w:hAnsi="Times New Roman"/>
          <w:b/>
          <w:bCs/>
        </w:rPr>
      </w:pPr>
      <w:r w:rsidRPr="00CE5D9A">
        <w:rPr>
          <w:rFonts w:ascii="Times New Roman" w:hAnsi="Times New Roman"/>
        </w:rPr>
        <w:t xml:space="preserve">Na strukturę członków </w:t>
      </w:r>
      <w:r w:rsidR="00EB66C4" w:rsidRPr="00EB66C4">
        <w:rPr>
          <w:rFonts w:ascii="Times New Roman" w:hAnsi="Times New Roman"/>
          <w:color w:val="FF0000"/>
        </w:rPr>
        <w:t>LGD Regionu Myślenickiego</w:t>
      </w:r>
      <w:r w:rsidR="00EB66C4" w:rsidRPr="00CE5D9A">
        <w:rPr>
          <w:rFonts w:ascii="Times New Roman" w:hAnsi="Times New Roman"/>
        </w:rPr>
        <w:t xml:space="preserve"> </w:t>
      </w:r>
      <w:r w:rsidRPr="004A5BB1">
        <w:rPr>
          <w:rFonts w:ascii="Times New Roman" w:hAnsi="Times New Roman"/>
          <w:strike/>
          <w:color w:val="FF0000"/>
        </w:rPr>
        <w:t>LGD Między Dalinem i Gościbią</w:t>
      </w:r>
      <w:r w:rsidRPr="004A5BB1">
        <w:rPr>
          <w:rFonts w:ascii="Times New Roman" w:hAnsi="Times New Roman"/>
          <w:color w:val="FF0000"/>
        </w:rPr>
        <w:t xml:space="preserve"> </w:t>
      </w:r>
      <w:r w:rsidRPr="00CE5D9A">
        <w:rPr>
          <w:rFonts w:ascii="Times New Roman" w:hAnsi="Times New Roman"/>
        </w:rPr>
        <w:t>składają się przedstawiciele gmin z trzech sektorów – publicznego, gospodarczego i społecznego oraz mieszkańców. Według danych na dzień 29.05.2023 r. Stowarzyszenie skupia 88 członków, z czego: 19 z sektora publicznego (21,6%), 32 z sektora gospodarczego (36,4%) i 37 z sektora społecznego (42,0%), w tym 13 członków stanowią osoby fizyczne – mieszkańcy (14,7%), a pozostałych 24 to stowarzyszenia (27,3%) oraz członek honorowy. W roku 2023 LGD włączyło do swojej struktury pięć gmin – Lubień, Pcim, Raciechowice, Tokarnia oraz Wiśniowa,</w:t>
      </w:r>
      <w:r w:rsidR="00BD6011" w:rsidRPr="00CE5D9A">
        <w:rPr>
          <w:rFonts w:ascii="Times New Roman" w:hAnsi="Times New Roman"/>
        </w:rPr>
        <w:t xml:space="preserve"> a w 2025 r. Gminę Siepraw,</w:t>
      </w:r>
      <w:r w:rsidRPr="00CE5D9A">
        <w:rPr>
          <w:rFonts w:ascii="Times New Roman" w:hAnsi="Times New Roman"/>
        </w:rPr>
        <w:t xml:space="preserve"> funkcjonujących do tej pory w Stowarzyszeniu Lokalna Grupa Działania Turystyczna Podkowa. Członkami</w:t>
      </w:r>
      <w:r w:rsidR="00EB66C4">
        <w:rPr>
          <w:rFonts w:ascii="Times New Roman" w:hAnsi="Times New Roman"/>
        </w:rPr>
        <w:t xml:space="preserve"> </w:t>
      </w:r>
      <w:r w:rsidR="00EB66C4" w:rsidRPr="00EB66C4">
        <w:rPr>
          <w:rFonts w:ascii="Times New Roman" w:hAnsi="Times New Roman"/>
          <w:color w:val="FF0000"/>
        </w:rPr>
        <w:t>LGD Regionu Myślenickiego</w:t>
      </w:r>
      <w:r w:rsidRPr="00CE5D9A">
        <w:rPr>
          <w:rFonts w:ascii="Times New Roman" w:hAnsi="Times New Roman"/>
        </w:rPr>
        <w:t xml:space="preserve"> </w:t>
      </w:r>
      <w:r w:rsidRPr="00E827FE">
        <w:rPr>
          <w:rFonts w:ascii="Times New Roman" w:hAnsi="Times New Roman"/>
          <w:strike/>
          <w:color w:val="FF0000"/>
        </w:rPr>
        <w:t>LGD „MDiG”</w:t>
      </w:r>
      <w:r w:rsidRPr="00CE5D9A">
        <w:rPr>
          <w:rFonts w:ascii="Times New Roman" w:hAnsi="Times New Roman"/>
        </w:rPr>
        <w:t xml:space="preserve"> są przedstawiciele każdego z sektorów z wszystkich gmin obszaru, reprezentujący interesy wszystkich mieszkańców terenu</w:t>
      </w:r>
      <w:r w:rsidR="00FB4F8A" w:rsidRPr="00CE5D9A">
        <w:rPr>
          <w:rFonts w:ascii="Times New Roman" w:hAnsi="Times New Roman"/>
        </w:rPr>
        <w:t xml:space="preserve"> LGD, w </w:t>
      </w:r>
      <w:r w:rsidRPr="00CE5D9A">
        <w:rPr>
          <w:rFonts w:ascii="Times New Roman" w:hAnsi="Times New Roman"/>
        </w:rPr>
        <w:t>tym kobiet i mężczyzn, seniorów (osoby starsze, które ukończyły 60. rok życia), osoby młode (do 25. roku życia) oraz przedsiębiorców, rolników, przedstawicieli organizacji pozarządowych i mieszkańców. Członków łączy doświadczenie zarówno z dziedziny gospodarczej jak i z działania społecznego. Pomiędzy sektorami funkcjonuje ścisła współpraca, wymiana wiedzy i doświadczeń.</w:t>
      </w:r>
    </w:p>
    <w:p w14:paraId="00784416"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ekonomicznych oraz administracyjnych niezbędnych do gospodarowania środkami publicznymi. Zgodnie z założeniami Planu komunikacji, dwa razy w</w:t>
      </w:r>
      <w:r w:rsidR="00FB4F8A" w:rsidRPr="00CE5D9A">
        <w:rPr>
          <w:rFonts w:ascii="Times New Roman" w:hAnsi="Times New Roman"/>
        </w:rPr>
        <w:t> </w:t>
      </w:r>
      <w:r w:rsidRPr="00CE5D9A">
        <w:rPr>
          <w:rFonts w:ascii="Times New Roman" w:hAnsi="Times New Roman"/>
        </w:rPr>
        <w:t xml:space="preserve">roku planuje się przeprowadzenie działania edukacyjnego dla członków LGD w zakresie ich samorozwoju. </w:t>
      </w:r>
    </w:p>
    <w:p w14:paraId="20D8AC9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Relacje między członkami LGD na etapie wdrażania LSR są opart</w:t>
      </w:r>
      <w:r w:rsidR="00FB4F8A" w:rsidRPr="00CE5D9A">
        <w:rPr>
          <w:rFonts w:ascii="Times New Roman" w:hAnsi="Times New Roman"/>
        </w:rPr>
        <w:t>e na pogłębionym partnerstwie i </w:t>
      </w:r>
      <w:r w:rsidRPr="00CE5D9A">
        <w:rPr>
          <w:rFonts w:ascii="Times New Roman" w:hAnsi="Times New Roman"/>
        </w:rPr>
        <w:t xml:space="preserve">skutecznej komunikacji. Stosuje się formy kolegialnego podejmowania decyzji. Walne Zebranie Członków jest możliwe do zwołania nawet na wniosek stosunkowo wąskiej grupy członków (1/3 Członków Stowarzyszenia)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 Chcąc mieć możliwość sprawnego zaspokajania potrzeb lokalnych społeczności wraz ze zmieniającymi się uwarunkowaniami zewnętrznymi, prowadzony będzie ciągły nabór propozycji projektów do realizacji. Wyniki naboru będą raz w roku podsumowane i opublikowane, oraz będą mogły stać się podstawą do wnioskowania przez Zarząd o aktualizację LSR. Raz w roku zostanie przeprowadzony konkurs na pomysł na usprawnienie funkcjonowania LGD oraz konkurs na innowacyjny pomysł do realizacji w ramach LSR. LGD będzie też tworzyć bazę potencjalnych partnerów, a także będzie prowadzić działania na rzecz kojarzenia partnerów i zachęcania do realizacji projektów partnerskich. Rozwiązania te przyczynią się do pogłębienia zaangażowania lokalnej społeczności oraz zachęcą do udziału we wdrażaniu LSR. </w:t>
      </w:r>
    </w:p>
    <w:p w14:paraId="3361602A" w14:textId="4BFAC1AF"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Władzami LGD są: Walne Zebranie Członków (WZC), Zarząd, Rada, Komisja Rewizyjna – jedna osoba może być jednocześnie członkiem tylko jednego z tych organów. Charakter działalności Stowarzyszenia jest inkluzyjny, co potwierdza Statut w zakresie kadencyjności organów. Kadencja Rady, Zarządu i Komisji Rewizyjnej wynosi </w:t>
      </w:r>
      <w:r w:rsidR="00207A83" w:rsidRPr="00CE5D9A">
        <w:rPr>
          <w:rFonts w:ascii="Times New Roman" w:hAnsi="Times New Roman"/>
        </w:rPr>
        <w:t>5 lat</w:t>
      </w:r>
      <w:r w:rsidRPr="00CE5D9A">
        <w:rPr>
          <w:rFonts w:ascii="Times New Roman" w:hAnsi="Times New Roman"/>
        </w:rPr>
        <w:t xml:space="preserve">. W przypadku zmniejszenia się składu </w:t>
      </w:r>
      <w:r w:rsidR="0063528A" w:rsidRPr="00CE5D9A">
        <w:rPr>
          <w:rFonts w:ascii="Times New Roman" w:hAnsi="Times New Roman"/>
        </w:rPr>
        <w:t xml:space="preserve">organów </w:t>
      </w:r>
      <w:r w:rsidRPr="00CE5D9A">
        <w:rPr>
          <w:rFonts w:ascii="Times New Roman" w:hAnsi="Times New Roman"/>
        </w:rPr>
        <w:t xml:space="preserve">władz LGD, </w:t>
      </w:r>
      <w:r w:rsidR="0063528A" w:rsidRPr="00CE5D9A">
        <w:rPr>
          <w:rFonts w:ascii="Times New Roman" w:hAnsi="Times New Roman"/>
        </w:rPr>
        <w:t>na najbliższym Zebraniu walnym</w:t>
      </w:r>
      <w:r w:rsidRPr="00CE5D9A">
        <w:rPr>
          <w:rFonts w:ascii="Times New Roman" w:hAnsi="Times New Roman"/>
        </w:rPr>
        <w:t xml:space="preserve"> </w:t>
      </w:r>
      <w:r w:rsidR="0063528A" w:rsidRPr="00CE5D9A">
        <w:rPr>
          <w:rFonts w:ascii="Times New Roman" w:hAnsi="Times New Roman"/>
        </w:rPr>
        <w:t>po nastąpieniu tego faktu uzupełnia się</w:t>
      </w:r>
      <w:r w:rsidRPr="00CE5D9A">
        <w:rPr>
          <w:rFonts w:ascii="Times New Roman" w:hAnsi="Times New Roman"/>
        </w:rPr>
        <w:t xml:space="preserve"> ich składu. Stowarzyszenie jest otwarte na nowych członków, nowych partnerów chętnych do włączenia się w realizację Lokalnej Strategii Rozwoju. Sposób rozszerzenia składu LGD o kolejnych partnerów następuje zgodnie ze Statutem. O przyjęciu w poczet członków Stowarzyszenia decyduje Zarząd w formie uchwały. O swojej decyzji Zarząd niezwłocznie powiadamia pisemnie zainteresowanego.</w:t>
      </w:r>
    </w:p>
    <w:p w14:paraId="39B30BA7"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Jednym z organów i najwyższą władzą LGD jest Walne Zebranie Członków (WZC), do którego kompetencji należy w szczególności m.in. opiniowanie i uchwalanie kierunków i programu działania oraz dokumentów strategicznych LGD w tym wybór i odwołanie członków Rady, Zarządu, Komisji Rewizyjnej, przyjmowanie ich sprawozdań, oraz uchwalanie regulaminów ich działania, a także inne kompetencje wynikające ze Statutu LGD. </w:t>
      </w:r>
    </w:p>
    <w:p w14:paraId="24D2E67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Organem wykonawczym i zarządzającym jest Zarząd LGD składający się z 5 osób, w tym: Prezesa, Wiceprezesa i 3 Członków. Do kompetencji Zarządu należy m.in. reprezentowanie Stowarzyszenia, opracowywanie LSR oraz wprowadzanie w niej zmian wynikających ze zmiany obowiązujących przepisów oraz wezwań instytucji zarządzającej oraz kierowanie pracami Biura. Jeszcze przed wdrażaniem niniejszej LSR włączono osoby młode (do 25. roku życia) – 1 osoba oraz seniorów (powyżej 60. roku życia) – 2 osoby, do członkostwa w Zarządzie. Wysoka aktywność seniorów ma duże znaczenie na obszarze LGD, ponieważ udział tych osób w liczbie mieszkańców stale wzrasta (2,2 pp. w okresie 5 lat), równocześnie rosną wskaźniki obciążenia demograficznego – jest to obszar starzejący się.</w:t>
      </w:r>
    </w:p>
    <w:p w14:paraId="49DF33E6"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Kontrola bieżącej działalności Rady i Zarządu Stowarzyszenia należy do Komisji Rewizyjnej, która składa się z 3 osób wybranych przez Walne Zebranie Członków spośród kandydatów zgłoszonych przez Członków Zwyczajnych Stowarzyszenia.</w:t>
      </w:r>
    </w:p>
    <w:p w14:paraId="12D6D6E6"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Kolejnym organem jest organ decyzyjny – Rada. </w:t>
      </w:r>
    </w:p>
    <w:p w14:paraId="56FEEEF3" w14:textId="77777777" w:rsidR="00686DFE" w:rsidRPr="00CE5D9A" w:rsidRDefault="00686DFE">
      <w:pPr>
        <w:pStyle w:val="Akapitzlist"/>
        <w:numPr>
          <w:ilvl w:val="0"/>
          <w:numId w:val="3"/>
        </w:numPr>
        <w:spacing w:before="240" w:line="276" w:lineRule="auto"/>
        <w:ind w:left="1134" w:hanging="357"/>
        <w:contextualSpacing w:val="0"/>
        <w:jc w:val="both"/>
        <w:outlineLvl w:val="1"/>
        <w:rPr>
          <w:rFonts w:ascii="Times New Roman" w:hAnsi="Times New Roman"/>
          <w:b/>
          <w:bCs/>
        </w:rPr>
      </w:pPr>
      <w:bookmarkStart w:id="5" w:name="_Toc135994824"/>
      <w:r w:rsidRPr="00CE5D9A">
        <w:rPr>
          <w:rFonts w:ascii="Times New Roman" w:hAnsi="Times New Roman"/>
          <w:b/>
          <w:bCs/>
        </w:rPr>
        <w:lastRenderedPageBreak/>
        <w:t>Organ decyzyjny LGD</w:t>
      </w:r>
      <w:bookmarkEnd w:id="5"/>
    </w:p>
    <w:p w14:paraId="0D21BF5D" w14:textId="77777777" w:rsidR="00686DFE" w:rsidRPr="00CE5D9A" w:rsidRDefault="00686DFE">
      <w:pPr>
        <w:pStyle w:val="Akapitzlist"/>
        <w:numPr>
          <w:ilvl w:val="1"/>
          <w:numId w:val="7"/>
        </w:numPr>
        <w:spacing w:before="240" w:after="0" w:line="276" w:lineRule="auto"/>
        <w:ind w:left="1560"/>
        <w:jc w:val="both"/>
        <w:rPr>
          <w:rFonts w:ascii="Times New Roman" w:hAnsi="Times New Roman"/>
          <w:b/>
          <w:bCs/>
        </w:rPr>
      </w:pPr>
      <w:r w:rsidRPr="00CE5D9A">
        <w:rPr>
          <w:rFonts w:ascii="Times New Roman" w:hAnsi="Times New Roman"/>
          <w:b/>
          <w:bCs/>
        </w:rPr>
        <w:t>Skład organu</w:t>
      </w:r>
    </w:p>
    <w:p w14:paraId="62B71984" w14:textId="3ECD28B8"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Organem decyzyjnym Stowarzyszenia jest Rada licząca </w:t>
      </w:r>
      <w:r w:rsidRPr="00751A82">
        <w:rPr>
          <w:rFonts w:ascii="Times New Roman" w:hAnsi="Times New Roman"/>
          <w:strike/>
          <w:color w:val="FF0000"/>
        </w:rPr>
        <w:t>13</w:t>
      </w:r>
      <w:r w:rsidR="00751A82">
        <w:rPr>
          <w:rFonts w:ascii="Times New Roman" w:hAnsi="Times New Roman"/>
        </w:rPr>
        <w:t xml:space="preserve"> </w:t>
      </w:r>
      <w:r w:rsidR="00751A82" w:rsidRPr="00751A82">
        <w:rPr>
          <w:rFonts w:ascii="Times New Roman" w:hAnsi="Times New Roman"/>
          <w:color w:val="FF0000"/>
        </w:rPr>
        <w:t>23</w:t>
      </w:r>
      <w:r w:rsidR="00751A82">
        <w:rPr>
          <w:rFonts w:ascii="Times New Roman" w:hAnsi="Times New Roman"/>
        </w:rPr>
        <w:t xml:space="preserve"> oso</w:t>
      </w:r>
      <w:r w:rsidRPr="00CE5D9A">
        <w:rPr>
          <w:rFonts w:ascii="Times New Roman" w:hAnsi="Times New Roman"/>
        </w:rPr>
        <w:t>b</w:t>
      </w:r>
      <w:r w:rsidR="00751A82">
        <w:rPr>
          <w:rFonts w:ascii="Times New Roman" w:hAnsi="Times New Roman"/>
        </w:rPr>
        <w:t>y</w:t>
      </w:r>
      <w:r w:rsidRPr="00CE5D9A">
        <w:rPr>
          <w:rFonts w:ascii="Times New Roman" w:hAnsi="Times New Roman"/>
        </w:rPr>
        <w:t xml:space="preserve"> (Przewodniczącego, </w:t>
      </w:r>
      <w:r w:rsidR="00751A82">
        <w:rPr>
          <w:rFonts w:ascii="Times New Roman" w:hAnsi="Times New Roman"/>
        </w:rPr>
        <w:t>3 Wiceprzewodniczących</w:t>
      </w:r>
      <w:r w:rsidRPr="00CE5D9A">
        <w:rPr>
          <w:rFonts w:ascii="Times New Roman" w:hAnsi="Times New Roman"/>
        </w:rPr>
        <w:t xml:space="preserve">, </w:t>
      </w:r>
      <w:r w:rsidRPr="0050012C">
        <w:rPr>
          <w:rFonts w:ascii="Times New Roman" w:hAnsi="Times New Roman"/>
          <w:strike/>
          <w:color w:val="FF0000"/>
        </w:rPr>
        <w:t>Sekretarza</w:t>
      </w:r>
      <w:r w:rsidRPr="00CE5D9A">
        <w:rPr>
          <w:rFonts w:ascii="Times New Roman" w:hAnsi="Times New Roman"/>
        </w:rPr>
        <w:t xml:space="preserve"> i </w:t>
      </w:r>
      <w:r w:rsidRPr="00751A82">
        <w:rPr>
          <w:rFonts w:ascii="Times New Roman" w:hAnsi="Times New Roman"/>
          <w:strike/>
          <w:color w:val="FF0000"/>
        </w:rPr>
        <w:t>10</w:t>
      </w:r>
      <w:r w:rsidRPr="00751A82">
        <w:rPr>
          <w:rFonts w:ascii="Times New Roman" w:hAnsi="Times New Roman"/>
          <w:color w:val="FF0000"/>
        </w:rPr>
        <w:t> </w:t>
      </w:r>
      <w:r w:rsidR="00751A82" w:rsidRPr="00751A82">
        <w:rPr>
          <w:rFonts w:ascii="Times New Roman" w:hAnsi="Times New Roman"/>
          <w:color w:val="FF0000"/>
        </w:rPr>
        <w:t xml:space="preserve">19 </w:t>
      </w:r>
      <w:r w:rsidRPr="00CE5D9A">
        <w:rPr>
          <w:rFonts w:ascii="Times New Roman" w:hAnsi="Times New Roman"/>
        </w:rPr>
        <w:t>członków Rady). Zgodnie z zapisami Statutu jest ona wybierana przez Walne Zebranie Członków Stowarzyszenia spośród członków zwyczajnych LGD. Żaden z wybranych członków Rady nie pełni funkcji w Zarządzie ani Komisji Rewizyjnej. Ponadto żaden nie jest zatrudniony w Biurze LGD, ani nie jest też podległy w stosunku zatrudnienia i nie jest w bliskim pokrewieństwie z innymi członkami Rady, Zarządu i Komisji Rewizyjnej. Przedstawicielami sektora publicznego są</w:t>
      </w:r>
      <w:r w:rsidRPr="00CE5D9A">
        <w:rPr>
          <w:rFonts w:ascii="Times New Roman" w:hAnsi="Times New Roman"/>
          <w:vertAlign w:val="superscript"/>
        </w:rPr>
        <w:footnoteReference w:id="3"/>
      </w:r>
      <w:r w:rsidRPr="00CE5D9A">
        <w:rPr>
          <w:rFonts w:ascii="Times New Roman" w:hAnsi="Times New Roman"/>
        </w:rPr>
        <w:t xml:space="preserve"> </w:t>
      </w:r>
      <w:r w:rsidRPr="00751A82">
        <w:rPr>
          <w:rFonts w:ascii="Times New Roman" w:hAnsi="Times New Roman"/>
          <w:strike/>
          <w:color w:val="FF0000"/>
        </w:rPr>
        <w:t>5</w:t>
      </w:r>
      <w:r w:rsidR="00751A82" w:rsidRPr="00751A82">
        <w:rPr>
          <w:rFonts w:ascii="Times New Roman" w:hAnsi="Times New Roman"/>
          <w:color w:val="FF0000"/>
        </w:rPr>
        <w:t xml:space="preserve"> 11</w:t>
      </w:r>
      <w:r w:rsidRPr="00751A82">
        <w:rPr>
          <w:rFonts w:ascii="Times New Roman" w:hAnsi="Times New Roman"/>
          <w:color w:val="FF0000"/>
        </w:rPr>
        <w:t xml:space="preserve"> </w:t>
      </w:r>
      <w:r w:rsidRPr="00CE5D9A">
        <w:rPr>
          <w:rFonts w:ascii="Times New Roman" w:hAnsi="Times New Roman"/>
        </w:rPr>
        <w:t>osób (</w:t>
      </w:r>
      <w:r w:rsidRPr="0050012C">
        <w:rPr>
          <w:rFonts w:ascii="Times New Roman" w:hAnsi="Times New Roman"/>
          <w:strike/>
          <w:color w:val="FF0000"/>
        </w:rPr>
        <w:t>38,4%</w:t>
      </w:r>
      <w:r w:rsidRPr="00751A82">
        <w:rPr>
          <w:rFonts w:ascii="Times New Roman" w:hAnsi="Times New Roman"/>
          <w:color w:val="FF0000"/>
        </w:rPr>
        <w:t xml:space="preserve"> </w:t>
      </w:r>
      <w:r w:rsidR="0050012C">
        <w:rPr>
          <w:rFonts w:ascii="Times New Roman" w:hAnsi="Times New Roman"/>
          <w:color w:val="FF0000"/>
        </w:rPr>
        <w:t xml:space="preserve">47,83% </w:t>
      </w:r>
      <w:r w:rsidRPr="00CE5D9A">
        <w:rPr>
          <w:rFonts w:ascii="Times New Roman" w:hAnsi="Times New Roman"/>
        </w:rPr>
        <w:t xml:space="preserve">składu Rady), sektora gospodarczego – </w:t>
      </w:r>
      <w:r w:rsidRPr="0050012C">
        <w:rPr>
          <w:rFonts w:ascii="Times New Roman" w:hAnsi="Times New Roman"/>
          <w:strike/>
          <w:color w:val="FF0000"/>
          <w:highlight w:val="yellow"/>
        </w:rPr>
        <w:t>4</w:t>
      </w:r>
      <w:r w:rsidR="0050012C">
        <w:rPr>
          <w:rFonts w:ascii="Times New Roman" w:hAnsi="Times New Roman"/>
        </w:rPr>
        <w:t xml:space="preserve"> </w:t>
      </w:r>
      <w:r w:rsidR="0050012C" w:rsidRPr="0050012C">
        <w:rPr>
          <w:rFonts w:ascii="Times New Roman" w:hAnsi="Times New Roman"/>
          <w:color w:val="FF0000"/>
        </w:rPr>
        <w:t>5</w:t>
      </w:r>
      <w:r w:rsidRPr="0050012C">
        <w:rPr>
          <w:rFonts w:ascii="Times New Roman" w:hAnsi="Times New Roman"/>
        </w:rPr>
        <w:t xml:space="preserve"> </w:t>
      </w:r>
      <w:r w:rsidR="0050012C">
        <w:rPr>
          <w:rFonts w:ascii="Times New Roman" w:hAnsi="Times New Roman"/>
        </w:rPr>
        <w:t>osób</w:t>
      </w:r>
      <w:r w:rsidRPr="00CE5D9A">
        <w:rPr>
          <w:rFonts w:ascii="Times New Roman" w:hAnsi="Times New Roman"/>
        </w:rPr>
        <w:t xml:space="preserve"> (</w:t>
      </w:r>
      <w:r w:rsidRPr="0050012C">
        <w:rPr>
          <w:rFonts w:ascii="Times New Roman" w:hAnsi="Times New Roman"/>
          <w:strike/>
          <w:color w:val="FF0000"/>
        </w:rPr>
        <w:t>30,8%</w:t>
      </w:r>
      <w:r w:rsidRPr="0050012C">
        <w:rPr>
          <w:rFonts w:ascii="Times New Roman" w:hAnsi="Times New Roman"/>
          <w:color w:val="FF0000"/>
        </w:rPr>
        <w:t xml:space="preserve"> </w:t>
      </w:r>
      <w:r w:rsidR="0050012C" w:rsidRPr="0050012C">
        <w:rPr>
          <w:rFonts w:ascii="Times New Roman" w:hAnsi="Times New Roman"/>
          <w:color w:val="FF0000"/>
        </w:rPr>
        <w:t xml:space="preserve">21,74% </w:t>
      </w:r>
      <w:r w:rsidRPr="00CE5D9A">
        <w:rPr>
          <w:rFonts w:ascii="Times New Roman" w:hAnsi="Times New Roman"/>
        </w:rPr>
        <w:t xml:space="preserve">składu Rady), społecznego </w:t>
      </w:r>
      <w:r w:rsidRPr="0050012C">
        <w:rPr>
          <w:rFonts w:ascii="Times New Roman" w:hAnsi="Times New Roman"/>
          <w:color w:val="FF0000"/>
          <w:highlight w:val="yellow"/>
        </w:rPr>
        <w:t>4</w:t>
      </w:r>
      <w:r w:rsidRPr="0050012C">
        <w:rPr>
          <w:rFonts w:ascii="Times New Roman" w:hAnsi="Times New Roman"/>
          <w:color w:val="FF0000"/>
        </w:rPr>
        <w:t xml:space="preserve"> </w:t>
      </w:r>
      <w:r w:rsidR="0050012C" w:rsidRPr="0050012C">
        <w:rPr>
          <w:rFonts w:ascii="Times New Roman" w:hAnsi="Times New Roman"/>
          <w:color w:val="FF0000"/>
        </w:rPr>
        <w:t>7 osób</w:t>
      </w:r>
      <w:r w:rsidRPr="0050012C">
        <w:rPr>
          <w:rFonts w:ascii="Times New Roman" w:hAnsi="Times New Roman"/>
          <w:color w:val="FF0000"/>
        </w:rPr>
        <w:t xml:space="preserve"> </w:t>
      </w:r>
      <w:r w:rsidRPr="00CE5D9A">
        <w:rPr>
          <w:rFonts w:ascii="Times New Roman" w:hAnsi="Times New Roman"/>
        </w:rPr>
        <w:t>(</w:t>
      </w:r>
      <w:r w:rsidRPr="0050012C">
        <w:rPr>
          <w:rFonts w:ascii="Times New Roman" w:hAnsi="Times New Roman"/>
          <w:strike/>
          <w:color w:val="FF0000"/>
        </w:rPr>
        <w:t>30,8%</w:t>
      </w:r>
      <w:r w:rsidRPr="0050012C">
        <w:rPr>
          <w:rFonts w:ascii="Times New Roman" w:hAnsi="Times New Roman"/>
          <w:color w:val="FF0000"/>
        </w:rPr>
        <w:t xml:space="preserve"> </w:t>
      </w:r>
      <w:r w:rsidR="0050012C" w:rsidRPr="0050012C">
        <w:rPr>
          <w:rFonts w:ascii="Times New Roman" w:hAnsi="Times New Roman"/>
          <w:color w:val="FF0000"/>
        </w:rPr>
        <w:t xml:space="preserve">30,43% </w:t>
      </w:r>
      <w:r w:rsidRPr="00CE5D9A">
        <w:rPr>
          <w:rFonts w:ascii="Times New Roman" w:hAnsi="Times New Roman"/>
        </w:rPr>
        <w:t>składu Rady), co oznacza, że żadna z grup interesu nie posiada więcej niż 49% praw głosu. W składzie Rady zachowano parytety w postaci obecności co najmniej 1 kobiety, 1 przedsiębiorcy, 4 osoby to sen</w:t>
      </w:r>
      <w:r w:rsidR="0050012C">
        <w:rPr>
          <w:rFonts w:ascii="Times New Roman" w:hAnsi="Times New Roman"/>
        </w:rPr>
        <w:t>iorzy oraz 1 osoba młoda, do 25</w:t>
      </w:r>
      <w:r w:rsidRPr="00CE5D9A">
        <w:rPr>
          <w:rFonts w:ascii="Times New Roman" w:hAnsi="Times New Roman"/>
        </w:rPr>
        <w:t xml:space="preserve"> roku życia. W Radzie znajdują się przedstawiciele grup nieformalnych, KGW oraz sołtys, lokalni przedsiębiorcy, rolnicy i usługodawcy. Ponadto zidentyfikowano trzy dodatkowe grupy interesariuszy LSR: </w:t>
      </w:r>
    </w:p>
    <w:p w14:paraId="255AC8C7" w14:textId="77777777" w:rsidR="00686DFE" w:rsidRPr="00CE5D9A" w:rsidRDefault="00686DFE">
      <w:pPr>
        <w:pStyle w:val="Akapitzlist"/>
        <w:numPr>
          <w:ilvl w:val="0"/>
          <w:numId w:val="6"/>
        </w:numPr>
        <w:spacing w:after="0" w:line="276" w:lineRule="auto"/>
        <w:jc w:val="both"/>
        <w:rPr>
          <w:rFonts w:ascii="Times New Roman" w:hAnsi="Times New Roman"/>
        </w:rPr>
      </w:pPr>
      <w:r w:rsidRPr="00CE5D9A">
        <w:rPr>
          <w:rFonts w:ascii="Times New Roman" w:hAnsi="Times New Roman"/>
        </w:rPr>
        <w:t xml:space="preserve">podmioty reprezentujące branżę turystyczną, kulturę, rozrywkę i edukację, ponieważ są bezpośrednio zainteresowane wdrażaniem działań związanych z przemysłem czasu wolnego, </w:t>
      </w:r>
    </w:p>
    <w:p w14:paraId="26D53C62" w14:textId="77777777" w:rsidR="00686DFE" w:rsidRPr="00CE5D9A" w:rsidRDefault="00686DFE">
      <w:pPr>
        <w:pStyle w:val="Akapitzlist"/>
        <w:numPr>
          <w:ilvl w:val="0"/>
          <w:numId w:val="6"/>
        </w:numPr>
        <w:spacing w:before="240" w:after="0" w:line="276" w:lineRule="auto"/>
        <w:jc w:val="both"/>
        <w:rPr>
          <w:rFonts w:ascii="Times New Roman" w:hAnsi="Times New Roman"/>
        </w:rPr>
      </w:pPr>
      <w:r w:rsidRPr="00CE5D9A">
        <w:rPr>
          <w:rFonts w:ascii="Times New Roman" w:hAnsi="Times New Roman"/>
        </w:rPr>
        <w:t>przedstawiciel Starostwa Powiatowego reprezentujący grupę osób w niekorzystnej sytuacji – niepełnosprawni i ich opiekunowie ponieważ do zadań Powiatu należy m.in. opracowanie i realizacja powiatowej strategii rozwiązywania problemów społecznych, ze szczególnym uwzględnieniem programów pomocy społecznej, wspierania osób niepełnosprawnych i innych, których celem jest integracja osób i rodzin z grup szczególnego ryzyka,</w:t>
      </w:r>
    </w:p>
    <w:p w14:paraId="5D7A3705" w14:textId="77777777" w:rsidR="00686DFE" w:rsidRPr="00CE5D9A" w:rsidRDefault="00686DFE">
      <w:pPr>
        <w:pStyle w:val="Akapitzlist"/>
        <w:numPr>
          <w:ilvl w:val="0"/>
          <w:numId w:val="6"/>
        </w:numPr>
        <w:spacing w:before="240" w:after="0" w:line="276" w:lineRule="auto"/>
        <w:jc w:val="both"/>
        <w:rPr>
          <w:rFonts w:ascii="Times New Roman" w:hAnsi="Times New Roman"/>
        </w:rPr>
      </w:pPr>
      <w:r w:rsidRPr="00CE5D9A">
        <w:t>o</w:t>
      </w:r>
      <w:r w:rsidRPr="00CE5D9A">
        <w:rPr>
          <w:rFonts w:ascii="Times New Roman" w:hAnsi="Times New Roman"/>
        </w:rPr>
        <w:t>soby działające na rzecz i reprezentujące podmioty działające na rzecz ochrony środowiska naturalnego ponieważ na obszarze każdej z gmin znajdują się prawnie chronione formy ochrony przyrody.</w:t>
      </w:r>
    </w:p>
    <w:p w14:paraId="349D963B" w14:textId="77777777" w:rsidR="00686DFE" w:rsidRPr="00CE5D9A" w:rsidRDefault="00686DFE">
      <w:pPr>
        <w:spacing w:before="240" w:line="276" w:lineRule="auto"/>
        <w:ind w:firstLine="708"/>
        <w:jc w:val="both"/>
        <w:rPr>
          <w:rFonts w:ascii="Times New Roman" w:hAnsi="Times New Roman"/>
        </w:rPr>
      </w:pPr>
      <w:r w:rsidRPr="00CE5D9A">
        <w:rPr>
          <w:rFonts w:ascii="Times New Roman" w:hAnsi="Times New Roman"/>
        </w:rPr>
        <w:t xml:space="preserve">Wyłączną kompetencją Rady jest wybór operacji, które mają być realizowane w ramach LSR oraz ustalenie kwoty wsparcia. </w:t>
      </w:r>
    </w:p>
    <w:p w14:paraId="1C991FFD" w14:textId="77777777" w:rsidR="00686DFE" w:rsidRPr="00CE5D9A" w:rsidRDefault="00686DFE">
      <w:pPr>
        <w:pStyle w:val="Akapitzlist"/>
        <w:numPr>
          <w:ilvl w:val="1"/>
          <w:numId w:val="7"/>
        </w:numPr>
        <w:spacing w:before="240" w:line="276" w:lineRule="auto"/>
        <w:ind w:left="1559" w:hanging="431"/>
        <w:contextualSpacing w:val="0"/>
        <w:jc w:val="both"/>
        <w:rPr>
          <w:rFonts w:ascii="Times New Roman" w:hAnsi="Times New Roman"/>
          <w:b/>
          <w:bCs/>
        </w:rPr>
      </w:pPr>
      <w:r w:rsidRPr="00CE5D9A">
        <w:rPr>
          <w:rFonts w:ascii="Times New Roman" w:hAnsi="Times New Roman"/>
          <w:b/>
          <w:bCs/>
        </w:rPr>
        <w:t>Proces decyzyjny</w:t>
      </w:r>
    </w:p>
    <w:p w14:paraId="396CFC7C" w14:textId="77777777" w:rsidR="00686DFE" w:rsidRPr="00CE5D9A" w:rsidRDefault="00686DFE">
      <w:pPr>
        <w:pStyle w:val="Akapitzlist"/>
        <w:spacing w:after="0" w:line="276" w:lineRule="auto"/>
        <w:ind w:left="0" w:firstLine="709"/>
        <w:contextualSpacing w:val="0"/>
        <w:jc w:val="both"/>
        <w:rPr>
          <w:rFonts w:ascii="Times New Roman" w:hAnsi="Times New Roman"/>
        </w:rPr>
      </w:pPr>
      <w:r w:rsidRPr="00CE5D9A">
        <w:rPr>
          <w:rFonts w:ascii="Times New Roman" w:hAnsi="Times New Roman"/>
        </w:rPr>
        <w:t>Rada działa zgodnie z zapisami Statutu oraz Regulaminu Rady. Proces decyzyjny organu nie jest zdominowany przez władzę publiczną ani żadną z grup interesów – w skład Rady wchodzi co najmniej jeden przedstawiciel każdego z sektorów: publicznego, społecznego i gospodarczego, a także co najmniej jeden mieszkaniec obszaru działania LGD, przy czym ani władze publiczne, ani żadna z grup interesów nie posiada więcej niż 49% składu Rady. W skład Rady wchodzi co najmniej jedna kobieta. Na poziomie podejmowania decyzji w Radzie ani władze publiczne, ani żadna z grup interesu nie może posiadać więcej niż 49% głosu. Przedstawiciele sektora publicznego stanowią mniej niż 49% składu Rady. LGD przez la</w:t>
      </w:r>
      <w:r w:rsidR="00FB4F8A" w:rsidRPr="00CE5D9A">
        <w:rPr>
          <w:rFonts w:ascii="Times New Roman" w:hAnsi="Times New Roman"/>
        </w:rPr>
        <w:t>ta doświadczenia i </w:t>
      </w:r>
      <w:r w:rsidRPr="00CE5D9A">
        <w:rPr>
          <w:rFonts w:ascii="Times New Roman" w:hAnsi="Times New Roman"/>
        </w:rPr>
        <w:t xml:space="preserve">działalności wypracowała mechanizmy, dzięki którym posiada zdolność do zarządzania procesem wdrażania LSR. Wszystkie organy struktury LGD działają na bazie właściwych dla siebie Regulaminów. Jasny jest podział praw i obowiązków. </w:t>
      </w:r>
    </w:p>
    <w:p w14:paraId="251EF724" w14:textId="77777777" w:rsidR="00686DFE" w:rsidRPr="00CE5D9A" w:rsidRDefault="00686DFE">
      <w:pPr>
        <w:pStyle w:val="Akapitzlist"/>
        <w:spacing w:line="276" w:lineRule="auto"/>
        <w:ind w:left="0" w:firstLine="709"/>
        <w:contextualSpacing w:val="0"/>
        <w:jc w:val="both"/>
        <w:rPr>
          <w:rFonts w:ascii="Times New Roman" w:hAnsi="Times New Roman"/>
        </w:rPr>
      </w:pPr>
      <w:r w:rsidRPr="00CE5D9A">
        <w:rPr>
          <w:rFonts w:ascii="Times New Roman" w:hAnsi="Times New Roman"/>
        </w:rPr>
        <w:t>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wielofunduszowości.</w:t>
      </w:r>
    </w:p>
    <w:p w14:paraId="2FFBEE9B" w14:textId="77777777" w:rsidR="00686DFE" w:rsidRPr="00CE5D9A" w:rsidRDefault="00686DFE">
      <w:pPr>
        <w:pStyle w:val="Akapitzlist"/>
        <w:numPr>
          <w:ilvl w:val="0"/>
          <w:numId w:val="3"/>
        </w:numPr>
        <w:spacing w:before="240" w:line="276" w:lineRule="auto"/>
        <w:ind w:left="1134" w:hanging="357"/>
        <w:contextualSpacing w:val="0"/>
        <w:jc w:val="both"/>
        <w:outlineLvl w:val="1"/>
        <w:rPr>
          <w:rFonts w:ascii="Times New Roman" w:hAnsi="Times New Roman"/>
          <w:b/>
          <w:bCs/>
        </w:rPr>
      </w:pPr>
      <w:bookmarkStart w:id="6" w:name="_Toc135994825"/>
      <w:r w:rsidRPr="00CE5D9A">
        <w:rPr>
          <w:rFonts w:ascii="Times New Roman" w:hAnsi="Times New Roman"/>
          <w:b/>
          <w:bCs/>
        </w:rPr>
        <w:t>Dokumenty regulujące funkcjonowanie LGD</w:t>
      </w:r>
      <w:bookmarkEnd w:id="6"/>
    </w:p>
    <w:p w14:paraId="6EFD7192" w14:textId="42A9F929" w:rsidR="00686DFE" w:rsidRPr="00CE5D9A" w:rsidRDefault="00E827FE">
      <w:pPr>
        <w:spacing w:after="0" w:line="276" w:lineRule="auto"/>
        <w:ind w:firstLine="708"/>
        <w:jc w:val="both"/>
        <w:rPr>
          <w:rFonts w:ascii="Times New Roman" w:hAnsi="Times New Roman"/>
        </w:rPr>
      </w:pPr>
      <w:r w:rsidRPr="000E08C3">
        <w:rPr>
          <w:rFonts w:ascii="Times New Roman" w:hAnsi="Times New Roman"/>
          <w:color w:val="FF0000"/>
        </w:rPr>
        <w:t>LGD Regionu Myślenickiego</w:t>
      </w:r>
      <w:r w:rsidR="000E08C3">
        <w:rPr>
          <w:rFonts w:ascii="Times New Roman" w:hAnsi="Times New Roman"/>
          <w:strike/>
          <w:color w:val="FF0000"/>
        </w:rPr>
        <w:t xml:space="preserve"> </w:t>
      </w:r>
      <w:r w:rsidR="00686DFE" w:rsidRPr="00E827FE">
        <w:rPr>
          <w:rFonts w:ascii="Times New Roman" w:hAnsi="Times New Roman"/>
          <w:strike/>
          <w:color w:val="FF0000"/>
        </w:rPr>
        <w:t>Lokalna Grupa Działania „Między Dalinem i Gościbią”</w:t>
      </w:r>
      <w:r w:rsidR="00686DFE" w:rsidRPr="00E827FE">
        <w:rPr>
          <w:rFonts w:ascii="Times New Roman" w:hAnsi="Times New Roman"/>
          <w:color w:val="FF0000"/>
        </w:rPr>
        <w:t xml:space="preserve"> </w:t>
      </w:r>
      <w:r w:rsidR="00686DFE" w:rsidRPr="00CE5D9A">
        <w:rPr>
          <w:rFonts w:ascii="Times New Roman" w:hAnsi="Times New Roman"/>
        </w:rPr>
        <w:t>funkcjonuje w oparciu o przepisy:</w:t>
      </w:r>
    </w:p>
    <w:p w14:paraId="0BFACFE6" w14:textId="77777777" w:rsidR="00686DFE" w:rsidRPr="00CE5D9A" w:rsidRDefault="00686DFE">
      <w:pPr>
        <w:pStyle w:val="Akapitzlist"/>
        <w:numPr>
          <w:ilvl w:val="0"/>
          <w:numId w:val="8"/>
        </w:numPr>
        <w:spacing w:line="276" w:lineRule="auto"/>
        <w:ind w:left="1276" w:hanging="425"/>
        <w:jc w:val="both"/>
        <w:rPr>
          <w:rFonts w:ascii="Times New Roman" w:hAnsi="Times New Roman"/>
        </w:rPr>
      </w:pPr>
      <w:r w:rsidRPr="00CE5D9A">
        <w:rPr>
          <w:rFonts w:ascii="Times New Roman" w:hAnsi="Times New Roman"/>
          <w:i/>
          <w:iCs/>
        </w:rPr>
        <w:t>Ustawy z dnia 20 lutego 2015 r. o rozwoju lokalnym z udziałem lokalnej społeczności</w:t>
      </w:r>
      <w:r w:rsidRPr="00CE5D9A">
        <w:rPr>
          <w:rFonts w:ascii="Times New Roman" w:hAnsi="Times New Roman"/>
        </w:rPr>
        <w:t xml:space="preserve"> (Dz. U. z 2022 r. poz. 943 z późn. zm.);</w:t>
      </w:r>
    </w:p>
    <w:p w14:paraId="300666B9" w14:textId="77777777" w:rsidR="00686DFE" w:rsidRPr="00CE5D9A" w:rsidRDefault="00686DFE">
      <w:pPr>
        <w:pStyle w:val="Akapitzlist"/>
        <w:numPr>
          <w:ilvl w:val="0"/>
          <w:numId w:val="8"/>
        </w:numPr>
        <w:spacing w:line="276" w:lineRule="auto"/>
        <w:ind w:left="1276" w:hanging="425"/>
        <w:jc w:val="both"/>
        <w:rPr>
          <w:rFonts w:ascii="Times New Roman" w:hAnsi="Times New Roman"/>
        </w:rPr>
      </w:pPr>
      <w:r w:rsidRPr="00CE5D9A">
        <w:rPr>
          <w:rFonts w:ascii="Times New Roman" w:hAnsi="Times New Roman"/>
          <w:i/>
          <w:iCs/>
        </w:rPr>
        <w:t>Ustawy z dnia 7 kwietnia 1989 r. Prawo o stowarzyszeniach</w:t>
      </w:r>
      <w:r w:rsidRPr="00CE5D9A">
        <w:rPr>
          <w:rFonts w:ascii="Times New Roman" w:hAnsi="Times New Roman"/>
        </w:rPr>
        <w:t xml:space="preserve"> (Dz. U. z 2020 r. poz. 2261);</w:t>
      </w:r>
    </w:p>
    <w:p w14:paraId="009F9B95" w14:textId="77777777" w:rsidR="00686DFE" w:rsidRPr="00CE5D9A" w:rsidRDefault="00686DFE">
      <w:pPr>
        <w:pStyle w:val="Akapitzlist"/>
        <w:numPr>
          <w:ilvl w:val="0"/>
          <w:numId w:val="8"/>
        </w:numPr>
        <w:spacing w:line="276" w:lineRule="auto"/>
        <w:ind w:left="1276" w:hanging="425"/>
        <w:jc w:val="both"/>
        <w:rPr>
          <w:rFonts w:ascii="Times New Roman" w:hAnsi="Times New Roman"/>
        </w:rPr>
      </w:pPr>
      <w:r w:rsidRPr="00CE5D9A">
        <w:rPr>
          <w:rFonts w:ascii="Times New Roman" w:hAnsi="Times New Roman"/>
          <w:i/>
          <w:iCs/>
        </w:rPr>
        <w:lastRenderedPageBreak/>
        <w:t>Ustawy z dnia 20 lutego 2015 r. o wspieraniu rozwoju obszarów wiejskich z udziałem środków Europejskiego Funduszu Rolnego na rzecz Rozwoju Obszarów Wiejskich w ramach Programu Rozwoju Obszarów Wiejskich na lata 2014-2020</w:t>
      </w:r>
      <w:r w:rsidRPr="00CE5D9A">
        <w:rPr>
          <w:rFonts w:ascii="Times New Roman" w:hAnsi="Times New Roman"/>
        </w:rPr>
        <w:t xml:space="preserve"> (Dz. U. z 2022 r. poz. 2422 z późn. zm.);</w:t>
      </w:r>
    </w:p>
    <w:p w14:paraId="0620447A" w14:textId="77777777" w:rsidR="00686DFE" w:rsidRPr="00CE5D9A" w:rsidRDefault="00686DFE">
      <w:pPr>
        <w:pStyle w:val="Akapitzlist"/>
        <w:numPr>
          <w:ilvl w:val="0"/>
          <w:numId w:val="8"/>
        </w:numPr>
        <w:spacing w:line="276" w:lineRule="auto"/>
        <w:ind w:left="1276" w:hanging="425"/>
        <w:jc w:val="both"/>
        <w:rPr>
          <w:rFonts w:ascii="Times New Roman" w:hAnsi="Times New Roman"/>
        </w:rPr>
      </w:pPr>
      <w:r w:rsidRPr="00CE5D9A">
        <w:rPr>
          <w:rFonts w:ascii="Times New Roman" w:hAnsi="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Pr="00CE5D9A">
        <w:rPr>
          <w:rFonts w:ascii="Times New Roman" w:hAnsi="Times New Roman"/>
        </w:rPr>
        <w:t>;</w:t>
      </w:r>
    </w:p>
    <w:p w14:paraId="1EEFA948" w14:textId="77777777" w:rsidR="00686DFE" w:rsidRPr="00CE5D9A" w:rsidRDefault="00686DFE">
      <w:pPr>
        <w:pStyle w:val="Akapitzlist"/>
        <w:numPr>
          <w:ilvl w:val="0"/>
          <w:numId w:val="8"/>
        </w:numPr>
        <w:spacing w:line="276" w:lineRule="auto"/>
        <w:ind w:left="1276" w:hanging="425"/>
        <w:jc w:val="both"/>
        <w:rPr>
          <w:rFonts w:ascii="Times New Roman" w:hAnsi="Times New Roman"/>
          <w:i/>
          <w:iCs/>
        </w:rPr>
      </w:pPr>
      <w:r w:rsidRPr="00CE5D9A">
        <w:rPr>
          <w:rFonts w:ascii="Times New Roman" w:hAnsi="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6B3DED87" w14:textId="77777777" w:rsidR="00686DFE" w:rsidRPr="00CE5D9A" w:rsidRDefault="00686DFE">
      <w:pPr>
        <w:pStyle w:val="Akapitzlist"/>
        <w:numPr>
          <w:ilvl w:val="0"/>
          <w:numId w:val="8"/>
        </w:numPr>
        <w:spacing w:after="0" w:line="276" w:lineRule="auto"/>
        <w:ind w:left="1276" w:hanging="425"/>
        <w:jc w:val="both"/>
        <w:rPr>
          <w:rFonts w:ascii="Times New Roman" w:hAnsi="Times New Roman"/>
          <w:i/>
          <w:iCs/>
        </w:rPr>
      </w:pPr>
      <w:r w:rsidRPr="00CE5D9A">
        <w:rPr>
          <w:rFonts w:ascii="Times New Roman" w:hAnsi="Times New Roman"/>
          <w:i/>
          <w:iCs/>
        </w:rPr>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41CE41B3" w14:textId="77777777" w:rsidR="00686DFE" w:rsidRPr="00CE5D9A" w:rsidRDefault="00686DFE">
      <w:pPr>
        <w:pStyle w:val="Akapitzlist"/>
        <w:numPr>
          <w:ilvl w:val="0"/>
          <w:numId w:val="8"/>
        </w:numPr>
        <w:spacing w:after="0" w:line="276" w:lineRule="auto"/>
        <w:ind w:left="1276" w:hanging="425"/>
        <w:jc w:val="both"/>
        <w:rPr>
          <w:rFonts w:ascii="Times New Roman" w:hAnsi="Times New Roman"/>
          <w:i/>
          <w:iCs/>
        </w:rPr>
      </w:pPr>
      <w:r w:rsidRPr="00CE5D9A">
        <w:rPr>
          <w:rFonts w:ascii="Times New Roman" w:hAnsi="Times New Roman"/>
          <w:i/>
          <w:iCs/>
        </w:rPr>
        <w:t>Ustawy z dnia 8 lutego 2023r. o Planie Strategicznym dla Wspólnej Polityki Rolnej na lata 2023-2027 (Dz.U. 2023 poz. 412);</w:t>
      </w:r>
    </w:p>
    <w:p w14:paraId="20BB569B" w14:textId="77777777" w:rsidR="00686DFE" w:rsidRPr="00CE5D9A" w:rsidRDefault="00686DFE">
      <w:pPr>
        <w:pStyle w:val="Akapitzlist"/>
        <w:numPr>
          <w:ilvl w:val="0"/>
          <w:numId w:val="8"/>
        </w:numPr>
        <w:spacing w:after="0" w:line="276" w:lineRule="auto"/>
        <w:ind w:left="1276" w:hanging="425"/>
        <w:jc w:val="both"/>
        <w:rPr>
          <w:rFonts w:ascii="Times New Roman" w:hAnsi="Times New Roman"/>
          <w:i/>
          <w:iCs/>
        </w:rPr>
      </w:pPr>
      <w:r w:rsidRPr="00CE5D9A">
        <w:rPr>
          <w:rFonts w:ascii="Times New Roman" w:hAnsi="Times New Roman"/>
          <w:i/>
          <w:iCs/>
        </w:rPr>
        <w:t>Rozporządzenie Parlamentu Europejskiego i Rady (UE) 2021/1057 z dnia 24 czerwca 2021r. ustanawiające Europejski Funduszy Społecznego Plus, (EFS+) oraz uchylające rozporządzenie (UE) nr 1296/2013.;</w:t>
      </w:r>
    </w:p>
    <w:p w14:paraId="4DF64556" w14:textId="77777777" w:rsidR="00686DFE" w:rsidRPr="00CE5D9A" w:rsidRDefault="00686DFE">
      <w:pPr>
        <w:pStyle w:val="Akapitzlist"/>
        <w:numPr>
          <w:ilvl w:val="0"/>
          <w:numId w:val="8"/>
        </w:numPr>
        <w:spacing w:after="0" w:line="276" w:lineRule="auto"/>
        <w:ind w:left="1276" w:hanging="425"/>
        <w:jc w:val="both"/>
        <w:rPr>
          <w:rFonts w:ascii="Times New Roman" w:hAnsi="Times New Roman"/>
          <w:i/>
          <w:iCs/>
        </w:rPr>
      </w:pPr>
      <w:r w:rsidRPr="00CE5D9A">
        <w:rPr>
          <w:rFonts w:ascii="Times New Roman" w:hAnsi="Times New Roman"/>
          <w:i/>
          <w:iCs/>
        </w:rPr>
        <w:t>USTAWA z dnia 28 kwietnia 2022 r. o zasadach realizacji zadań finansowanych ze środków europejskich w perspektywie finansowej 2021–2027 (Dz.U. 2022 poz. 1079).</w:t>
      </w:r>
    </w:p>
    <w:p w14:paraId="7BCEC397" w14:textId="77777777" w:rsidR="00686DFE" w:rsidRPr="00CE5D9A" w:rsidRDefault="00686DFE">
      <w:pPr>
        <w:spacing w:before="240" w:line="276" w:lineRule="auto"/>
        <w:ind w:firstLine="708"/>
        <w:jc w:val="both"/>
        <w:rPr>
          <w:rFonts w:ascii="Times New Roman" w:hAnsi="Times New Roman"/>
        </w:rPr>
      </w:pPr>
      <w:r w:rsidRPr="00CE5D9A">
        <w:rPr>
          <w:rFonts w:ascii="Times New Roman" w:hAnsi="Times New Roman"/>
        </w:rPr>
        <w:t>Poza wyżej wskazanymi aktami prawnymi, działania LGD regulują dokumenty wewnętrzne przedstawione w tabeli 1.</w:t>
      </w:r>
    </w:p>
    <w:p w14:paraId="46325F68" w14:textId="569E46C0" w:rsidR="00686DFE" w:rsidRPr="00CE5D9A" w:rsidRDefault="00686DFE">
      <w:pPr>
        <w:pStyle w:val="Legenda"/>
        <w:spacing w:after="0"/>
        <w:jc w:val="center"/>
        <w:rPr>
          <w:rFonts w:ascii="Times New Roman" w:hAnsi="Times New Roman"/>
          <w:b/>
          <w:bCs/>
          <w:i w:val="0"/>
          <w:iCs w:val="0"/>
          <w:color w:val="auto"/>
          <w:sz w:val="20"/>
          <w:szCs w:val="20"/>
        </w:rPr>
      </w:pPr>
      <w:bookmarkStart w:id="7" w:name="_Toc134966350"/>
      <w:bookmarkStart w:id="8" w:name="_Toc194581425"/>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Dokumenty regulujące funkcjonowanie LGD</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034"/>
        <w:gridCol w:w="6322"/>
      </w:tblGrid>
      <w:tr w:rsidR="00686DFE" w:rsidRPr="00CE5D9A" w14:paraId="311A33F3" w14:textId="77777777" w:rsidTr="00ED6C99">
        <w:trPr>
          <w:trHeight w:val="567"/>
        </w:trPr>
        <w:tc>
          <w:tcPr>
            <w:tcW w:w="1838" w:type="dxa"/>
            <w:shd w:val="clear" w:color="auto" w:fill="auto"/>
            <w:vAlign w:val="center"/>
          </w:tcPr>
          <w:p w14:paraId="1582F3D2"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Nazwa dokumentu</w:t>
            </w:r>
          </w:p>
        </w:tc>
        <w:tc>
          <w:tcPr>
            <w:tcW w:w="2034" w:type="dxa"/>
            <w:shd w:val="clear" w:color="auto" w:fill="auto"/>
            <w:vAlign w:val="center"/>
          </w:tcPr>
          <w:p w14:paraId="5BD08D5D"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Organ uchwalający i aktualizujący</w:t>
            </w:r>
          </w:p>
        </w:tc>
        <w:tc>
          <w:tcPr>
            <w:tcW w:w="6322" w:type="dxa"/>
            <w:shd w:val="clear" w:color="auto" w:fill="auto"/>
            <w:vAlign w:val="center"/>
          </w:tcPr>
          <w:p w14:paraId="6ACC0CF6"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Najważniejsze kwestie związane z dokumentem</w:t>
            </w:r>
          </w:p>
        </w:tc>
      </w:tr>
      <w:tr w:rsidR="00686DFE" w:rsidRPr="00CE5D9A" w14:paraId="7E07F437" w14:textId="77777777" w:rsidTr="00ED6C99">
        <w:trPr>
          <w:trHeight w:val="737"/>
        </w:trPr>
        <w:tc>
          <w:tcPr>
            <w:tcW w:w="1838" w:type="dxa"/>
            <w:shd w:val="clear" w:color="auto" w:fill="auto"/>
            <w:vAlign w:val="center"/>
          </w:tcPr>
          <w:p w14:paraId="5547D16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Statut LGD</w:t>
            </w:r>
          </w:p>
        </w:tc>
        <w:tc>
          <w:tcPr>
            <w:tcW w:w="2034" w:type="dxa"/>
            <w:shd w:val="clear" w:color="auto" w:fill="auto"/>
            <w:vAlign w:val="center"/>
          </w:tcPr>
          <w:p w14:paraId="3F3984B5"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Walne Zebranie </w:t>
            </w:r>
            <w:r w:rsidRPr="00CE5D9A">
              <w:rPr>
                <w:rFonts w:ascii="Times New Roman" w:hAnsi="Times New Roman"/>
                <w:sz w:val="20"/>
                <w:szCs w:val="20"/>
              </w:rPr>
              <w:br/>
              <w:t>Członków</w:t>
            </w:r>
          </w:p>
        </w:tc>
        <w:tc>
          <w:tcPr>
            <w:tcW w:w="6322" w:type="dxa"/>
            <w:shd w:val="clear" w:color="auto" w:fill="auto"/>
            <w:vAlign w:val="center"/>
          </w:tcPr>
          <w:p w14:paraId="1CA4EC3F" w14:textId="77777777" w:rsidR="00686DFE" w:rsidRPr="00CE5D9A" w:rsidRDefault="00686DFE" w:rsidP="00ED6C99">
            <w:pPr>
              <w:spacing w:after="0" w:line="276" w:lineRule="auto"/>
              <w:jc w:val="both"/>
              <w:rPr>
                <w:rFonts w:ascii="Times New Roman" w:hAnsi="Times New Roman"/>
                <w:sz w:val="20"/>
                <w:szCs w:val="18"/>
              </w:rPr>
            </w:pPr>
            <w:r w:rsidRPr="00CE5D9A">
              <w:rPr>
                <w:rFonts w:ascii="Times New Roman" w:hAnsi="Times New Roman"/>
                <w:sz w:val="20"/>
                <w:szCs w:val="18"/>
              </w:rPr>
              <w:t>Statut określa cele i obszary działalności LGD. W Statucie określone są również kompetencje organów Stowarzyszenia: Walnego Zebrania Członków, Zarządu LGD, Rady oraz Komisji Rewizyjnej.</w:t>
            </w:r>
          </w:p>
        </w:tc>
      </w:tr>
      <w:tr w:rsidR="00686DFE" w:rsidRPr="00CE5D9A" w14:paraId="6CED4072" w14:textId="77777777" w:rsidTr="00ED6C99">
        <w:trPr>
          <w:trHeight w:val="737"/>
        </w:trPr>
        <w:tc>
          <w:tcPr>
            <w:tcW w:w="1838" w:type="dxa"/>
            <w:shd w:val="clear" w:color="auto" w:fill="auto"/>
            <w:vAlign w:val="center"/>
          </w:tcPr>
          <w:p w14:paraId="1230DF30"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Regulamin Walnego Zebrania Członków</w:t>
            </w:r>
          </w:p>
        </w:tc>
        <w:tc>
          <w:tcPr>
            <w:tcW w:w="2034" w:type="dxa"/>
            <w:shd w:val="clear" w:color="auto" w:fill="auto"/>
            <w:vAlign w:val="center"/>
          </w:tcPr>
          <w:p w14:paraId="77EEFBF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Walne Zebranie </w:t>
            </w:r>
            <w:r w:rsidRPr="00CE5D9A">
              <w:rPr>
                <w:rFonts w:ascii="Times New Roman" w:hAnsi="Times New Roman"/>
                <w:sz w:val="20"/>
                <w:szCs w:val="20"/>
              </w:rPr>
              <w:br/>
              <w:t>Członków</w:t>
            </w:r>
          </w:p>
        </w:tc>
        <w:tc>
          <w:tcPr>
            <w:tcW w:w="6322" w:type="dxa"/>
            <w:shd w:val="clear" w:color="auto" w:fill="auto"/>
            <w:vAlign w:val="center"/>
          </w:tcPr>
          <w:p w14:paraId="26462B06"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Regulamin reguluje m.in. kwestie zwoływania posiedzeń WZC, podejmowania uchwał, spraw wyborczych i głosowania, zakres zadań organów oraz protokołowania WZC.</w:t>
            </w:r>
          </w:p>
        </w:tc>
      </w:tr>
      <w:tr w:rsidR="00686DFE" w:rsidRPr="00CE5D9A" w14:paraId="36AF7A03" w14:textId="77777777" w:rsidTr="00ED6C99">
        <w:trPr>
          <w:trHeight w:val="737"/>
        </w:trPr>
        <w:tc>
          <w:tcPr>
            <w:tcW w:w="1838" w:type="dxa"/>
            <w:shd w:val="clear" w:color="auto" w:fill="auto"/>
            <w:vAlign w:val="center"/>
          </w:tcPr>
          <w:p w14:paraId="64CE4940"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Regulamin Rady </w:t>
            </w:r>
          </w:p>
        </w:tc>
        <w:tc>
          <w:tcPr>
            <w:tcW w:w="2034" w:type="dxa"/>
            <w:shd w:val="clear" w:color="auto" w:fill="auto"/>
            <w:vAlign w:val="center"/>
          </w:tcPr>
          <w:p w14:paraId="58DD158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Walne Zebranie </w:t>
            </w:r>
            <w:r w:rsidRPr="00CE5D9A">
              <w:rPr>
                <w:rFonts w:ascii="Times New Roman" w:hAnsi="Times New Roman"/>
                <w:sz w:val="20"/>
                <w:szCs w:val="20"/>
              </w:rPr>
              <w:br/>
              <w:t>Członków</w:t>
            </w:r>
          </w:p>
        </w:tc>
        <w:tc>
          <w:tcPr>
            <w:tcW w:w="6322" w:type="dxa"/>
            <w:shd w:val="clear" w:color="auto" w:fill="auto"/>
            <w:vAlign w:val="center"/>
          </w:tcPr>
          <w:p w14:paraId="3490EBB6"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bCs/>
                <w:sz w:val="20"/>
                <w:szCs w:val="20"/>
              </w:rPr>
              <w:t xml:space="preserve">Regulamin </w:t>
            </w:r>
            <w:r w:rsidRPr="00CE5D9A">
              <w:rPr>
                <w:rFonts w:ascii="Times New Roman" w:hAnsi="Times New Roman"/>
                <w:sz w:val="20"/>
                <w:szCs w:val="20"/>
              </w:rPr>
              <w:t xml:space="preserve">opisuje szczegółowe zasady zwoływania i organizacji posiedzeń organu decyzyjnego, szczegółowe rozwiązania dotyczące wyłączenia z oceny operacji, szczegółowe zasady podejmowania decyzji w sprawie wyboru operacji, zasady protokołowania posiedzeń organu decyzyjnego; zasady wynagradzania członków organu decyzyjnego. </w:t>
            </w:r>
          </w:p>
        </w:tc>
      </w:tr>
      <w:tr w:rsidR="00686DFE" w:rsidRPr="00CE5D9A" w14:paraId="7D58015C" w14:textId="77777777" w:rsidTr="00ED6C99">
        <w:trPr>
          <w:trHeight w:val="737"/>
        </w:trPr>
        <w:tc>
          <w:tcPr>
            <w:tcW w:w="1838" w:type="dxa"/>
            <w:shd w:val="clear" w:color="auto" w:fill="auto"/>
            <w:vAlign w:val="center"/>
          </w:tcPr>
          <w:p w14:paraId="04E8973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Regulamin Biura</w:t>
            </w:r>
          </w:p>
        </w:tc>
        <w:tc>
          <w:tcPr>
            <w:tcW w:w="2034" w:type="dxa"/>
            <w:shd w:val="clear" w:color="auto" w:fill="auto"/>
            <w:vAlign w:val="center"/>
          </w:tcPr>
          <w:p w14:paraId="69FDCF73"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Zarząd LGD</w:t>
            </w:r>
          </w:p>
        </w:tc>
        <w:tc>
          <w:tcPr>
            <w:tcW w:w="6322" w:type="dxa"/>
            <w:shd w:val="clear" w:color="auto" w:fill="auto"/>
            <w:vAlign w:val="center"/>
          </w:tcPr>
          <w:p w14:paraId="490C7101"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Regulamin określa organizację i zasady funkcjonowania, ramowy okres działania i kompetencji Biura, porządek w procesie pracy, prawa i obowiązki pracodawcy i pracowników oraz inne postanowienia związane z działalnością Biura Stowarzyszenia.</w:t>
            </w:r>
          </w:p>
        </w:tc>
      </w:tr>
      <w:tr w:rsidR="00686DFE" w:rsidRPr="00CE5D9A" w14:paraId="6BC215D9" w14:textId="77777777" w:rsidTr="00ED6C99">
        <w:trPr>
          <w:trHeight w:val="737"/>
        </w:trPr>
        <w:tc>
          <w:tcPr>
            <w:tcW w:w="1838" w:type="dxa"/>
            <w:shd w:val="clear" w:color="auto" w:fill="auto"/>
            <w:vAlign w:val="center"/>
          </w:tcPr>
          <w:p w14:paraId="343929F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Regulamin Zarządu Stowarzyszenia</w:t>
            </w:r>
          </w:p>
        </w:tc>
        <w:tc>
          <w:tcPr>
            <w:tcW w:w="2034" w:type="dxa"/>
            <w:shd w:val="clear" w:color="auto" w:fill="auto"/>
            <w:vAlign w:val="center"/>
          </w:tcPr>
          <w:p w14:paraId="100CF3FB"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Walne Zebranie </w:t>
            </w:r>
            <w:r w:rsidRPr="00CE5D9A">
              <w:rPr>
                <w:rFonts w:ascii="Times New Roman" w:hAnsi="Times New Roman"/>
                <w:sz w:val="20"/>
                <w:szCs w:val="20"/>
              </w:rPr>
              <w:br/>
              <w:t>Członków</w:t>
            </w:r>
          </w:p>
        </w:tc>
        <w:tc>
          <w:tcPr>
            <w:tcW w:w="6322" w:type="dxa"/>
            <w:shd w:val="clear" w:color="auto" w:fill="auto"/>
            <w:vAlign w:val="center"/>
          </w:tcPr>
          <w:p w14:paraId="5BF89D94"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Regulamin określa m.in.: organizację i tryb pracy Zarządu Stowarzyszenia; zasady prowadzenia dokumentacji prowadzonych spraw. Zarząd uchwala Regulamin Zarządu, który następnie zatwierdza Walne Zebranie. </w:t>
            </w:r>
          </w:p>
        </w:tc>
      </w:tr>
      <w:tr w:rsidR="00686DFE" w:rsidRPr="00CE5D9A" w14:paraId="674D1E12" w14:textId="77777777" w:rsidTr="00ED6C99">
        <w:trPr>
          <w:trHeight w:val="737"/>
        </w:trPr>
        <w:tc>
          <w:tcPr>
            <w:tcW w:w="1838" w:type="dxa"/>
            <w:shd w:val="clear" w:color="auto" w:fill="auto"/>
            <w:vAlign w:val="center"/>
          </w:tcPr>
          <w:p w14:paraId="0FCD12E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lastRenderedPageBreak/>
              <w:t>Regulamin Prac Komisji Rewizyjnej</w:t>
            </w:r>
          </w:p>
        </w:tc>
        <w:tc>
          <w:tcPr>
            <w:tcW w:w="2034" w:type="dxa"/>
            <w:shd w:val="clear" w:color="auto" w:fill="auto"/>
            <w:vAlign w:val="center"/>
          </w:tcPr>
          <w:p w14:paraId="495BF9EB"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Walne Zebranie </w:t>
            </w:r>
            <w:r w:rsidRPr="00CE5D9A">
              <w:rPr>
                <w:rFonts w:ascii="Times New Roman" w:hAnsi="Times New Roman"/>
                <w:sz w:val="20"/>
                <w:szCs w:val="20"/>
              </w:rPr>
              <w:br/>
              <w:t>Członków</w:t>
            </w:r>
          </w:p>
        </w:tc>
        <w:tc>
          <w:tcPr>
            <w:tcW w:w="6322" w:type="dxa"/>
            <w:shd w:val="clear" w:color="auto" w:fill="auto"/>
            <w:vAlign w:val="center"/>
          </w:tcPr>
          <w:p w14:paraId="688F94D2"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Dokument reguluje m.in. zasady zwoływania posiedzeń Komisji, zadania Komisji oraz sposób prowadzenia dokumentacji i sprawozdawczości. </w:t>
            </w:r>
          </w:p>
        </w:tc>
      </w:tr>
    </w:tbl>
    <w:p w14:paraId="148773F4"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 na podstawie dokumentów wewnętrznych LGD</w:t>
      </w:r>
      <w:r w:rsidRPr="00CE5D9A">
        <w:rPr>
          <w:rFonts w:ascii="Times New Roman" w:hAnsi="Times New Roman"/>
          <w:i/>
          <w:iCs/>
          <w:sz w:val="20"/>
          <w:szCs w:val="20"/>
        </w:rPr>
        <w:br w:type="page"/>
      </w:r>
    </w:p>
    <w:p w14:paraId="2B782232" w14:textId="77777777" w:rsidR="00686DFE" w:rsidRPr="00CE5D9A" w:rsidRDefault="00686DFE">
      <w:pPr>
        <w:pStyle w:val="Akapitzlist"/>
        <w:numPr>
          <w:ilvl w:val="0"/>
          <w:numId w:val="2"/>
        </w:numPr>
        <w:spacing w:line="276" w:lineRule="auto"/>
        <w:ind w:left="714" w:hanging="357"/>
        <w:contextualSpacing w:val="0"/>
        <w:jc w:val="both"/>
        <w:outlineLvl w:val="0"/>
        <w:rPr>
          <w:rFonts w:ascii="Times New Roman" w:hAnsi="Times New Roman"/>
          <w:b/>
          <w:bCs/>
        </w:rPr>
      </w:pPr>
      <w:bookmarkStart w:id="9" w:name="_Toc135994826"/>
      <w:r w:rsidRPr="00CE5D9A">
        <w:rPr>
          <w:rFonts w:ascii="Times New Roman" w:hAnsi="Times New Roman"/>
          <w:b/>
          <w:bCs/>
        </w:rPr>
        <w:lastRenderedPageBreak/>
        <w:t>CHARAKTERYSTYKA OBSZARU I LUDNOŚCI OBJĘTEJ LSR</w:t>
      </w:r>
      <w:bookmarkEnd w:id="9"/>
    </w:p>
    <w:p w14:paraId="3AC4A7BD" w14:textId="77777777" w:rsidR="00686DFE" w:rsidRPr="00CE5D9A" w:rsidRDefault="00686DFE">
      <w:pPr>
        <w:pStyle w:val="Akapitzlist"/>
        <w:numPr>
          <w:ilvl w:val="0"/>
          <w:numId w:val="9"/>
        </w:numPr>
        <w:spacing w:before="240" w:line="276" w:lineRule="auto"/>
        <w:ind w:left="1134" w:hanging="357"/>
        <w:contextualSpacing w:val="0"/>
        <w:jc w:val="both"/>
        <w:outlineLvl w:val="1"/>
        <w:rPr>
          <w:rFonts w:ascii="Times New Roman" w:hAnsi="Times New Roman"/>
          <w:b/>
          <w:bCs/>
        </w:rPr>
      </w:pPr>
      <w:bookmarkStart w:id="10" w:name="_Toc135994827"/>
      <w:r w:rsidRPr="00CE5D9A">
        <w:rPr>
          <w:rFonts w:ascii="Times New Roman" w:hAnsi="Times New Roman"/>
          <w:b/>
          <w:bCs/>
        </w:rPr>
        <w:t>Opis i mapa obszaru</w:t>
      </w:r>
      <w:bookmarkEnd w:id="10"/>
    </w:p>
    <w:p w14:paraId="2563D3C1" w14:textId="050E6008" w:rsidR="00686DFE" w:rsidRPr="00CE5D9A" w:rsidRDefault="00686DFE">
      <w:pPr>
        <w:ind w:firstLine="708"/>
        <w:jc w:val="both"/>
        <w:rPr>
          <w:rFonts w:ascii="Times New Roman" w:hAnsi="Times New Roman"/>
        </w:rPr>
      </w:pPr>
      <w:r w:rsidRPr="00CE5D9A">
        <w:rPr>
          <w:rFonts w:ascii="Times New Roman" w:hAnsi="Times New Roman"/>
        </w:rPr>
        <w:t xml:space="preserve">Obszar funkcjonowania </w:t>
      </w:r>
      <w:r w:rsidR="000E08C3" w:rsidRPr="000E08C3">
        <w:rPr>
          <w:rFonts w:ascii="Times New Roman" w:hAnsi="Times New Roman"/>
          <w:color w:val="FF0000"/>
        </w:rPr>
        <w:t>LGD Regionu Myślenickiego</w:t>
      </w:r>
      <w:r w:rsidR="000E08C3">
        <w:rPr>
          <w:rFonts w:ascii="Times New Roman" w:hAnsi="Times New Roman"/>
          <w:strike/>
          <w:color w:val="FF0000"/>
        </w:rPr>
        <w:t xml:space="preserve"> </w:t>
      </w:r>
      <w:r w:rsidRPr="004A5BB1">
        <w:rPr>
          <w:rFonts w:ascii="Times New Roman" w:hAnsi="Times New Roman"/>
          <w:strike/>
          <w:color w:val="FF0000"/>
        </w:rPr>
        <w:t>LGD Między Dalinem i Gościbią</w:t>
      </w:r>
      <w:r w:rsidRPr="004A5BB1">
        <w:rPr>
          <w:rFonts w:ascii="Times New Roman" w:hAnsi="Times New Roman"/>
          <w:color w:val="FF0000"/>
        </w:rPr>
        <w:t xml:space="preserve"> </w:t>
      </w:r>
      <w:r w:rsidRPr="00CE5D9A">
        <w:rPr>
          <w:rFonts w:ascii="Times New Roman" w:hAnsi="Times New Roman"/>
        </w:rPr>
        <w:t xml:space="preserve">obejmuje </w:t>
      </w:r>
      <w:r w:rsidR="00E478EF" w:rsidRPr="00CE5D9A">
        <w:rPr>
          <w:rFonts w:ascii="Times New Roman" w:hAnsi="Times New Roman"/>
        </w:rPr>
        <w:t>osi</w:t>
      </w:r>
      <w:r w:rsidRPr="00CE5D9A">
        <w:rPr>
          <w:rFonts w:ascii="Times New Roman" w:hAnsi="Times New Roman"/>
        </w:rPr>
        <w:t xml:space="preserve">em sąsiadujących ze sobą gmin, położonych w województwie małopolskim, w powiecie myślenickim, w tym: </w:t>
      </w:r>
      <w:r w:rsidR="00E478EF" w:rsidRPr="00CE5D9A">
        <w:rPr>
          <w:rFonts w:ascii="Times New Roman" w:hAnsi="Times New Roman"/>
        </w:rPr>
        <w:t xml:space="preserve">sześć </w:t>
      </w:r>
      <w:r w:rsidRPr="00CE5D9A">
        <w:rPr>
          <w:rFonts w:ascii="Times New Roman" w:hAnsi="Times New Roman"/>
        </w:rPr>
        <w:t xml:space="preserve">gmin wiejskich, tj. Lubień, Pcim, Raciechowice, </w:t>
      </w:r>
      <w:r w:rsidR="00E478EF" w:rsidRPr="00CE5D9A">
        <w:rPr>
          <w:rFonts w:ascii="Times New Roman" w:hAnsi="Times New Roman"/>
        </w:rPr>
        <w:t xml:space="preserve">Siepraw, </w:t>
      </w:r>
      <w:r w:rsidRPr="00CE5D9A">
        <w:rPr>
          <w:rFonts w:ascii="Times New Roman" w:hAnsi="Times New Roman"/>
        </w:rPr>
        <w:t xml:space="preserve">Tokarnia, Wiśniowa oraz dwie gminy miejsko-wiejskie, tj. Myślenice i Sułkowice. Łączna powierzchnia wymienionych jednostek samorządu terytorialnego wynosi </w:t>
      </w:r>
      <w:r w:rsidR="00FB4BA0" w:rsidRPr="00CE5D9A">
        <w:rPr>
          <w:rFonts w:ascii="Times New Roman" w:hAnsi="Times New Roman"/>
        </w:rPr>
        <w:t>607</w:t>
      </w:r>
      <w:r w:rsidRPr="00CE5D9A">
        <w:rPr>
          <w:rFonts w:ascii="Times New Roman" w:hAnsi="Times New Roman"/>
        </w:rPr>
        <w:t xml:space="preserve"> km</w:t>
      </w:r>
      <w:r w:rsidRPr="00CE5D9A">
        <w:rPr>
          <w:rFonts w:ascii="Times New Roman" w:hAnsi="Times New Roman"/>
          <w:vertAlign w:val="superscript"/>
        </w:rPr>
        <w:t>2</w:t>
      </w:r>
      <w:r w:rsidRPr="00CE5D9A">
        <w:rPr>
          <w:rFonts w:ascii="Times New Roman" w:hAnsi="Times New Roman"/>
        </w:rPr>
        <w:t xml:space="preserve"> i jest zamieszkała przez </w:t>
      </w:r>
      <w:bookmarkStart w:id="11" w:name="_Hlk136195248"/>
      <w:r w:rsidRPr="00CE5D9A">
        <w:rPr>
          <w:rFonts w:ascii="Times New Roman" w:hAnsi="Times New Roman"/>
        </w:rPr>
        <w:t>1</w:t>
      </w:r>
      <w:r w:rsidR="00FB4BA0" w:rsidRPr="00CE5D9A">
        <w:rPr>
          <w:rFonts w:ascii="Times New Roman" w:hAnsi="Times New Roman"/>
        </w:rPr>
        <w:t>13</w:t>
      </w:r>
      <w:r w:rsidRPr="00CE5D9A">
        <w:rPr>
          <w:rFonts w:ascii="Times New Roman" w:hAnsi="Times New Roman"/>
        </w:rPr>
        <w:t xml:space="preserve"> </w:t>
      </w:r>
      <w:r w:rsidR="00FB4BA0" w:rsidRPr="00CE5D9A">
        <w:rPr>
          <w:rFonts w:ascii="Times New Roman" w:hAnsi="Times New Roman"/>
        </w:rPr>
        <w:t>626</w:t>
      </w:r>
      <w:r w:rsidRPr="00CE5D9A">
        <w:rPr>
          <w:rFonts w:ascii="Times New Roman" w:hAnsi="Times New Roman"/>
        </w:rPr>
        <w:t xml:space="preserve"> </w:t>
      </w:r>
      <w:bookmarkEnd w:id="11"/>
      <w:r w:rsidRPr="00CE5D9A">
        <w:rPr>
          <w:rFonts w:ascii="Times New Roman" w:hAnsi="Times New Roman"/>
        </w:rPr>
        <w:t>osób (dane GUS według stanu na dzień 31.12.2020 r.). Na mapie 1 zobrazowano graficznie granice LGD, natomiast w tabeli 2 przedstawiono podstawowe dane dotyczące gmin partnerstwa.</w:t>
      </w:r>
    </w:p>
    <w:p w14:paraId="01BF61A4" w14:textId="16F32DA9" w:rsidR="00686DFE" w:rsidRPr="00CE5D9A" w:rsidRDefault="00686DFE">
      <w:pPr>
        <w:spacing w:after="0" w:line="240" w:lineRule="auto"/>
        <w:jc w:val="center"/>
        <w:rPr>
          <w:rFonts w:ascii="Times New Roman" w:hAnsi="Times New Roman"/>
          <w:b/>
          <w:bCs/>
          <w:sz w:val="20"/>
          <w:szCs w:val="20"/>
        </w:rPr>
      </w:pPr>
      <w:bookmarkStart w:id="12" w:name="_Toc120467264"/>
      <w:bookmarkStart w:id="13" w:name="_Toc134966293"/>
      <w:bookmarkStart w:id="14" w:name="_Toc194581394"/>
      <w:bookmarkStart w:id="15" w:name="_Toc112838928"/>
      <w:r w:rsidRPr="00CE5D9A">
        <w:rPr>
          <w:rFonts w:ascii="Times New Roman" w:hAnsi="Times New Roman"/>
          <w:b/>
          <w:bCs/>
          <w:sz w:val="20"/>
          <w:szCs w:val="20"/>
        </w:rPr>
        <w:t xml:space="preserve">Mapa </w:t>
      </w:r>
      <w:r w:rsidRPr="00CE5D9A">
        <w:rPr>
          <w:rFonts w:ascii="Times New Roman" w:hAnsi="Times New Roman"/>
          <w:i/>
          <w:iCs/>
          <w:sz w:val="18"/>
          <w:szCs w:val="18"/>
        </w:rPr>
        <w:fldChar w:fldCharType="begin"/>
      </w:r>
      <w:r w:rsidRPr="00CE5D9A">
        <w:rPr>
          <w:rFonts w:ascii="Times New Roman" w:hAnsi="Times New Roman"/>
          <w:b/>
          <w:bCs/>
          <w:sz w:val="20"/>
          <w:szCs w:val="20"/>
        </w:rPr>
        <w:instrText xml:space="preserve"> SEQ Mapa \* ARABIC </w:instrText>
      </w:r>
      <w:r w:rsidRPr="00CE5D9A">
        <w:rPr>
          <w:rFonts w:ascii="Times New Roman" w:hAnsi="Times New Roman"/>
          <w:i/>
          <w:iCs/>
          <w:sz w:val="18"/>
          <w:szCs w:val="18"/>
        </w:rPr>
        <w:fldChar w:fldCharType="separate"/>
      </w:r>
      <w:r w:rsidR="00AD7096">
        <w:rPr>
          <w:rFonts w:ascii="Times New Roman" w:hAnsi="Times New Roman"/>
          <w:b/>
          <w:bCs/>
          <w:noProof/>
          <w:sz w:val="20"/>
          <w:szCs w:val="20"/>
        </w:rPr>
        <w:t>1</w:t>
      </w:r>
      <w:r w:rsidRPr="00CE5D9A">
        <w:rPr>
          <w:rFonts w:ascii="Times New Roman" w:hAnsi="Times New Roman"/>
          <w:i/>
          <w:iCs/>
          <w:sz w:val="18"/>
          <w:szCs w:val="18"/>
        </w:rPr>
        <w:fldChar w:fldCharType="end"/>
      </w:r>
      <w:r w:rsidRPr="00CE5D9A">
        <w:rPr>
          <w:rFonts w:ascii="Times New Roman" w:hAnsi="Times New Roman"/>
          <w:b/>
          <w:bCs/>
          <w:sz w:val="20"/>
          <w:szCs w:val="20"/>
        </w:rPr>
        <w:t xml:space="preserve"> Gminy objęte partnerstwem </w:t>
      </w:r>
      <w:r w:rsidR="000E08C3" w:rsidRPr="000E08C3">
        <w:rPr>
          <w:rFonts w:ascii="Times New Roman" w:hAnsi="Times New Roman"/>
          <w:color w:val="FF0000"/>
        </w:rPr>
        <w:t>LGD Regionu Myślenickiego</w:t>
      </w:r>
      <w:r w:rsidR="000E08C3">
        <w:rPr>
          <w:rFonts w:ascii="Times New Roman" w:hAnsi="Times New Roman"/>
          <w:strike/>
          <w:color w:val="FF0000"/>
        </w:rPr>
        <w:t xml:space="preserve">  </w:t>
      </w:r>
      <w:r w:rsidRPr="000E08C3">
        <w:rPr>
          <w:rFonts w:ascii="Times New Roman" w:hAnsi="Times New Roman"/>
          <w:b/>
          <w:bCs/>
          <w:strike/>
          <w:color w:val="FF0000"/>
          <w:sz w:val="20"/>
          <w:szCs w:val="20"/>
        </w:rPr>
        <w:t xml:space="preserve">LGD </w:t>
      </w:r>
      <w:bookmarkEnd w:id="12"/>
      <w:bookmarkEnd w:id="13"/>
      <w:r w:rsidRPr="000E08C3">
        <w:rPr>
          <w:rFonts w:ascii="Times New Roman" w:hAnsi="Times New Roman"/>
          <w:b/>
          <w:bCs/>
          <w:strike/>
          <w:color w:val="FF0000"/>
          <w:sz w:val="20"/>
          <w:szCs w:val="20"/>
        </w:rPr>
        <w:t>Między Dalinem i Gościbią</w:t>
      </w:r>
      <w:bookmarkEnd w:id="14"/>
    </w:p>
    <w:p w14:paraId="261191D8" w14:textId="77777777" w:rsidR="00C04AAE" w:rsidRPr="00CE5D9A" w:rsidRDefault="00C04AAE">
      <w:pPr>
        <w:spacing w:after="0" w:line="256" w:lineRule="auto"/>
        <w:jc w:val="center"/>
        <w:rPr>
          <w:rFonts w:ascii="Times New Roman" w:hAnsi="Times New Roman"/>
        </w:rPr>
      </w:pPr>
      <w:r w:rsidRPr="00CE5D9A">
        <w:rPr>
          <w:rFonts w:ascii="Times New Roman" w:hAnsi="Times New Roman"/>
          <w:noProof/>
          <w:lang w:eastAsia="pl-PL"/>
        </w:rPr>
        <w:drawing>
          <wp:inline distT="0" distB="0" distL="0" distR="0" wp14:anchorId="2C3A3E45" wp14:editId="5173A6DF">
            <wp:extent cx="5303195" cy="4191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5275" cy="4192644"/>
                    </a:xfrm>
                    <a:prstGeom prst="rect">
                      <a:avLst/>
                    </a:prstGeom>
                  </pic:spPr>
                </pic:pic>
              </a:graphicData>
            </a:graphic>
          </wp:inline>
        </w:drawing>
      </w:r>
    </w:p>
    <w:p w14:paraId="0B14C6F8" w14:textId="77777777" w:rsidR="00686DFE" w:rsidRPr="00CE5D9A" w:rsidRDefault="00686DFE">
      <w:pPr>
        <w:spacing w:after="200"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3721C4C0" w14:textId="48D885D8" w:rsidR="00686DFE" w:rsidRPr="00CE5D9A" w:rsidRDefault="00686DFE">
      <w:pPr>
        <w:spacing w:after="0" w:line="240" w:lineRule="auto"/>
        <w:jc w:val="center"/>
        <w:rPr>
          <w:rFonts w:ascii="Times New Roman" w:hAnsi="Times New Roman"/>
          <w:b/>
          <w:bCs/>
          <w:sz w:val="20"/>
          <w:szCs w:val="20"/>
        </w:rPr>
      </w:pPr>
      <w:bookmarkStart w:id="16" w:name="_Toc134966351"/>
      <w:bookmarkStart w:id="17" w:name="_Toc120467243"/>
      <w:bookmarkStart w:id="18" w:name="_Toc194581426"/>
      <w:r w:rsidRPr="00CE5D9A">
        <w:rPr>
          <w:rFonts w:ascii="Times New Roman" w:hAnsi="Times New Roman"/>
          <w:b/>
          <w:bCs/>
          <w:sz w:val="20"/>
          <w:szCs w:val="20"/>
        </w:rPr>
        <w:t xml:space="preserve">Tabela </w:t>
      </w:r>
      <w:r w:rsidRPr="00CE5D9A">
        <w:rPr>
          <w:rFonts w:ascii="Times New Roman" w:hAnsi="Times New Roman"/>
          <w:i/>
          <w:iCs/>
          <w:sz w:val="18"/>
          <w:szCs w:val="18"/>
        </w:rPr>
        <w:fldChar w:fldCharType="begin"/>
      </w:r>
      <w:r w:rsidRPr="00CE5D9A">
        <w:rPr>
          <w:rFonts w:ascii="Times New Roman" w:hAnsi="Times New Roman"/>
          <w:b/>
          <w:bCs/>
          <w:sz w:val="20"/>
          <w:szCs w:val="20"/>
        </w:rPr>
        <w:instrText xml:space="preserve"> SEQ Tabela \* ARABIC </w:instrText>
      </w:r>
      <w:r w:rsidRPr="00CE5D9A">
        <w:rPr>
          <w:rFonts w:ascii="Times New Roman" w:hAnsi="Times New Roman"/>
          <w:i/>
          <w:iCs/>
          <w:sz w:val="18"/>
          <w:szCs w:val="18"/>
        </w:rPr>
        <w:fldChar w:fldCharType="separate"/>
      </w:r>
      <w:r w:rsidR="00AD7096">
        <w:rPr>
          <w:rFonts w:ascii="Times New Roman" w:hAnsi="Times New Roman"/>
          <w:b/>
          <w:bCs/>
          <w:noProof/>
          <w:sz w:val="20"/>
          <w:szCs w:val="20"/>
        </w:rPr>
        <w:t>2</w:t>
      </w:r>
      <w:r w:rsidRPr="00CE5D9A">
        <w:rPr>
          <w:rFonts w:ascii="Times New Roman" w:hAnsi="Times New Roman"/>
          <w:i/>
          <w:iCs/>
          <w:sz w:val="18"/>
          <w:szCs w:val="18"/>
        </w:rPr>
        <w:fldChar w:fldCharType="end"/>
      </w:r>
      <w:r w:rsidRPr="00CE5D9A">
        <w:rPr>
          <w:rFonts w:ascii="Times New Roman" w:hAnsi="Times New Roman"/>
          <w:b/>
          <w:bCs/>
          <w:sz w:val="20"/>
          <w:szCs w:val="20"/>
        </w:rPr>
        <w:t xml:space="preserve"> Podstawowe dane o gminach obszaru</w:t>
      </w:r>
      <w:r w:rsidR="000E08C3">
        <w:rPr>
          <w:rFonts w:ascii="Times New Roman" w:hAnsi="Times New Roman"/>
          <w:b/>
          <w:bCs/>
          <w:sz w:val="20"/>
          <w:szCs w:val="20"/>
        </w:rPr>
        <w:t xml:space="preserve"> </w:t>
      </w:r>
      <w:r w:rsidR="000E08C3" w:rsidRPr="000E08C3">
        <w:rPr>
          <w:rFonts w:ascii="Times New Roman" w:hAnsi="Times New Roman"/>
          <w:color w:val="FF0000"/>
        </w:rPr>
        <w:t>LGD Regionu Myślenickiego</w:t>
      </w:r>
      <w:r w:rsidRPr="00CE5D9A">
        <w:rPr>
          <w:rFonts w:ascii="Times New Roman" w:hAnsi="Times New Roman"/>
          <w:b/>
          <w:bCs/>
          <w:sz w:val="20"/>
          <w:szCs w:val="20"/>
        </w:rPr>
        <w:t xml:space="preserve"> </w:t>
      </w:r>
      <w:r w:rsidRPr="000E08C3">
        <w:rPr>
          <w:rFonts w:ascii="Times New Roman" w:hAnsi="Times New Roman"/>
          <w:b/>
          <w:bCs/>
          <w:strike/>
          <w:color w:val="FF0000"/>
          <w:sz w:val="20"/>
          <w:szCs w:val="20"/>
        </w:rPr>
        <w:t xml:space="preserve">LGD </w:t>
      </w:r>
      <w:bookmarkEnd w:id="16"/>
      <w:bookmarkEnd w:id="17"/>
      <w:r w:rsidRPr="000E08C3">
        <w:rPr>
          <w:rFonts w:ascii="Times New Roman" w:hAnsi="Times New Roman"/>
          <w:b/>
          <w:bCs/>
          <w:strike/>
          <w:color w:val="FF0000"/>
          <w:sz w:val="20"/>
          <w:szCs w:val="20"/>
        </w:rPr>
        <w:t>Między Dalinem i Gościbią</w:t>
      </w:r>
      <w:bookmarkEnd w:id="18"/>
    </w:p>
    <w:tbl>
      <w:tblPr>
        <w:tblW w:w="5000" w:type="pct"/>
        <w:tblCellMar>
          <w:left w:w="70" w:type="dxa"/>
          <w:right w:w="70" w:type="dxa"/>
        </w:tblCellMar>
        <w:tblLook w:val="0000" w:firstRow="0" w:lastRow="0" w:firstColumn="0" w:lastColumn="0" w:noHBand="0" w:noVBand="0"/>
      </w:tblPr>
      <w:tblGrid>
        <w:gridCol w:w="1709"/>
        <w:gridCol w:w="1864"/>
        <w:gridCol w:w="1864"/>
        <w:gridCol w:w="2478"/>
        <w:gridCol w:w="2429"/>
      </w:tblGrid>
      <w:tr w:rsidR="00686DFE" w:rsidRPr="00CE5D9A" w14:paraId="5E003B72" w14:textId="77777777">
        <w:trPr>
          <w:trHeight w:val="340"/>
        </w:trPr>
        <w:tc>
          <w:tcPr>
            <w:tcW w:w="826" w:type="pct"/>
            <w:tcBorders>
              <w:top w:val="single" w:sz="4" w:space="0" w:color="auto"/>
              <w:left w:val="single" w:sz="4" w:space="0" w:color="auto"/>
              <w:bottom w:val="single" w:sz="4" w:space="0" w:color="auto"/>
              <w:right w:val="single" w:sz="4" w:space="0" w:color="auto"/>
            </w:tcBorders>
            <w:noWrap/>
            <w:vAlign w:val="center"/>
          </w:tcPr>
          <w:p w14:paraId="2585DD7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Nazwa gminy</w:t>
            </w:r>
          </w:p>
        </w:tc>
        <w:tc>
          <w:tcPr>
            <w:tcW w:w="901" w:type="pct"/>
            <w:tcBorders>
              <w:top w:val="single" w:sz="4" w:space="0" w:color="auto"/>
              <w:left w:val="nil"/>
              <w:bottom w:val="single" w:sz="4" w:space="0" w:color="auto"/>
              <w:right w:val="single" w:sz="4" w:space="0" w:color="auto"/>
            </w:tcBorders>
            <w:vAlign w:val="center"/>
          </w:tcPr>
          <w:p w14:paraId="1B8E887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b/>
                <w:bCs/>
                <w:sz w:val="20"/>
                <w:szCs w:val="20"/>
              </w:rPr>
              <w:t>Liczba ludności</w:t>
            </w:r>
          </w:p>
        </w:tc>
        <w:tc>
          <w:tcPr>
            <w:tcW w:w="901" w:type="pct"/>
            <w:tcBorders>
              <w:top w:val="single" w:sz="4" w:space="0" w:color="auto"/>
              <w:left w:val="single" w:sz="4" w:space="0" w:color="auto"/>
              <w:bottom w:val="single" w:sz="4" w:space="0" w:color="auto"/>
              <w:right w:val="single" w:sz="4" w:space="0" w:color="auto"/>
            </w:tcBorders>
            <w:noWrap/>
            <w:vAlign w:val="center"/>
          </w:tcPr>
          <w:p w14:paraId="4615C30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Typ gminy</w:t>
            </w:r>
          </w:p>
        </w:tc>
        <w:tc>
          <w:tcPr>
            <w:tcW w:w="1198" w:type="pct"/>
            <w:tcBorders>
              <w:top w:val="single" w:sz="4" w:space="0" w:color="auto"/>
              <w:left w:val="nil"/>
              <w:bottom w:val="single" w:sz="4" w:space="0" w:color="auto"/>
              <w:right w:val="single" w:sz="4" w:space="0" w:color="auto"/>
            </w:tcBorders>
            <w:noWrap/>
            <w:vAlign w:val="center"/>
          </w:tcPr>
          <w:p w14:paraId="4BE6B05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Identyfikator gminy</w:t>
            </w:r>
          </w:p>
        </w:tc>
        <w:tc>
          <w:tcPr>
            <w:tcW w:w="1174" w:type="pct"/>
            <w:tcBorders>
              <w:top w:val="single" w:sz="4" w:space="0" w:color="auto"/>
              <w:left w:val="nil"/>
              <w:bottom w:val="single" w:sz="4" w:space="0" w:color="auto"/>
              <w:right w:val="single" w:sz="4" w:space="0" w:color="auto"/>
            </w:tcBorders>
            <w:noWrap/>
            <w:vAlign w:val="center"/>
          </w:tcPr>
          <w:p w14:paraId="6C06DAA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Powierzchnia (km</w:t>
            </w:r>
            <w:r w:rsidRPr="00CE5D9A">
              <w:rPr>
                <w:rFonts w:ascii="Times New Roman" w:eastAsia="Times New Roman" w:hAnsi="Times New Roman"/>
                <w:b/>
                <w:bCs/>
                <w:sz w:val="20"/>
                <w:szCs w:val="20"/>
                <w:vertAlign w:val="superscript"/>
                <w:lang w:eastAsia="pl-PL"/>
              </w:rPr>
              <w:t>2</w:t>
            </w:r>
            <w:r w:rsidRPr="00CE5D9A">
              <w:rPr>
                <w:rFonts w:ascii="Times New Roman" w:eastAsia="Times New Roman" w:hAnsi="Times New Roman"/>
                <w:b/>
                <w:bCs/>
                <w:sz w:val="20"/>
                <w:szCs w:val="20"/>
                <w:lang w:eastAsia="pl-PL"/>
              </w:rPr>
              <w:t>)</w:t>
            </w:r>
          </w:p>
        </w:tc>
      </w:tr>
      <w:tr w:rsidR="0063528A" w:rsidRPr="00CE5D9A" w14:paraId="3956A0DE"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49F5768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Lubień</w:t>
            </w:r>
          </w:p>
        </w:tc>
        <w:tc>
          <w:tcPr>
            <w:tcW w:w="901" w:type="pct"/>
            <w:tcBorders>
              <w:top w:val="single" w:sz="4" w:space="0" w:color="auto"/>
              <w:left w:val="nil"/>
              <w:bottom w:val="single" w:sz="4" w:space="0" w:color="auto"/>
              <w:right w:val="single" w:sz="4" w:space="0" w:color="auto"/>
            </w:tcBorders>
            <w:vAlign w:val="center"/>
          </w:tcPr>
          <w:p w14:paraId="68D10B6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10 094</w:t>
            </w:r>
          </w:p>
        </w:tc>
        <w:tc>
          <w:tcPr>
            <w:tcW w:w="901" w:type="pct"/>
            <w:tcBorders>
              <w:top w:val="nil"/>
              <w:left w:val="single" w:sz="4" w:space="0" w:color="auto"/>
              <w:bottom w:val="single" w:sz="4" w:space="0" w:color="auto"/>
              <w:right w:val="single" w:sz="4" w:space="0" w:color="auto"/>
            </w:tcBorders>
            <w:noWrap/>
            <w:vAlign w:val="center"/>
          </w:tcPr>
          <w:p w14:paraId="36AE8F7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61C35C9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1209022</w:t>
            </w:r>
          </w:p>
        </w:tc>
        <w:tc>
          <w:tcPr>
            <w:tcW w:w="1174" w:type="pct"/>
            <w:tcBorders>
              <w:top w:val="nil"/>
              <w:left w:val="nil"/>
              <w:bottom w:val="single" w:sz="4" w:space="0" w:color="auto"/>
              <w:right w:val="single" w:sz="4" w:space="0" w:color="auto"/>
            </w:tcBorders>
            <w:noWrap/>
            <w:vAlign w:val="center"/>
          </w:tcPr>
          <w:p w14:paraId="1EC2FC52"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r>
      <w:tr w:rsidR="0063528A" w:rsidRPr="00CE5D9A" w14:paraId="07AFE049"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4B663EA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Myślenice</w:t>
            </w:r>
          </w:p>
        </w:tc>
        <w:tc>
          <w:tcPr>
            <w:tcW w:w="901" w:type="pct"/>
            <w:tcBorders>
              <w:top w:val="single" w:sz="4" w:space="0" w:color="auto"/>
              <w:left w:val="nil"/>
              <w:bottom w:val="single" w:sz="4" w:space="0" w:color="auto"/>
              <w:right w:val="single" w:sz="4" w:space="0" w:color="auto"/>
            </w:tcBorders>
            <w:vAlign w:val="center"/>
          </w:tcPr>
          <w:p w14:paraId="2C7DD2D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45 166</w:t>
            </w:r>
          </w:p>
        </w:tc>
        <w:tc>
          <w:tcPr>
            <w:tcW w:w="901" w:type="pct"/>
            <w:tcBorders>
              <w:top w:val="nil"/>
              <w:left w:val="single" w:sz="4" w:space="0" w:color="auto"/>
              <w:bottom w:val="single" w:sz="4" w:space="0" w:color="auto"/>
              <w:right w:val="single" w:sz="4" w:space="0" w:color="auto"/>
            </w:tcBorders>
            <w:noWrap/>
            <w:vAlign w:val="center"/>
          </w:tcPr>
          <w:p w14:paraId="720DB9C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miejsko-wiejska</w:t>
            </w:r>
          </w:p>
        </w:tc>
        <w:tc>
          <w:tcPr>
            <w:tcW w:w="1198" w:type="pct"/>
            <w:tcBorders>
              <w:top w:val="nil"/>
              <w:left w:val="nil"/>
              <w:bottom w:val="single" w:sz="4" w:space="0" w:color="auto"/>
              <w:right w:val="single" w:sz="4" w:space="0" w:color="auto"/>
            </w:tcBorders>
            <w:noWrap/>
            <w:vAlign w:val="center"/>
          </w:tcPr>
          <w:p w14:paraId="139DBC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1209033</w:t>
            </w:r>
          </w:p>
        </w:tc>
        <w:tc>
          <w:tcPr>
            <w:tcW w:w="1174" w:type="pct"/>
            <w:tcBorders>
              <w:top w:val="nil"/>
              <w:left w:val="nil"/>
              <w:bottom w:val="single" w:sz="4" w:space="0" w:color="auto"/>
              <w:right w:val="single" w:sz="4" w:space="0" w:color="auto"/>
            </w:tcBorders>
            <w:noWrap/>
            <w:vAlign w:val="center"/>
          </w:tcPr>
          <w:p w14:paraId="25534CA3"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154</w:t>
            </w:r>
          </w:p>
        </w:tc>
      </w:tr>
      <w:tr w:rsidR="0063528A" w:rsidRPr="00CE5D9A" w14:paraId="6D63EBF3"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013C068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Pcim</w:t>
            </w:r>
          </w:p>
        </w:tc>
        <w:tc>
          <w:tcPr>
            <w:tcW w:w="901" w:type="pct"/>
            <w:tcBorders>
              <w:top w:val="single" w:sz="4" w:space="0" w:color="auto"/>
              <w:left w:val="nil"/>
              <w:bottom w:val="single" w:sz="4" w:space="0" w:color="auto"/>
              <w:right w:val="single" w:sz="4" w:space="0" w:color="auto"/>
            </w:tcBorders>
            <w:vAlign w:val="center"/>
          </w:tcPr>
          <w:p w14:paraId="76D3DAE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11 171</w:t>
            </w:r>
          </w:p>
        </w:tc>
        <w:tc>
          <w:tcPr>
            <w:tcW w:w="901" w:type="pct"/>
            <w:tcBorders>
              <w:top w:val="nil"/>
              <w:left w:val="single" w:sz="4" w:space="0" w:color="auto"/>
              <w:bottom w:val="single" w:sz="4" w:space="0" w:color="auto"/>
              <w:right w:val="single" w:sz="4" w:space="0" w:color="auto"/>
            </w:tcBorders>
            <w:noWrap/>
            <w:vAlign w:val="center"/>
          </w:tcPr>
          <w:p w14:paraId="3882036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6EC83A1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1209042</w:t>
            </w:r>
          </w:p>
        </w:tc>
        <w:tc>
          <w:tcPr>
            <w:tcW w:w="1174" w:type="pct"/>
            <w:tcBorders>
              <w:top w:val="nil"/>
              <w:left w:val="nil"/>
              <w:bottom w:val="single" w:sz="4" w:space="0" w:color="auto"/>
              <w:right w:val="single" w:sz="4" w:space="0" w:color="auto"/>
            </w:tcBorders>
            <w:noWrap/>
            <w:vAlign w:val="center"/>
          </w:tcPr>
          <w:p w14:paraId="12695163"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r>
      <w:tr w:rsidR="0063528A" w:rsidRPr="00CE5D9A" w14:paraId="656F8265"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2D5FB0D4"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Raciechowice</w:t>
            </w:r>
          </w:p>
        </w:tc>
        <w:tc>
          <w:tcPr>
            <w:tcW w:w="901" w:type="pct"/>
            <w:tcBorders>
              <w:top w:val="single" w:sz="4" w:space="0" w:color="auto"/>
              <w:left w:val="nil"/>
              <w:bottom w:val="single" w:sz="4" w:space="0" w:color="auto"/>
              <w:right w:val="single" w:sz="4" w:space="0" w:color="auto"/>
            </w:tcBorders>
            <w:vAlign w:val="center"/>
          </w:tcPr>
          <w:p w14:paraId="4B0F900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6 414</w:t>
            </w:r>
          </w:p>
        </w:tc>
        <w:tc>
          <w:tcPr>
            <w:tcW w:w="901" w:type="pct"/>
            <w:tcBorders>
              <w:top w:val="nil"/>
              <w:left w:val="single" w:sz="4" w:space="0" w:color="auto"/>
              <w:bottom w:val="single" w:sz="4" w:space="0" w:color="auto"/>
              <w:right w:val="single" w:sz="4" w:space="0" w:color="auto"/>
            </w:tcBorders>
            <w:noWrap/>
            <w:vAlign w:val="center"/>
          </w:tcPr>
          <w:p w14:paraId="2F16372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024F04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1209052</w:t>
            </w:r>
          </w:p>
        </w:tc>
        <w:tc>
          <w:tcPr>
            <w:tcW w:w="1174" w:type="pct"/>
            <w:tcBorders>
              <w:top w:val="nil"/>
              <w:left w:val="nil"/>
              <w:bottom w:val="single" w:sz="4" w:space="0" w:color="auto"/>
              <w:right w:val="single" w:sz="4" w:space="0" w:color="auto"/>
            </w:tcBorders>
            <w:noWrap/>
            <w:vAlign w:val="center"/>
          </w:tcPr>
          <w:p w14:paraId="2C5C2120"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w:t>
            </w:r>
          </w:p>
        </w:tc>
      </w:tr>
      <w:tr w:rsidR="0063528A" w:rsidRPr="00CE5D9A" w14:paraId="4DEF8C78"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01EA4F43" w14:textId="77777777" w:rsidR="00FB4BA0" w:rsidRPr="00CE5D9A" w:rsidRDefault="00FB4BA0">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Siepraw</w:t>
            </w:r>
          </w:p>
        </w:tc>
        <w:tc>
          <w:tcPr>
            <w:tcW w:w="901" w:type="pct"/>
            <w:tcBorders>
              <w:top w:val="single" w:sz="4" w:space="0" w:color="auto"/>
              <w:left w:val="nil"/>
              <w:bottom w:val="single" w:sz="4" w:space="0" w:color="auto"/>
              <w:right w:val="single" w:sz="4" w:space="0" w:color="auto"/>
            </w:tcBorders>
            <w:vAlign w:val="center"/>
          </w:tcPr>
          <w:p w14:paraId="14EF6667" w14:textId="77777777" w:rsidR="00FB4BA0" w:rsidRPr="00CE5D9A" w:rsidRDefault="00FB4BA0">
            <w:pPr>
              <w:spacing w:after="0" w:line="240" w:lineRule="auto"/>
              <w:jc w:val="center"/>
              <w:rPr>
                <w:rFonts w:ascii="Times New Roman" w:hAnsi="Times New Roman"/>
                <w:sz w:val="20"/>
                <w:szCs w:val="20"/>
              </w:rPr>
            </w:pPr>
            <w:r w:rsidRPr="00CE5D9A">
              <w:rPr>
                <w:rFonts w:ascii="Times New Roman" w:hAnsi="Times New Roman"/>
                <w:sz w:val="20"/>
                <w:szCs w:val="20"/>
              </w:rPr>
              <w:t>9 386</w:t>
            </w:r>
          </w:p>
        </w:tc>
        <w:tc>
          <w:tcPr>
            <w:tcW w:w="901" w:type="pct"/>
            <w:tcBorders>
              <w:top w:val="nil"/>
              <w:left w:val="single" w:sz="4" w:space="0" w:color="auto"/>
              <w:bottom w:val="single" w:sz="4" w:space="0" w:color="auto"/>
              <w:right w:val="single" w:sz="4" w:space="0" w:color="auto"/>
            </w:tcBorders>
            <w:noWrap/>
            <w:vAlign w:val="center"/>
          </w:tcPr>
          <w:p w14:paraId="3F384594" w14:textId="77777777" w:rsidR="00FB4BA0" w:rsidRPr="00CE5D9A" w:rsidRDefault="00FB4BA0">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6CD2062B" w14:textId="77777777" w:rsidR="00FB4BA0" w:rsidRPr="00CE5D9A" w:rsidRDefault="00FB4BA0">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1209062</w:t>
            </w:r>
          </w:p>
        </w:tc>
        <w:tc>
          <w:tcPr>
            <w:tcW w:w="1174" w:type="pct"/>
            <w:tcBorders>
              <w:top w:val="nil"/>
              <w:left w:val="nil"/>
              <w:bottom w:val="single" w:sz="4" w:space="0" w:color="auto"/>
              <w:right w:val="single" w:sz="4" w:space="0" w:color="auto"/>
            </w:tcBorders>
            <w:noWrap/>
            <w:vAlign w:val="center"/>
          </w:tcPr>
          <w:p w14:paraId="5043A3CB" w14:textId="77777777" w:rsidR="00FB4BA0" w:rsidRPr="00CE5D9A" w:rsidRDefault="00FB4BA0">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32</w:t>
            </w:r>
          </w:p>
        </w:tc>
      </w:tr>
      <w:tr w:rsidR="0063528A" w:rsidRPr="00CE5D9A" w14:paraId="0FD983D8"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79ECBCB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Sułkowice</w:t>
            </w:r>
          </w:p>
        </w:tc>
        <w:tc>
          <w:tcPr>
            <w:tcW w:w="901" w:type="pct"/>
            <w:tcBorders>
              <w:top w:val="single" w:sz="4" w:space="0" w:color="auto"/>
              <w:left w:val="nil"/>
              <w:bottom w:val="single" w:sz="4" w:space="0" w:color="auto"/>
              <w:right w:val="single" w:sz="4" w:space="0" w:color="auto"/>
            </w:tcBorders>
            <w:vAlign w:val="center"/>
          </w:tcPr>
          <w:p w14:paraId="0A11CD7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15 053</w:t>
            </w:r>
          </w:p>
        </w:tc>
        <w:tc>
          <w:tcPr>
            <w:tcW w:w="901" w:type="pct"/>
            <w:tcBorders>
              <w:top w:val="nil"/>
              <w:left w:val="single" w:sz="4" w:space="0" w:color="auto"/>
              <w:bottom w:val="single" w:sz="4" w:space="0" w:color="auto"/>
              <w:right w:val="single" w:sz="4" w:space="0" w:color="auto"/>
            </w:tcBorders>
            <w:noWrap/>
            <w:vAlign w:val="center"/>
          </w:tcPr>
          <w:p w14:paraId="6804459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miejsko-wiejska</w:t>
            </w:r>
          </w:p>
        </w:tc>
        <w:tc>
          <w:tcPr>
            <w:tcW w:w="1198" w:type="pct"/>
            <w:tcBorders>
              <w:top w:val="nil"/>
              <w:left w:val="nil"/>
              <w:bottom w:val="single" w:sz="4" w:space="0" w:color="auto"/>
              <w:right w:val="single" w:sz="4" w:space="0" w:color="auto"/>
            </w:tcBorders>
            <w:noWrap/>
            <w:vAlign w:val="center"/>
          </w:tcPr>
          <w:p w14:paraId="06EE99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1209073</w:t>
            </w:r>
          </w:p>
        </w:tc>
        <w:tc>
          <w:tcPr>
            <w:tcW w:w="1174" w:type="pct"/>
            <w:tcBorders>
              <w:top w:val="nil"/>
              <w:left w:val="nil"/>
              <w:bottom w:val="single" w:sz="4" w:space="0" w:color="auto"/>
              <w:right w:val="single" w:sz="4" w:space="0" w:color="auto"/>
            </w:tcBorders>
            <w:noWrap/>
            <w:vAlign w:val="center"/>
          </w:tcPr>
          <w:p w14:paraId="0A7A45EE"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w:t>
            </w:r>
          </w:p>
        </w:tc>
      </w:tr>
      <w:tr w:rsidR="0063528A" w:rsidRPr="00CE5D9A" w14:paraId="56C5B2AB"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26A3BAC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Tokarnia</w:t>
            </w:r>
          </w:p>
        </w:tc>
        <w:tc>
          <w:tcPr>
            <w:tcW w:w="901" w:type="pct"/>
            <w:tcBorders>
              <w:top w:val="single" w:sz="4" w:space="0" w:color="auto"/>
              <w:left w:val="nil"/>
              <w:bottom w:val="single" w:sz="4" w:space="0" w:color="auto"/>
              <w:right w:val="single" w:sz="4" w:space="0" w:color="auto"/>
            </w:tcBorders>
            <w:vAlign w:val="center"/>
          </w:tcPr>
          <w:p w14:paraId="72413EC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8 861</w:t>
            </w:r>
          </w:p>
        </w:tc>
        <w:tc>
          <w:tcPr>
            <w:tcW w:w="901" w:type="pct"/>
            <w:tcBorders>
              <w:top w:val="nil"/>
              <w:left w:val="single" w:sz="4" w:space="0" w:color="auto"/>
              <w:bottom w:val="single" w:sz="4" w:space="0" w:color="auto"/>
              <w:right w:val="single" w:sz="4" w:space="0" w:color="auto"/>
            </w:tcBorders>
            <w:noWrap/>
            <w:vAlign w:val="center"/>
          </w:tcPr>
          <w:p w14:paraId="4C134E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1BC528A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1209082</w:t>
            </w:r>
          </w:p>
        </w:tc>
        <w:tc>
          <w:tcPr>
            <w:tcW w:w="1174" w:type="pct"/>
            <w:tcBorders>
              <w:top w:val="nil"/>
              <w:left w:val="nil"/>
              <w:bottom w:val="single" w:sz="4" w:space="0" w:color="auto"/>
              <w:right w:val="single" w:sz="4" w:space="0" w:color="auto"/>
            </w:tcBorders>
            <w:noWrap/>
            <w:vAlign w:val="center"/>
          </w:tcPr>
          <w:p w14:paraId="75B5B3F5"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w:t>
            </w:r>
          </w:p>
        </w:tc>
      </w:tr>
      <w:tr w:rsidR="0063528A" w:rsidRPr="00CE5D9A" w14:paraId="1B21568B"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79641CEA"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Wiśniowa</w:t>
            </w:r>
          </w:p>
        </w:tc>
        <w:tc>
          <w:tcPr>
            <w:tcW w:w="901" w:type="pct"/>
            <w:tcBorders>
              <w:top w:val="single" w:sz="4" w:space="0" w:color="auto"/>
              <w:left w:val="nil"/>
              <w:bottom w:val="single" w:sz="4" w:space="0" w:color="auto"/>
              <w:right w:val="single" w:sz="4" w:space="0" w:color="auto"/>
            </w:tcBorders>
            <w:vAlign w:val="center"/>
          </w:tcPr>
          <w:p w14:paraId="10B6323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7 481</w:t>
            </w:r>
          </w:p>
        </w:tc>
        <w:tc>
          <w:tcPr>
            <w:tcW w:w="901" w:type="pct"/>
            <w:tcBorders>
              <w:top w:val="nil"/>
              <w:left w:val="single" w:sz="4" w:space="0" w:color="auto"/>
              <w:bottom w:val="single" w:sz="4" w:space="0" w:color="auto"/>
              <w:right w:val="single" w:sz="4" w:space="0" w:color="auto"/>
            </w:tcBorders>
            <w:noWrap/>
            <w:vAlign w:val="center"/>
          </w:tcPr>
          <w:p w14:paraId="38B0854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wiejska</w:t>
            </w:r>
          </w:p>
        </w:tc>
        <w:tc>
          <w:tcPr>
            <w:tcW w:w="1198" w:type="pct"/>
            <w:tcBorders>
              <w:top w:val="nil"/>
              <w:left w:val="nil"/>
              <w:bottom w:val="single" w:sz="4" w:space="0" w:color="auto"/>
              <w:right w:val="single" w:sz="4" w:space="0" w:color="auto"/>
            </w:tcBorders>
            <w:noWrap/>
            <w:vAlign w:val="center"/>
          </w:tcPr>
          <w:p w14:paraId="66F6AC5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1209092</w:t>
            </w:r>
          </w:p>
        </w:tc>
        <w:tc>
          <w:tcPr>
            <w:tcW w:w="1174" w:type="pct"/>
            <w:tcBorders>
              <w:top w:val="nil"/>
              <w:left w:val="nil"/>
              <w:bottom w:val="single" w:sz="4" w:space="0" w:color="auto"/>
              <w:right w:val="single" w:sz="4" w:space="0" w:color="auto"/>
            </w:tcBorders>
            <w:noWrap/>
            <w:vAlign w:val="center"/>
          </w:tcPr>
          <w:p w14:paraId="203E8FDA" w14:textId="77777777" w:rsidR="00686DFE" w:rsidRPr="00CE5D9A" w:rsidRDefault="00686DFE">
            <w:pPr>
              <w:spacing w:after="0" w:line="240" w:lineRule="auto"/>
              <w:jc w:val="right"/>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w:t>
            </w:r>
          </w:p>
        </w:tc>
      </w:tr>
      <w:tr w:rsidR="0063528A" w:rsidRPr="00CE5D9A" w14:paraId="08BADF1C" w14:textId="77777777">
        <w:trPr>
          <w:trHeight w:val="340"/>
        </w:trPr>
        <w:tc>
          <w:tcPr>
            <w:tcW w:w="826" w:type="pct"/>
            <w:tcBorders>
              <w:top w:val="nil"/>
              <w:left w:val="single" w:sz="4" w:space="0" w:color="auto"/>
              <w:bottom w:val="single" w:sz="4" w:space="0" w:color="auto"/>
              <w:right w:val="single" w:sz="4" w:space="0" w:color="auto"/>
            </w:tcBorders>
            <w:noWrap/>
            <w:vAlign w:val="center"/>
          </w:tcPr>
          <w:p w14:paraId="6901DCBF"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RAZEM LGD</w:t>
            </w:r>
          </w:p>
        </w:tc>
        <w:tc>
          <w:tcPr>
            <w:tcW w:w="901" w:type="pct"/>
            <w:tcBorders>
              <w:top w:val="single" w:sz="4" w:space="0" w:color="auto"/>
              <w:left w:val="nil"/>
              <w:bottom w:val="single" w:sz="4" w:space="0" w:color="auto"/>
              <w:right w:val="single" w:sz="4" w:space="0" w:color="auto"/>
            </w:tcBorders>
            <w:vAlign w:val="center"/>
          </w:tcPr>
          <w:p w14:paraId="077E8BD1" w14:textId="77777777" w:rsidR="00686DFE" w:rsidRPr="00CE5D9A" w:rsidRDefault="00FB4BA0">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b/>
                <w:bCs/>
                <w:sz w:val="20"/>
                <w:szCs w:val="20"/>
              </w:rPr>
              <w:t>113 626</w:t>
            </w:r>
          </w:p>
        </w:tc>
        <w:tc>
          <w:tcPr>
            <w:tcW w:w="3273" w:type="pct"/>
            <w:gridSpan w:val="3"/>
            <w:tcBorders>
              <w:top w:val="single" w:sz="4" w:space="0" w:color="auto"/>
              <w:left w:val="single" w:sz="4" w:space="0" w:color="auto"/>
              <w:bottom w:val="single" w:sz="4" w:space="0" w:color="auto"/>
              <w:right w:val="single" w:sz="4" w:space="0" w:color="auto"/>
            </w:tcBorders>
            <w:noWrap/>
            <w:vAlign w:val="center"/>
          </w:tcPr>
          <w:p w14:paraId="1CC69124" w14:textId="77777777" w:rsidR="00686DFE" w:rsidRPr="00CE5D9A" w:rsidRDefault="00FB4BA0">
            <w:pPr>
              <w:spacing w:after="0" w:line="240" w:lineRule="auto"/>
              <w:jc w:val="right"/>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607</w:t>
            </w:r>
          </w:p>
        </w:tc>
      </w:tr>
    </w:tbl>
    <w:p w14:paraId="040DDE29" w14:textId="77777777" w:rsidR="00686DFE" w:rsidRPr="00CE5D9A" w:rsidRDefault="00686DFE">
      <w:pPr>
        <w:spacing w:after="200"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bookmarkEnd w:id="15"/>
    <w:p w14:paraId="23108C16" w14:textId="2C6DD63B" w:rsidR="008B1CCD" w:rsidRPr="00CE5D9A" w:rsidRDefault="00686DFE" w:rsidP="008B1CCD">
      <w:pPr>
        <w:spacing w:line="276" w:lineRule="auto"/>
        <w:ind w:firstLine="708"/>
        <w:jc w:val="both"/>
        <w:rPr>
          <w:rFonts w:ascii="Times New Roman" w:hAnsi="Times New Roman"/>
        </w:rPr>
      </w:pPr>
      <w:r w:rsidRPr="00CE5D9A">
        <w:rPr>
          <w:rFonts w:ascii="Times New Roman" w:hAnsi="Times New Roman"/>
        </w:rPr>
        <w:lastRenderedPageBreak/>
        <w:t xml:space="preserve">Cały obszar jest spójny pod względem przestrzennym. Wszystkie gminy obszaru LGD administracyjnie położone są w powiecie myślenickim. W skład </w:t>
      </w:r>
      <w:r w:rsidR="000E08C3" w:rsidRPr="000E08C3">
        <w:rPr>
          <w:rFonts w:ascii="Times New Roman" w:hAnsi="Times New Roman"/>
          <w:color w:val="FF0000"/>
        </w:rPr>
        <w:t>LGD Regionu Myślenickiego</w:t>
      </w:r>
      <w:r w:rsidR="000E08C3">
        <w:rPr>
          <w:rFonts w:ascii="Times New Roman" w:hAnsi="Times New Roman"/>
          <w:strike/>
          <w:color w:val="FF0000"/>
        </w:rPr>
        <w:t xml:space="preserve"> </w:t>
      </w:r>
      <w:r w:rsidRPr="000E08C3">
        <w:rPr>
          <w:rFonts w:ascii="Times New Roman" w:hAnsi="Times New Roman"/>
          <w:strike/>
          <w:color w:val="FF0000"/>
        </w:rPr>
        <w:t>LGD Między Dalinem i Gościbią</w:t>
      </w:r>
      <w:r w:rsidRPr="000E08C3">
        <w:rPr>
          <w:rFonts w:ascii="Times New Roman" w:hAnsi="Times New Roman"/>
          <w:color w:val="FF0000"/>
        </w:rPr>
        <w:t xml:space="preserve"> </w:t>
      </w:r>
      <w:r w:rsidR="000E08C3">
        <w:rPr>
          <w:rFonts w:ascii="Times New Roman" w:hAnsi="Times New Roman"/>
        </w:rPr>
        <w:t xml:space="preserve">wchodzi więcej niż dwie gminy, </w:t>
      </w:r>
      <w:r w:rsidRPr="00CE5D9A">
        <w:rPr>
          <w:rFonts w:ascii="Times New Roman" w:hAnsi="Times New Roman"/>
        </w:rPr>
        <w:t>a każda para gmin pozostaje w bezpośrednim lub przynajmniej w dalszym sąsiedztwie, tworząc tym samym zwarty geograficznie obszar, znajdujący się w jednym obrysie (mapa 1). Siedziba LG</w:t>
      </w:r>
      <w:r w:rsidR="00FB4BA0" w:rsidRPr="00CE5D9A">
        <w:rPr>
          <w:rFonts w:ascii="Times New Roman" w:hAnsi="Times New Roman"/>
        </w:rPr>
        <w:t>D oraz Biuro LGD znajduje się w </w:t>
      </w:r>
      <w:r w:rsidR="00193A29" w:rsidRPr="00CE5D9A">
        <w:rPr>
          <w:rFonts w:ascii="Times New Roman" w:hAnsi="Times New Roman"/>
        </w:rPr>
        <w:t>gminie Myślenice</w:t>
      </w:r>
      <w:r w:rsidRPr="00CE5D9A">
        <w:rPr>
          <w:rFonts w:ascii="Times New Roman" w:hAnsi="Times New Roman"/>
        </w:rPr>
        <w:t>.</w:t>
      </w:r>
    </w:p>
    <w:p w14:paraId="4CDADC84" w14:textId="6CD3F9EC" w:rsidR="008B1CCD" w:rsidRPr="00CE5D9A" w:rsidRDefault="000E08C3" w:rsidP="008B1CCD">
      <w:pPr>
        <w:spacing w:line="276" w:lineRule="auto"/>
        <w:ind w:firstLine="708"/>
        <w:jc w:val="both"/>
        <w:rPr>
          <w:rFonts w:ascii="Times New Roman" w:hAnsi="Times New Roman"/>
        </w:rPr>
      </w:pPr>
      <w:r w:rsidRPr="000E08C3">
        <w:rPr>
          <w:rFonts w:ascii="Times New Roman" w:hAnsi="Times New Roman"/>
          <w:color w:val="FF0000"/>
        </w:rPr>
        <w:t>LGD Regionu Myślenickiego</w:t>
      </w:r>
      <w:r>
        <w:rPr>
          <w:rFonts w:ascii="Times New Roman" w:hAnsi="Times New Roman"/>
          <w:strike/>
          <w:color w:val="FF0000"/>
        </w:rPr>
        <w:t xml:space="preserve"> </w:t>
      </w:r>
      <w:r w:rsidR="008B1CCD" w:rsidRPr="000E08C3">
        <w:rPr>
          <w:rFonts w:ascii="Times New Roman" w:hAnsi="Times New Roman"/>
          <w:strike/>
          <w:color w:val="FF0000"/>
        </w:rPr>
        <w:t>Stowarzyszenie Między Dalinem i Gościbią</w:t>
      </w:r>
      <w:r w:rsidR="008B1CCD" w:rsidRPr="000E08C3">
        <w:rPr>
          <w:rFonts w:ascii="Times New Roman" w:hAnsi="Times New Roman"/>
          <w:color w:val="FF0000"/>
        </w:rPr>
        <w:t xml:space="preserve"> </w:t>
      </w:r>
      <w:r w:rsidR="008B1CCD" w:rsidRPr="00CE5D9A">
        <w:rPr>
          <w:rFonts w:ascii="Times New Roman" w:hAnsi="Times New Roman"/>
        </w:rPr>
        <w:t>ma na celu wspieranie rozwoju obszarów wiejskich. Głównym celem LGD jest poprawa jakości życia, polepszenie dostępu do kultury, nauki i pracy. Misją LGD jest poprawienie atrakcyjności pod względem zamieszkania i inwestowania, a także zwiększenie dochodów mieszkańców gmin dzięki między innymi turystyce i rekreacji. Dla organizacji ważne jest, aby mieszkańcy cieszyli się obszarem czystym ekologicznie i rozwiniętym kulturowo oraz pielęgnowali lokalne</w:t>
      </w:r>
      <w:r w:rsidR="008B1CCD" w:rsidRPr="00CE5D9A">
        <w:rPr>
          <w:rFonts w:ascii="Times New Roman" w:hAnsi="Times New Roman"/>
          <w:shd w:val="clear" w:color="auto" w:fill="EFFAFF"/>
        </w:rPr>
        <w:t xml:space="preserve"> </w:t>
      </w:r>
      <w:r w:rsidR="008B1CCD" w:rsidRPr="00CE5D9A">
        <w:rPr>
          <w:rFonts w:ascii="Times New Roman" w:hAnsi="Times New Roman"/>
        </w:rPr>
        <w:t>dziedzictwo, co jednoznacznie świadczy o powiązaniu partnerstwa lokalnego LGD z obszarem objętym LSR. Działalność organizacji jest ukierunkowana na zaspokajanie potrzeb zdiagnozowanych grup interesu. Ponadto dotychczasowe działania dwóch gmin (Myślenice i Sułkowice) wskazało na potrzebę dołączenia gmin, które w sposób naturalny korzystają z zasobów tych gmin i integrują się wokół wspólnej sprawy.</w:t>
      </w:r>
      <w:r w:rsidR="00B03EB9" w:rsidRPr="00CE5D9A">
        <w:rPr>
          <w:rFonts w:ascii="Times New Roman" w:hAnsi="Times New Roman"/>
        </w:rPr>
        <w:t xml:space="preserve"> Ważnym aspektem łączącym obszar jest to iż wpisuje się on w jeden powiat, co jeszcze ściślej łączy i pomnaża wspólny dorobek i zasoby.</w:t>
      </w:r>
      <w:r w:rsidR="008B1CCD" w:rsidRPr="00CE5D9A">
        <w:rPr>
          <w:rFonts w:ascii="Times New Roman" w:hAnsi="Times New Roman"/>
        </w:rPr>
        <w:t xml:space="preserve"> Ponadto opracowana LSR jest strategią wielofunduszową, finansowaną w ramach Europejskiego Funduszu Rolnego na rzecz Rozwoju Obszarów Wiejskich w ramach programu </w:t>
      </w:r>
      <w:r w:rsidR="008B1CCD" w:rsidRPr="00CE5D9A">
        <w:rPr>
          <w:rFonts w:ascii="Times New Roman" w:hAnsi="Times New Roman"/>
          <w:i/>
          <w:iCs/>
        </w:rPr>
        <w:t>Plan Strategiczny dla Wspólnej Polityki Rolnej na lata 2023–2027</w:t>
      </w:r>
      <w:r w:rsidR="008B1CCD" w:rsidRPr="00CE5D9A">
        <w:rPr>
          <w:rFonts w:ascii="Times New Roman" w:hAnsi="Times New Roman"/>
        </w:rPr>
        <w:t xml:space="preserve"> oraz Europejskiego Funduszu Rozwoju Regionalnego i Europejskiego Funduszu Społecznego Plus w ramach programu </w:t>
      </w:r>
      <w:r w:rsidR="008B1CCD" w:rsidRPr="00CE5D9A">
        <w:rPr>
          <w:rFonts w:ascii="Times New Roman" w:hAnsi="Times New Roman"/>
          <w:i/>
          <w:iCs/>
        </w:rPr>
        <w:t>Fundusze Euro</w:t>
      </w:r>
      <w:r w:rsidR="00B03EB9" w:rsidRPr="00CE5D9A">
        <w:rPr>
          <w:rFonts w:ascii="Times New Roman" w:hAnsi="Times New Roman"/>
          <w:i/>
          <w:iCs/>
        </w:rPr>
        <w:t xml:space="preserve">pejskie dla Małopolski na lata </w:t>
      </w:r>
      <w:r w:rsidR="008B1CCD" w:rsidRPr="00CE5D9A">
        <w:rPr>
          <w:rFonts w:ascii="Times New Roman" w:hAnsi="Times New Roman"/>
          <w:i/>
          <w:iCs/>
        </w:rPr>
        <w:t>2021–2027</w:t>
      </w:r>
      <w:r w:rsidR="008B1CCD" w:rsidRPr="00CE5D9A">
        <w:rPr>
          <w:rFonts w:ascii="Times New Roman" w:hAnsi="Times New Roman"/>
        </w:rPr>
        <w:t>. W związku z tym, że cały obszar położony jest w granicach jednego województwa, realizacja operacji w ramach każdego z możliwych EFSI (Europejskie Fundusze Strukturalne i Inwestycyjne) będzie możliwa na całym obszarze objętym LSR.</w:t>
      </w:r>
    </w:p>
    <w:p w14:paraId="6014408F" w14:textId="77777777" w:rsidR="00686DFE" w:rsidRPr="00CE5D9A" w:rsidRDefault="00686DFE">
      <w:pPr>
        <w:pStyle w:val="Akapitzlist"/>
        <w:numPr>
          <w:ilvl w:val="0"/>
          <w:numId w:val="9"/>
        </w:numPr>
        <w:spacing w:before="240" w:line="276" w:lineRule="auto"/>
        <w:ind w:left="1134" w:hanging="357"/>
        <w:contextualSpacing w:val="0"/>
        <w:jc w:val="both"/>
        <w:outlineLvl w:val="1"/>
        <w:rPr>
          <w:rFonts w:ascii="Times New Roman" w:hAnsi="Times New Roman"/>
          <w:b/>
          <w:bCs/>
        </w:rPr>
      </w:pPr>
      <w:bookmarkStart w:id="19" w:name="_Toc135994828"/>
      <w:r w:rsidRPr="00CE5D9A">
        <w:rPr>
          <w:rFonts w:ascii="Times New Roman" w:hAnsi="Times New Roman"/>
          <w:b/>
          <w:bCs/>
        </w:rPr>
        <w:t>Wyróżniki, potencjał i spójność obszaru</w:t>
      </w:r>
      <w:bookmarkEnd w:id="19"/>
    </w:p>
    <w:p w14:paraId="03FDA7CA" w14:textId="00221A0E"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Administracyjnie wszystkie gminy</w:t>
      </w:r>
      <w:r w:rsidR="000E08C3">
        <w:rPr>
          <w:rFonts w:ascii="Times New Roman" w:hAnsi="Times New Roman"/>
        </w:rPr>
        <w:t xml:space="preserve"> </w:t>
      </w:r>
      <w:r w:rsidR="000E08C3" w:rsidRPr="000E08C3">
        <w:rPr>
          <w:rFonts w:ascii="Times New Roman" w:hAnsi="Times New Roman"/>
          <w:color w:val="FF0000"/>
        </w:rPr>
        <w:t>LGD Regionu Myślenickiego</w:t>
      </w:r>
      <w:r w:rsidRPr="00CE5D9A">
        <w:rPr>
          <w:rFonts w:ascii="Times New Roman" w:hAnsi="Times New Roman"/>
        </w:rPr>
        <w:t xml:space="preserve"> </w:t>
      </w:r>
      <w:r w:rsidRPr="000E08C3">
        <w:rPr>
          <w:rFonts w:ascii="Times New Roman" w:hAnsi="Times New Roman"/>
          <w:strike/>
          <w:color w:val="FF0000"/>
        </w:rPr>
        <w:t>LGD Między Dalinem i Gościbią</w:t>
      </w:r>
      <w:r w:rsidRPr="00CE5D9A">
        <w:rPr>
          <w:rFonts w:ascii="Times New Roman" w:hAnsi="Times New Roman"/>
        </w:rPr>
        <w:t xml:space="preserve"> </w:t>
      </w:r>
      <w:r w:rsidR="000E08C3">
        <w:rPr>
          <w:rFonts w:ascii="Times New Roman" w:hAnsi="Times New Roman"/>
        </w:rPr>
        <w:t>należą do powiatu myślenickiego</w:t>
      </w:r>
      <w:r w:rsidRPr="00CE5D9A">
        <w:rPr>
          <w:rFonts w:ascii="Times New Roman" w:hAnsi="Times New Roman"/>
        </w:rPr>
        <w:t xml:space="preserve">w województwie małopolskim. Gminy obszaru charakteryzują się spójnością geograficzną pod względem położenia i ukształtowania terenu. Pod kątem fizycznogeograficznym analizowany obszar położony jest w megaregionie Region Karpacki. Obszar odznacza się dużą spójnością przyrodniczą, która wynika ze zbliżonych bądź tożsamych uwarunkowań poszczególnych elementów środowiska: </w:t>
      </w:r>
    </w:p>
    <w:p w14:paraId="351AA1D6" w14:textId="77777777" w:rsidR="00686DFE" w:rsidRPr="00CE5D9A" w:rsidRDefault="00686DFE">
      <w:pPr>
        <w:pStyle w:val="Akapitzlist"/>
        <w:numPr>
          <w:ilvl w:val="0"/>
          <w:numId w:val="10"/>
        </w:numPr>
        <w:spacing w:line="276" w:lineRule="auto"/>
        <w:jc w:val="both"/>
        <w:rPr>
          <w:rFonts w:ascii="Times New Roman" w:hAnsi="Times New Roman"/>
        </w:rPr>
      </w:pPr>
      <w:r w:rsidRPr="00CE5D9A">
        <w:rPr>
          <w:rFonts w:ascii="Times New Roman" w:hAnsi="Times New Roman"/>
        </w:rPr>
        <w:t>urozmaicona rzeźba terenu: góry, pagórki, doliny, potoki, rzeki;</w:t>
      </w:r>
    </w:p>
    <w:p w14:paraId="59BF6416" w14:textId="77777777" w:rsidR="00686DFE" w:rsidRPr="00CE5D9A" w:rsidRDefault="00686DFE">
      <w:pPr>
        <w:pStyle w:val="Akapitzlist"/>
        <w:numPr>
          <w:ilvl w:val="0"/>
          <w:numId w:val="10"/>
        </w:numPr>
        <w:spacing w:after="0" w:line="276" w:lineRule="auto"/>
        <w:jc w:val="both"/>
        <w:rPr>
          <w:rFonts w:ascii="Times New Roman" w:hAnsi="Times New Roman"/>
        </w:rPr>
      </w:pPr>
      <w:r w:rsidRPr="00CE5D9A">
        <w:rPr>
          <w:rFonts w:ascii="Times New Roman" w:hAnsi="Times New Roman"/>
        </w:rPr>
        <w:t>występowanie na obszarze form ochrony przyrody, które wpływają na atrakcyjność turystyczną regionu;</w:t>
      </w:r>
    </w:p>
    <w:p w14:paraId="1E6F7590" w14:textId="77777777" w:rsidR="00686DFE" w:rsidRPr="00CE5D9A" w:rsidRDefault="00686DFE">
      <w:pPr>
        <w:pStyle w:val="Akapitzlist"/>
        <w:numPr>
          <w:ilvl w:val="0"/>
          <w:numId w:val="10"/>
        </w:numPr>
        <w:spacing w:line="276" w:lineRule="auto"/>
        <w:jc w:val="both"/>
        <w:rPr>
          <w:rFonts w:ascii="Times New Roman" w:hAnsi="Times New Roman"/>
        </w:rPr>
      </w:pPr>
      <w:r w:rsidRPr="00CE5D9A">
        <w:rPr>
          <w:rFonts w:ascii="Times New Roman" w:hAnsi="Times New Roman"/>
        </w:rPr>
        <w:t xml:space="preserve">cały obszar posiada bardzo dobre warunki do uprawiania turystyki aktywnej (szczególnie sportów zimowych – na terenie obszaru zlokalizowane są stacje narciarskie); </w:t>
      </w:r>
    </w:p>
    <w:p w14:paraId="34FDD96C" w14:textId="77777777" w:rsidR="00686DFE" w:rsidRPr="00CE5D9A" w:rsidRDefault="00686DFE">
      <w:pPr>
        <w:pStyle w:val="Akapitzlist"/>
        <w:numPr>
          <w:ilvl w:val="0"/>
          <w:numId w:val="10"/>
        </w:numPr>
        <w:spacing w:after="0" w:line="276" w:lineRule="auto"/>
        <w:jc w:val="both"/>
        <w:rPr>
          <w:rFonts w:ascii="Times New Roman" w:hAnsi="Times New Roman"/>
        </w:rPr>
      </w:pPr>
      <w:r w:rsidRPr="00CE5D9A">
        <w:rPr>
          <w:rFonts w:ascii="Times New Roman" w:hAnsi="Times New Roman"/>
        </w:rPr>
        <w:t>większość obszaru LGD zostało zakwalifikowane jako ONW;</w:t>
      </w:r>
    </w:p>
    <w:p w14:paraId="098AE259" w14:textId="77777777" w:rsidR="00686DFE" w:rsidRPr="00CE5D9A" w:rsidRDefault="00686DFE">
      <w:pPr>
        <w:pStyle w:val="Akapitzlist"/>
        <w:numPr>
          <w:ilvl w:val="0"/>
          <w:numId w:val="10"/>
        </w:numPr>
        <w:spacing w:after="0" w:line="276" w:lineRule="auto"/>
        <w:jc w:val="both"/>
        <w:rPr>
          <w:rFonts w:ascii="Times New Roman" w:hAnsi="Times New Roman"/>
        </w:rPr>
      </w:pPr>
      <w:r w:rsidRPr="00CE5D9A">
        <w:rPr>
          <w:rFonts w:ascii="Times New Roman" w:hAnsi="Times New Roman"/>
        </w:rPr>
        <w:t>wysoka lesistość na terenie całego obszaru.</w:t>
      </w:r>
    </w:p>
    <w:p w14:paraId="301A2934"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 xml:space="preserve">Spójność obszaru LGD pod względem ekonomicznym obrazuje liczba gospodarstw rolnych o podobnej strukturze. Na obszarze objętym LGD charakterystyczna jest duża ilość małych gospodarstw. Udział podmiotów gospodarczych zarejestrowanych w grupie „rolnictwo, leśnictwo, łowiectwo i rybactwo” nie jest znaczący dla gmin obszaru – wynosi </w:t>
      </w:r>
      <w:r w:rsidR="001E648E" w:rsidRPr="00CE5D9A">
        <w:rPr>
          <w:rFonts w:ascii="Times New Roman" w:hAnsi="Times New Roman"/>
        </w:rPr>
        <w:t>0</w:t>
      </w:r>
      <w:r w:rsidR="00E03332" w:rsidRPr="00CE5D9A">
        <w:rPr>
          <w:rFonts w:ascii="Times New Roman" w:hAnsi="Times New Roman"/>
        </w:rPr>
        <w:t>,9</w:t>
      </w:r>
      <w:r w:rsidRPr="00CE5D9A">
        <w:rPr>
          <w:rFonts w:ascii="Times New Roman" w:hAnsi="Times New Roman"/>
        </w:rPr>
        <w:t>%, i jest niższy niż wskaźnik dla kraju (1,5%) oraz równy średniej dla województwa (0,9%). Najwięcej podmiotów, spośród zarejestrowanych na obszarze LGD, należy do grupy „pozostała działalność” (</w:t>
      </w:r>
      <w:r w:rsidR="00E03332" w:rsidRPr="00CE5D9A">
        <w:rPr>
          <w:rFonts w:ascii="Times New Roman" w:hAnsi="Times New Roman"/>
        </w:rPr>
        <w:t>37</w:t>
      </w:r>
      <w:r w:rsidRPr="00CE5D9A">
        <w:rPr>
          <w:rFonts w:ascii="Times New Roman" w:hAnsi="Times New Roman"/>
        </w:rPr>
        <w:t>,</w:t>
      </w:r>
      <w:r w:rsidR="00E03332" w:rsidRPr="00CE5D9A">
        <w:rPr>
          <w:rFonts w:ascii="Times New Roman" w:hAnsi="Times New Roman"/>
        </w:rPr>
        <w:t>8</w:t>
      </w:r>
      <w:r w:rsidRPr="00CE5D9A">
        <w:rPr>
          <w:rFonts w:ascii="Times New Roman" w:hAnsi="Times New Roman"/>
        </w:rPr>
        <w:t>%), przy czym największy udział w tej grupie ma Gmina Myślenice (43,6%.) We wszystkich gminach obszaru wystąpił wyższy niż w kraju i województwie udział podmiotów gospodarczych zarejestrowanych w grupie „przemysł i budownictwo” – średnia dla LGD wynosi 36,</w:t>
      </w:r>
      <w:r w:rsidR="00E03332" w:rsidRPr="00CE5D9A">
        <w:rPr>
          <w:rFonts w:ascii="Times New Roman" w:hAnsi="Times New Roman"/>
        </w:rPr>
        <w:t>9</w:t>
      </w:r>
      <w:r w:rsidRPr="00CE5D9A">
        <w:rPr>
          <w:rFonts w:ascii="Times New Roman" w:hAnsi="Times New Roman"/>
        </w:rPr>
        <w:t>%, przy wartości dla kraju – 22,6%, a dla województwa – 25,1%, a także w grupie „handel hurtowy i detaliczny” – średnia dla LGD wynosi 21,</w:t>
      </w:r>
      <w:r w:rsidR="00E03332" w:rsidRPr="00CE5D9A">
        <w:rPr>
          <w:rFonts w:ascii="Times New Roman" w:hAnsi="Times New Roman"/>
        </w:rPr>
        <w:t>5</w:t>
      </w:r>
      <w:r w:rsidRPr="00CE5D9A">
        <w:rPr>
          <w:rFonts w:ascii="Times New Roman" w:hAnsi="Times New Roman"/>
        </w:rPr>
        <w:t>%, podczas gdy wartość dla Polski – 20,8%, a dla województwa – 19,9%.</w:t>
      </w:r>
    </w:p>
    <w:p w14:paraId="76AB848E"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Największa liczba podmiotów gospodarczych na obszarze w 2021 r., była zarejestrowana w sekcjach: F „Budownictwo” – </w:t>
      </w:r>
      <w:r w:rsidR="007B68A3" w:rsidRPr="00CE5D9A">
        <w:rPr>
          <w:rFonts w:ascii="Times New Roman" w:hAnsi="Times New Roman"/>
        </w:rPr>
        <w:t>3 000</w:t>
      </w:r>
      <w:r w:rsidRPr="00CE5D9A">
        <w:rPr>
          <w:rFonts w:ascii="Times New Roman" w:hAnsi="Times New Roman"/>
        </w:rPr>
        <w:t xml:space="preserve"> podmiotów (</w:t>
      </w:r>
      <w:r w:rsidR="007B68A3" w:rsidRPr="00CE5D9A">
        <w:rPr>
          <w:rFonts w:ascii="Times New Roman" w:hAnsi="Times New Roman"/>
        </w:rPr>
        <w:t>22,6</w:t>
      </w:r>
      <w:r w:rsidRPr="00CE5D9A">
        <w:rPr>
          <w:rFonts w:ascii="Times New Roman" w:hAnsi="Times New Roman"/>
        </w:rPr>
        <w:t xml:space="preserve">%), G „Handel hurtowy i detaliczny; naprawa pojazdów samochodowych, włączając motocykle” – 2 </w:t>
      </w:r>
      <w:r w:rsidR="007B68A3" w:rsidRPr="00CE5D9A">
        <w:rPr>
          <w:rFonts w:ascii="Times New Roman" w:hAnsi="Times New Roman"/>
        </w:rPr>
        <w:t>857</w:t>
      </w:r>
      <w:r w:rsidRPr="00CE5D9A">
        <w:rPr>
          <w:rFonts w:ascii="Times New Roman" w:hAnsi="Times New Roman"/>
        </w:rPr>
        <w:t xml:space="preserve"> podmioty (21,</w:t>
      </w:r>
      <w:r w:rsidR="007B68A3" w:rsidRPr="00CE5D9A">
        <w:rPr>
          <w:rFonts w:ascii="Times New Roman" w:hAnsi="Times New Roman"/>
        </w:rPr>
        <w:t>5</w:t>
      </w:r>
      <w:r w:rsidRPr="00CE5D9A">
        <w:rPr>
          <w:rFonts w:ascii="Times New Roman" w:hAnsi="Times New Roman"/>
        </w:rPr>
        <w:t xml:space="preserve">%), oraz C „Przetwórstwo przemysłowe” – 1 </w:t>
      </w:r>
      <w:r w:rsidR="007B68A3" w:rsidRPr="00CE5D9A">
        <w:rPr>
          <w:rFonts w:ascii="Times New Roman" w:hAnsi="Times New Roman"/>
        </w:rPr>
        <w:t>865</w:t>
      </w:r>
      <w:r w:rsidRPr="00CE5D9A">
        <w:rPr>
          <w:rFonts w:ascii="Times New Roman" w:hAnsi="Times New Roman"/>
        </w:rPr>
        <w:t xml:space="preserve"> </w:t>
      </w:r>
      <w:r w:rsidRPr="00CE5D9A">
        <w:rPr>
          <w:rFonts w:ascii="Times New Roman" w:hAnsi="Times New Roman"/>
        </w:rPr>
        <w:lastRenderedPageBreak/>
        <w:t>podmioty (1</w:t>
      </w:r>
      <w:r w:rsidR="007B68A3" w:rsidRPr="00CE5D9A">
        <w:rPr>
          <w:rFonts w:ascii="Times New Roman" w:hAnsi="Times New Roman"/>
        </w:rPr>
        <w:t>4</w:t>
      </w:r>
      <w:r w:rsidRPr="00CE5D9A">
        <w:rPr>
          <w:rFonts w:ascii="Times New Roman" w:hAnsi="Times New Roman"/>
        </w:rPr>
        <w:t>,</w:t>
      </w:r>
      <w:r w:rsidR="007B68A3" w:rsidRPr="00CE5D9A">
        <w:rPr>
          <w:rFonts w:ascii="Times New Roman" w:hAnsi="Times New Roman"/>
        </w:rPr>
        <w:t>0</w:t>
      </w:r>
      <w:r w:rsidRPr="00CE5D9A">
        <w:rPr>
          <w:rFonts w:ascii="Times New Roman" w:hAnsi="Times New Roman"/>
        </w:rPr>
        <w:t>%</w:t>
      </w:r>
      <w:r w:rsidR="007B68A3" w:rsidRPr="00CE5D9A">
        <w:rPr>
          <w:rFonts w:ascii="Times New Roman" w:hAnsi="Times New Roman"/>
        </w:rPr>
        <w:t xml:space="preserve">). Na </w:t>
      </w:r>
      <w:r w:rsidRPr="00CE5D9A">
        <w:rPr>
          <w:rFonts w:ascii="Times New Roman" w:hAnsi="Times New Roman"/>
        </w:rPr>
        <w:t xml:space="preserve">obszarze nie są zarejestrowane żadne podmioty w sekcji U „Organizacje i zespoły eksterytorialne”, a najniższe i nikłe udziały podmiotów zarejestrowane są w sekcjach B „Górnictwo </w:t>
      </w:r>
      <w:r w:rsidR="001E648E" w:rsidRPr="00CE5D9A">
        <w:rPr>
          <w:rFonts w:ascii="Times New Roman" w:hAnsi="Times New Roman"/>
        </w:rPr>
        <w:t>i </w:t>
      </w:r>
      <w:r w:rsidRPr="00CE5D9A">
        <w:rPr>
          <w:rFonts w:ascii="Times New Roman" w:hAnsi="Times New Roman"/>
        </w:rPr>
        <w:t xml:space="preserve">wydobywanie”, D „Wytwarzanie i zaopatrywanie w energię elektryczną, gaz, parę wodną, gorącą wodę i powietrze do układów klimatyzacyjnych” i E „Dostawa wody; gospodarowanie ściekami i odpadami oraz działalność związana z rekultywacją”. Z danych GUS wynika, że na terenie obszaru LGD funkcjonowało </w:t>
      </w:r>
      <w:r w:rsidR="007B68A3" w:rsidRPr="00CE5D9A">
        <w:rPr>
          <w:rFonts w:ascii="Times New Roman" w:hAnsi="Times New Roman"/>
        </w:rPr>
        <w:t>osiemnaście</w:t>
      </w:r>
      <w:r w:rsidRPr="00CE5D9A">
        <w:rPr>
          <w:rFonts w:ascii="Times New Roman" w:hAnsi="Times New Roman"/>
        </w:rPr>
        <w:t xml:space="preserve"> obiektów noclegowych, które łącznie oferowały 1 1</w:t>
      </w:r>
      <w:r w:rsidR="000B7347" w:rsidRPr="00CE5D9A">
        <w:rPr>
          <w:rFonts w:ascii="Times New Roman" w:hAnsi="Times New Roman"/>
        </w:rPr>
        <w:t>5</w:t>
      </w:r>
      <w:r w:rsidRPr="00CE5D9A">
        <w:rPr>
          <w:rFonts w:ascii="Times New Roman" w:hAnsi="Times New Roman"/>
        </w:rPr>
        <w:t>7 miejsc noclegowych, w tym 8</w:t>
      </w:r>
      <w:r w:rsidR="000B7347" w:rsidRPr="00CE5D9A">
        <w:rPr>
          <w:rFonts w:ascii="Times New Roman" w:hAnsi="Times New Roman"/>
        </w:rPr>
        <w:t>8</w:t>
      </w:r>
      <w:r w:rsidRPr="00CE5D9A">
        <w:rPr>
          <w:rFonts w:ascii="Times New Roman" w:hAnsi="Times New Roman"/>
        </w:rPr>
        <w:t>6 miejsc noclegowych całorocznych. Najwięcej z nich znajdowało się na terenie Gminy Myślenice (6 obiektów)</w:t>
      </w:r>
      <w:r w:rsidRPr="00CE5D9A">
        <w:rPr>
          <w:rStyle w:val="Odwoanieprzypisudolnego"/>
          <w:rFonts w:ascii="Times New Roman" w:hAnsi="Times New Roman"/>
        </w:rPr>
        <w:footnoteReference w:id="4"/>
      </w:r>
      <w:r w:rsidRPr="00CE5D9A">
        <w:rPr>
          <w:rFonts w:ascii="Times New Roman" w:hAnsi="Times New Roman"/>
        </w:rPr>
        <w:t>.</w:t>
      </w:r>
    </w:p>
    <w:p w14:paraId="2D094588" w14:textId="77777777" w:rsidR="002961E1" w:rsidRPr="00CE5D9A" w:rsidRDefault="00686DFE" w:rsidP="002961E1">
      <w:pPr>
        <w:spacing w:line="276" w:lineRule="auto"/>
        <w:ind w:firstLine="708"/>
        <w:jc w:val="both"/>
        <w:rPr>
          <w:rFonts w:ascii="Times New Roman" w:hAnsi="Times New Roman"/>
        </w:rPr>
      </w:pPr>
      <w:r w:rsidRPr="00CE5D9A">
        <w:rPr>
          <w:rFonts w:ascii="Times New Roman" w:hAnsi="Times New Roman"/>
        </w:rPr>
        <w:t xml:space="preserve">Spójność kulturowa, mająca korzenie w historii obszaru, znajduje wyraz w istniejących obiektach kultury materialnej, jak i niematerialnej. Na terenie każdej z gmin obszaru występują zabytki wpisane do rejestru zabytków Narodowego Instytutu Dziedzictwa. Oprócz materialnych form wyrazu wspólnej kultury, bardzo ważne znaczenie mają zwyczaje, obyczaje, posługiwanie się gwarą, dbałość o strój regionalny oraz budowanie poczucia wspólnej tożsamości poprzez kultywowanie śpiewania, muzykowania i taniec regionalny, a także specyficzne budownictwo regionalne. Wszystkie te elementy tworzą wspólną kulturę ludową regionu. Atutem obszaru są również piękne krajobrazy, imponujące panoramy widokowe na szlakach turystycznych, duża ilość terenów leśnych, ekologiczna żywność, bliskość Krakowa oraz dogodne połączenia komunikacyjne. </w:t>
      </w:r>
    </w:p>
    <w:p w14:paraId="57BD3551" w14:textId="77777777" w:rsidR="002961E1" w:rsidRPr="00CE5D9A" w:rsidRDefault="002961E1" w:rsidP="00E31C0B">
      <w:pPr>
        <w:spacing w:after="0" w:line="276" w:lineRule="auto"/>
        <w:ind w:firstLine="708"/>
        <w:jc w:val="both"/>
        <w:rPr>
          <w:rFonts w:ascii="Times New Roman" w:hAnsi="Times New Roman"/>
        </w:rPr>
      </w:pPr>
      <w:r w:rsidRPr="00CE5D9A">
        <w:rPr>
          <w:rFonts w:ascii="Times New Roman" w:hAnsi="Times New Roman"/>
        </w:rPr>
        <w:t>Obszar LGD jest spójny poprzez:</w:t>
      </w:r>
    </w:p>
    <w:p w14:paraId="10B34623"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niską aktywność społeczną – wartości wskaźnika </w:t>
      </w:r>
      <w:r w:rsidRPr="00CE5D9A">
        <w:rPr>
          <w:rFonts w:ascii="Times New Roman" w:hAnsi="Times New Roman"/>
          <w:i/>
          <w:iCs/>
        </w:rPr>
        <w:t xml:space="preserve">Fundacje, stowarzyszenia, organizacje społeczne na 10 tys. mieszkańców w 2021 roku </w:t>
      </w:r>
      <w:r w:rsidRPr="00CE5D9A">
        <w:rPr>
          <w:rFonts w:ascii="Times New Roman" w:hAnsi="Times New Roman"/>
        </w:rPr>
        <w:t>we wszystkich gm</w:t>
      </w:r>
      <w:r w:rsidR="00816638" w:rsidRPr="00CE5D9A">
        <w:rPr>
          <w:rFonts w:ascii="Times New Roman" w:hAnsi="Times New Roman"/>
        </w:rPr>
        <w:t>inach LGD były niższe średnio w </w:t>
      </w:r>
      <w:r w:rsidRPr="00CE5D9A">
        <w:rPr>
          <w:rFonts w:ascii="Times New Roman" w:hAnsi="Times New Roman"/>
        </w:rPr>
        <w:t xml:space="preserve">województwie małopolskim (41) i Polsce (41), </w:t>
      </w:r>
    </w:p>
    <w:p w14:paraId="48965ACC"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niskie wpływy z podatku dochodowego od osób fizycznych – wartości wskaźnika </w:t>
      </w:r>
      <w:r w:rsidR="00816638" w:rsidRPr="00CE5D9A">
        <w:rPr>
          <w:rFonts w:ascii="Times New Roman" w:hAnsi="Times New Roman"/>
          <w:i/>
          <w:iCs/>
        </w:rPr>
        <w:t>Udział w </w:t>
      </w:r>
      <w:r w:rsidRPr="00CE5D9A">
        <w:rPr>
          <w:rFonts w:ascii="Times New Roman" w:hAnsi="Times New Roman"/>
          <w:i/>
          <w:iCs/>
        </w:rPr>
        <w:t xml:space="preserve">podatkach stanowiących dochód budżetu państwa w postaci wpływów z podatku dochodowego od osób fizycznych w przeliczeniu na 1 mieszkańca (zł) w 2021 roku </w:t>
      </w:r>
      <w:r w:rsidRPr="00CE5D9A">
        <w:rPr>
          <w:rFonts w:ascii="Times New Roman" w:hAnsi="Times New Roman"/>
        </w:rPr>
        <w:t>we wszystkich gminach LGD były niższe niż średnio w województwie małopolskim (1 366) i Polsce (1 402).</w:t>
      </w:r>
    </w:p>
    <w:p w14:paraId="4B2612C9"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niską przedsiębiorczość mieszkańców – wartości wskaźnika </w:t>
      </w:r>
      <w:r w:rsidRPr="00CE5D9A">
        <w:rPr>
          <w:rFonts w:ascii="Times New Roman" w:hAnsi="Times New Roman"/>
          <w:i/>
          <w:iCs/>
        </w:rPr>
        <w:t>Pod</w:t>
      </w:r>
      <w:r w:rsidR="00816638" w:rsidRPr="00CE5D9A">
        <w:rPr>
          <w:rFonts w:ascii="Times New Roman" w:hAnsi="Times New Roman"/>
          <w:i/>
          <w:iCs/>
        </w:rPr>
        <w:t>mioty nowo zarejestrowane na 10 </w:t>
      </w:r>
      <w:r w:rsidRPr="00CE5D9A">
        <w:rPr>
          <w:rFonts w:ascii="Times New Roman" w:hAnsi="Times New Roman"/>
          <w:i/>
          <w:iCs/>
        </w:rPr>
        <w:t xml:space="preserve">tys. ludności w wieku produkcyjnym w 2021 roku </w:t>
      </w:r>
      <w:r w:rsidRPr="00CE5D9A">
        <w:rPr>
          <w:rFonts w:ascii="Times New Roman" w:hAnsi="Times New Roman"/>
        </w:rPr>
        <w:t xml:space="preserve">we wszystkich gminach LGD były niższe średnio w województwie małopolskim (174) i Polsce (165), wyjątek stanowiła Gmina Myślenice – wartość wskaźnika wynosiła (165), </w:t>
      </w:r>
    </w:p>
    <w:p w14:paraId="0EAB7839"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posiadanie predyspozycji do bycia obszarem osiedlania się (wartości wskaźnika </w:t>
      </w:r>
      <w:r w:rsidRPr="00CE5D9A">
        <w:rPr>
          <w:rFonts w:ascii="Times New Roman" w:hAnsi="Times New Roman"/>
          <w:i/>
          <w:iCs/>
        </w:rPr>
        <w:t xml:space="preserve">Pozwolenia wydane na budowę i zgłoszenia budowy z projektem budowlanym w przeliczeniu na 10 tys. mieszkańców w 2021 roku </w:t>
      </w:r>
      <w:r w:rsidRPr="00CE5D9A">
        <w:rPr>
          <w:rFonts w:ascii="Times New Roman" w:hAnsi="Times New Roman"/>
        </w:rPr>
        <w:t>prawie we wszystkich gminac</w:t>
      </w:r>
      <w:r w:rsidR="00401BEB" w:rsidRPr="00CE5D9A">
        <w:rPr>
          <w:rFonts w:ascii="Times New Roman" w:hAnsi="Times New Roman"/>
        </w:rPr>
        <w:t>h LGD były wyższe niż średnio w </w:t>
      </w:r>
      <w:r w:rsidRPr="00CE5D9A">
        <w:rPr>
          <w:rFonts w:ascii="Times New Roman" w:hAnsi="Times New Roman"/>
        </w:rPr>
        <w:t>województwie małopolskim (38) i Polsce (35), wyjątek stanowi Gmina Lubień (32),</w:t>
      </w:r>
    </w:p>
    <w:p w14:paraId="632FD5F5"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bogactwo dziedzictwa kulturowego, przyrodniczego i historycznego, </w:t>
      </w:r>
    </w:p>
    <w:p w14:paraId="3D2FFB22"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wspólna tożsamość regionalna i związane z nią tradycje wynikające głównie ze wspólnej przeszłości historycznej, </w:t>
      </w:r>
    </w:p>
    <w:p w14:paraId="74C22D1A"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tradycje rzemieślnicze, które występują na terenie całego obszaru LGD (kowalstwo, bednarstwo, kamieniarstwo),</w:t>
      </w:r>
    </w:p>
    <w:p w14:paraId="584931E9"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 xml:space="preserve">bogate i kultywowane tradycje i zwyczaje kulturowe, w tym również specyficzny dialekt małopolski; </w:t>
      </w:r>
    </w:p>
    <w:p w14:paraId="0B0C8E0A"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Myślenice – ośrodek wzrostu dla wszystkich gmin, stymulowanie rozwoju całego obszaru LGD,</w:t>
      </w:r>
    </w:p>
    <w:p w14:paraId="7BB1D9AA" w14:textId="77777777" w:rsidR="002961E1" w:rsidRPr="00CE5D9A" w:rsidRDefault="002961E1" w:rsidP="002961E1">
      <w:pPr>
        <w:pStyle w:val="Akapitzlist"/>
        <w:numPr>
          <w:ilvl w:val="0"/>
          <w:numId w:val="62"/>
        </w:numPr>
        <w:spacing w:line="276" w:lineRule="auto"/>
        <w:jc w:val="both"/>
        <w:rPr>
          <w:rFonts w:ascii="Times New Roman" w:hAnsi="Times New Roman"/>
        </w:rPr>
      </w:pPr>
      <w:r w:rsidRPr="00CE5D9A">
        <w:rPr>
          <w:rFonts w:ascii="Times New Roman" w:hAnsi="Times New Roman"/>
        </w:rPr>
        <w:t>bliskość położenia drogi nr 7 – korytarz łączący gminy LGD.</w:t>
      </w:r>
    </w:p>
    <w:p w14:paraId="70F84C43" w14:textId="77777777" w:rsidR="002961E1" w:rsidRPr="00CE5D9A" w:rsidRDefault="002961E1" w:rsidP="002961E1">
      <w:pPr>
        <w:spacing w:line="276" w:lineRule="auto"/>
        <w:ind w:firstLine="708"/>
        <w:jc w:val="both"/>
        <w:rPr>
          <w:rFonts w:ascii="Times New Roman" w:hAnsi="Times New Roman"/>
        </w:rPr>
      </w:pPr>
    </w:p>
    <w:p w14:paraId="009289C6" w14:textId="77777777" w:rsidR="00686DFE" w:rsidRPr="00CE5D9A" w:rsidRDefault="00686DFE">
      <w:pPr>
        <w:rPr>
          <w:rFonts w:ascii="Times New Roman" w:hAnsi="Times New Roman"/>
          <w:b/>
          <w:bCs/>
        </w:rPr>
      </w:pPr>
      <w:r w:rsidRPr="00CE5D9A">
        <w:rPr>
          <w:rFonts w:ascii="Times New Roman" w:hAnsi="Times New Roman"/>
          <w:b/>
          <w:bCs/>
        </w:rPr>
        <w:br w:type="page"/>
      </w:r>
    </w:p>
    <w:p w14:paraId="10BC25E8" w14:textId="77777777" w:rsidR="00686DFE" w:rsidRPr="00CE5D9A" w:rsidRDefault="00686DFE">
      <w:pPr>
        <w:pStyle w:val="Akapitzlist"/>
        <w:numPr>
          <w:ilvl w:val="0"/>
          <w:numId w:val="2"/>
        </w:numPr>
        <w:outlineLvl w:val="0"/>
        <w:rPr>
          <w:rFonts w:ascii="Times New Roman" w:hAnsi="Times New Roman"/>
          <w:b/>
          <w:bCs/>
        </w:rPr>
      </w:pPr>
      <w:bookmarkStart w:id="20" w:name="_Toc135994829"/>
      <w:r w:rsidRPr="00CE5D9A">
        <w:rPr>
          <w:rFonts w:ascii="Times New Roman" w:hAnsi="Times New Roman"/>
          <w:b/>
          <w:bCs/>
        </w:rPr>
        <w:lastRenderedPageBreak/>
        <w:t>PARTYCYPACYJNY CHARAKTER LSR</w:t>
      </w:r>
      <w:bookmarkEnd w:id="20"/>
    </w:p>
    <w:p w14:paraId="1D06F8D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Oddolność to jedna z siedmiu podstawowych cech metody LEADER. Oddolność tworzenia niniejszej LSR została zapewniona poprzez angażowanie partnerów lokalnych oraz rzeczywisty, partycypacyjny udział mieszkańców w procesie jej powstawania. Aktywność podmiotów zaangażowanych w przygotowanie LSR będzie kontynuowana również w trakcie jej wdrażania. </w:t>
      </w:r>
    </w:p>
    <w:p w14:paraId="2F863BD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Zarówno na etapie tworzenia jak i realizacji LSR uwzględniano / będzie się uwzględniać zasady horyzontalne określone w art. 9 rozporządzenia 2021/1060, w tym:</w:t>
      </w:r>
    </w:p>
    <w:p w14:paraId="4BB2B1D6" w14:textId="77777777" w:rsidR="00686DFE" w:rsidRPr="00CE5D9A" w:rsidRDefault="00686DFE">
      <w:pPr>
        <w:pStyle w:val="Akapitzlist"/>
        <w:numPr>
          <w:ilvl w:val="2"/>
          <w:numId w:val="11"/>
        </w:numPr>
        <w:spacing w:line="276" w:lineRule="auto"/>
        <w:ind w:left="851"/>
        <w:jc w:val="both"/>
        <w:rPr>
          <w:rFonts w:ascii="Times New Roman" w:hAnsi="Times New Roman"/>
        </w:rPr>
      </w:pPr>
      <w:r w:rsidRPr="00CE5D9A">
        <w:rPr>
          <w:rFonts w:ascii="Times New Roman" w:hAnsi="Times New Roman"/>
        </w:rPr>
        <w:t>poszanowania praw podstawowych oraz przestrzeganie Karty praw podstawowych Unii Europejskiej;</w:t>
      </w:r>
    </w:p>
    <w:p w14:paraId="215D3134" w14:textId="77777777" w:rsidR="00686DFE" w:rsidRPr="00CE5D9A" w:rsidRDefault="00686DFE">
      <w:pPr>
        <w:pStyle w:val="Akapitzlist"/>
        <w:numPr>
          <w:ilvl w:val="2"/>
          <w:numId w:val="11"/>
        </w:numPr>
        <w:spacing w:line="276" w:lineRule="auto"/>
        <w:ind w:left="851"/>
        <w:jc w:val="both"/>
        <w:rPr>
          <w:rFonts w:ascii="Times New Roman" w:hAnsi="Times New Roman"/>
        </w:rPr>
      </w:pPr>
      <w:r w:rsidRPr="00CE5D9A">
        <w:rPr>
          <w:rFonts w:ascii="Times New Roman" w:hAnsi="Times New Roman"/>
        </w:rPr>
        <w:t>zasady równości kobiet i mężczyzn;</w:t>
      </w:r>
    </w:p>
    <w:p w14:paraId="0F355A95" w14:textId="77777777" w:rsidR="00686DFE" w:rsidRPr="00CE5D9A" w:rsidRDefault="00686DFE">
      <w:pPr>
        <w:pStyle w:val="Akapitzlist"/>
        <w:numPr>
          <w:ilvl w:val="2"/>
          <w:numId w:val="11"/>
        </w:numPr>
        <w:spacing w:line="276" w:lineRule="auto"/>
        <w:ind w:left="851"/>
        <w:jc w:val="both"/>
        <w:rPr>
          <w:rFonts w:ascii="Times New Roman" w:hAnsi="Times New Roman"/>
        </w:rPr>
      </w:pPr>
      <w:r w:rsidRPr="00CE5D9A">
        <w:rPr>
          <w:rFonts w:ascii="Times New Roman" w:hAnsi="Times New Roman"/>
        </w:rPr>
        <w:t>zasady równości szans i niedyskryminacji ze względu na płeć, rasę lub pochodzenie etniczne, religię lub światopogląd, niepełnosprawność, wiek lub orientację seksualną, w tym zasadę dostępności dla osób z niepełnosprawnościami;</w:t>
      </w:r>
    </w:p>
    <w:p w14:paraId="0CE0AC92" w14:textId="77777777" w:rsidR="00686DFE" w:rsidRPr="00CE5D9A" w:rsidRDefault="00686DFE">
      <w:pPr>
        <w:pStyle w:val="Akapitzlist"/>
        <w:numPr>
          <w:ilvl w:val="2"/>
          <w:numId w:val="11"/>
        </w:numPr>
        <w:spacing w:after="120" w:line="276" w:lineRule="auto"/>
        <w:ind w:left="850" w:hanging="357"/>
        <w:contextualSpacing w:val="0"/>
        <w:jc w:val="both"/>
        <w:rPr>
          <w:rFonts w:ascii="Times New Roman" w:hAnsi="Times New Roman"/>
        </w:rPr>
      </w:pPr>
      <w:r w:rsidRPr="00CE5D9A">
        <w:rPr>
          <w:rFonts w:ascii="Times New Roman" w:hAnsi="Times New Roman"/>
        </w:rPr>
        <w:t>zgodności działań z celem wspierania zrównoważonego rozwoju określonego w art. 11 TFUE oraz z uwzględnieniem celów ONZ dotyczących zrównoważonego rozwoju, a także porozumienia paryskiego i zasady „nie czyń poważnych szkód”.</w:t>
      </w:r>
    </w:p>
    <w:p w14:paraId="2249177C" w14:textId="77777777" w:rsidR="00686DFE" w:rsidRPr="00CE5D9A" w:rsidRDefault="00686DFE">
      <w:pPr>
        <w:pStyle w:val="Akapitzlist"/>
        <w:numPr>
          <w:ilvl w:val="0"/>
          <w:numId w:val="12"/>
        </w:numPr>
        <w:spacing w:before="240" w:line="276" w:lineRule="auto"/>
        <w:ind w:left="1134" w:hanging="357"/>
        <w:contextualSpacing w:val="0"/>
        <w:jc w:val="both"/>
        <w:outlineLvl w:val="1"/>
        <w:rPr>
          <w:rFonts w:ascii="Times New Roman" w:hAnsi="Times New Roman"/>
          <w:b/>
          <w:bCs/>
        </w:rPr>
      </w:pPr>
      <w:bookmarkStart w:id="21" w:name="_Toc135994830"/>
      <w:r w:rsidRPr="00CE5D9A">
        <w:rPr>
          <w:rFonts w:ascii="Times New Roman" w:hAnsi="Times New Roman"/>
          <w:b/>
          <w:bCs/>
        </w:rPr>
        <w:t>Etap opracowania LSR</w:t>
      </w:r>
      <w:bookmarkEnd w:id="21"/>
    </w:p>
    <w:p w14:paraId="6916BD98"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28747059"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spotkania otwarte w każdej z gmin obszaru LGD (etap diagnostyczny);</w:t>
      </w:r>
    </w:p>
    <w:p w14:paraId="1606D10A"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badania ankietowe (etap diagnostyczny i etap planistyczny);</w:t>
      </w:r>
    </w:p>
    <w:p w14:paraId="1E8E23C8"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fiszka projektowa – możliwość zgłoszenia propozycji projektu (etap planistyczny);</w:t>
      </w:r>
    </w:p>
    <w:p w14:paraId="4DFF7D82"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wywiad z Zespołem ds. LSR (etap diagnostyczny i etap planistyczny);</w:t>
      </w:r>
    </w:p>
    <w:p w14:paraId="5D7EB380"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prace warsztatowe w grupach (etap planistyczny);</w:t>
      </w:r>
    </w:p>
    <w:p w14:paraId="60B91615"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dyżury pracownika on-line (etap diagnostyczny i etap planistyczny);</w:t>
      </w:r>
    </w:p>
    <w:p w14:paraId="379102A4"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punkt konsultacyjny (etap diagnostyczny i etap planistyczny);</w:t>
      </w:r>
    </w:p>
    <w:p w14:paraId="511F0D57"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formularze uwag (etap opiniowania projektu LSR);</w:t>
      </w:r>
    </w:p>
    <w:p w14:paraId="2F4FB28D" w14:textId="77777777" w:rsidR="00686DFE" w:rsidRPr="00CE5D9A" w:rsidRDefault="00686DFE">
      <w:pPr>
        <w:pStyle w:val="Akapitzlist"/>
        <w:numPr>
          <w:ilvl w:val="0"/>
          <w:numId w:val="13"/>
        </w:numPr>
        <w:spacing w:line="276" w:lineRule="auto"/>
        <w:ind w:left="851"/>
        <w:jc w:val="both"/>
        <w:rPr>
          <w:rFonts w:ascii="Times New Roman" w:hAnsi="Times New Roman"/>
        </w:rPr>
      </w:pPr>
      <w:r w:rsidRPr="00CE5D9A">
        <w:rPr>
          <w:rFonts w:ascii="Times New Roman" w:hAnsi="Times New Roman"/>
        </w:rPr>
        <w:t>prezentacja projektu LSR na WZC.</w:t>
      </w:r>
    </w:p>
    <w:p w14:paraId="1F818CF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Nad uporządkowaniem wszystkich zebranych materiałów czuwali członkowie Zespołu ds. LSR. W momencie podpisania umowy w ramach wsparcia przygotowawczego służącego opracowaniu Strategii rozpoczęto działania mające na celu zaangażowanie lokalnej społeczności w opracowanie LSR. Mieszkańcy byli informowani o konsultacjach społecznych i spotkaniach w sposób zwyczajowo przyjęty, poprzez: ogłoszenie na stronie internetowej, ogłoszenia w kościołach, przekaz informacji przez liderów lokalnych, którzy byli poinformowani telefonicznie, e-mailowo lub osobiście, oraz przez wywieszenie informacji na tablicach ogłoszeniowych, miejscach integracji społecznej w poszczególnych miejscowościach.</w:t>
      </w:r>
    </w:p>
    <w:p w14:paraId="48089221" w14:textId="360C772B"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W dniach 19.05.2023 r. oraz 24.05.2023 r. odbyły się spotkania konsultacyjne z mieszkańcami obszaru w każdej z gmin objętych LSR. W pierwszym dniu spotkania odbyły się w Biertowicach w Gminie Sułkowice, Myślenicach</w:t>
      </w:r>
      <w:r w:rsidR="00803EDA" w:rsidRPr="00CE5D9A">
        <w:rPr>
          <w:rFonts w:ascii="Times New Roman" w:hAnsi="Times New Roman"/>
        </w:rPr>
        <w:t>, Raciechowicach</w:t>
      </w:r>
      <w:r w:rsidRPr="00CE5D9A">
        <w:rPr>
          <w:rFonts w:ascii="Times New Roman" w:hAnsi="Times New Roman"/>
        </w:rPr>
        <w:t xml:space="preserve"> i Wiśniowej, natomiast w kolejnym dniu w Lubniu, Tokarni oraz Pcimiu. Uczestnicy dowiedzieli się z prezentacji jakie są główne cechy podejścia LEADER i funkcjonowania LGD oraz poznali zasady i cel opracowania i wdrażania LSR. Częścią spotkań była dyskusja mająca za zadanie inwentaryzację obszaru – określenie jego potrzeb, zasobów i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 do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 „</w:t>
      </w:r>
      <w:r w:rsidRPr="00CE5D9A">
        <w:rPr>
          <w:rFonts w:ascii="Times New Roman" w:hAnsi="Times New Roman"/>
          <w:shd w:val="clear" w:color="auto" w:fill="FFFFFF"/>
        </w:rPr>
        <w:t>budowa infrastruktury sportowej, rekreacyjnej, w</w:t>
      </w:r>
      <w:r w:rsidR="000B7347" w:rsidRPr="00CE5D9A">
        <w:rPr>
          <w:rFonts w:ascii="Times New Roman" w:hAnsi="Times New Roman"/>
          <w:shd w:val="clear" w:color="auto" w:fill="FFFFFF"/>
        </w:rPr>
        <w:t> </w:t>
      </w:r>
      <w:r w:rsidRPr="00CE5D9A">
        <w:rPr>
          <w:rFonts w:ascii="Times New Roman" w:hAnsi="Times New Roman"/>
          <w:shd w:val="clear" w:color="auto" w:fill="FFFFFF"/>
        </w:rPr>
        <w:t xml:space="preserve">tym ścieżek rowerowych”, „tworzenie zagród edukacyjnych”, „działania kulturalne dla mieszkańców”, „wspieranie edukacji i podnoszenie </w:t>
      </w:r>
      <w:r w:rsidRPr="00CE5D9A">
        <w:rPr>
          <w:rFonts w:ascii="Times New Roman" w:hAnsi="Times New Roman"/>
          <w:shd w:val="clear" w:color="auto" w:fill="FFFFFF"/>
        </w:rPr>
        <w:lastRenderedPageBreak/>
        <w:t xml:space="preserve">kwalifikacji mieszkańców”, „promocja tradycyjnego kowalstwa sułkowickiego”, „promocja ekologii”, „rewitalizacja przestrzeni publicznych, tak by były przyjazne osobom niepełnosprawnym”, „pielęgnowanie relacji międzypokoleniowych” oraz „wsparcie seniorów”. </w:t>
      </w:r>
      <w:r w:rsidRPr="00CE5D9A">
        <w:rPr>
          <w:rFonts w:ascii="Times New Roman" w:hAnsi="Times New Roman"/>
        </w:rPr>
        <w:t>Niewątpliwie najczęściej padającą odpowiedzią na pytanie o największy zasób czy wyróżnik obszaru było: „atrakcyjność turystyczna obszaru”, „potencjał kulturowy”, „</w:t>
      </w:r>
      <w:r w:rsidRPr="00CE5D9A">
        <w:rPr>
          <w:rFonts w:ascii="Times New Roman" w:hAnsi="Times New Roman"/>
          <w:shd w:val="clear" w:color="auto" w:fill="FFFFFF"/>
        </w:rPr>
        <w:t xml:space="preserve">działania na rzecz klimatu i środowiska”, „bliskość Krakowa” oraz „innowacyjność, partnerstwo, integracja”. </w:t>
      </w:r>
      <w:r w:rsidRPr="00CE5D9A">
        <w:rPr>
          <w:rFonts w:ascii="Times New Roman" w:hAnsi="Times New Roman"/>
        </w:rPr>
        <w:t>Ponadto, na spotkaniach w każdej gminie mieszkańcy zauważali, że szansą dla obszaru</w:t>
      </w:r>
      <w:r w:rsidR="00F958B2" w:rsidRPr="00CE5D9A">
        <w:rPr>
          <w:rFonts w:ascii="Times New Roman" w:hAnsi="Times New Roman"/>
        </w:rPr>
        <w:t xml:space="preserve"> </w:t>
      </w:r>
      <w:r w:rsidRPr="00CE5D9A">
        <w:rPr>
          <w:rFonts w:ascii="Times New Roman" w:hAnsi="Times New Roman"/>
        </w:rPr>
        <w:t>jest wdrożenie koncepcji Smart Village poprzez działania ukierunkowane na społeczeństwo oraz skupiające się na wykorzystaniu potencjałów obszaru przy jednoczesnym rozwoju cyfryzacji stymulującej rozwój gospodarczy. Oczekiwania mieszkańców w stosunku do korzyści jakie ma przynieść koncepcja Smart Village są zgodne z jej ideą, która zakłada, iż „inteligentna wieś” to obszar prawnie kwalifikowany jako wiejski i jego społeczność, których potencjał jest innowacyjnie wykorzystywany przez aktywnych obywateli i właściwe organy publiczne w ramach strategii poprawy społecznych, ekonomicznych i środowiskowych wskaźników rozwoju, m.in. poprzez stosowanie rozwiązań z zakresu nowych technologii</w:t>
      </w:r>
      <w:r w:rsidRPr="00CE5D9A">
        <w:rPr>
          <w:rFonts w:ascii="Times New Roman" w:hAnsi="Times New Roman"/>
          <w:vertAlign w:val="superscript"/>
        </w:rPr>
        <w:footnoteReference w:id="5"/>
      </w:r>
      <w:r w:rsidRPr="00CE5D9A">
        <w:rPr>
          <w:rFonts w:ascii="Times New Roman" w:hAnsi="Times New Roman"/>
        </w:rPr>
        <w:t>.</w:t>
      </w:r>
    </w:p>
    <w:p w14:paraId="0BDAC5A5"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 dniach 01–24.03.2023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wzięło 51 osób, w tym 57% kobiet i 43% mężczyzn, najwięcej z terenu Gminy Myślenice (56%), głównie byli to reprezentanci sektora społecznego (78%). 65% ankietowanych to osoby w przedziale wiekowym 25–60 lat. W badaniu wzięło udział 15 osób (29%) w wieku poniżej 25. </w:t>
      </w:r>
      <w:r w:rsidR="00FB4F8A" w:rsidRPr="00CE5D9A">
        <w:rPr>
          <w:rFonts w:ascii="Times New Roman" w:hAnsi="Times New Roman"/>
        </w:rPr>
        <w:t>R</w:t>
      </w:r>
      <w:r w:rsidRPr="00CE5D9A">
        <w:rPr>
          <w:rFonts w:ascii="Times New Roman" w:hAnsi="Times New Roman"/>
        </w:rPr>
        <w:t xml:space="preserve">oku życia oraz 3 osoby w wieku powyżej 60. </w:t>
      </w:r>
      <w:r w:rsidR="00FB4F8A" w:rsidRPr="00CE5D9A">
        <w:rPr>
          <w:rFonts w:ascii="Times New Roman" w:hAnsi="Times New Roman"/>
        </w:rPr>
        <w:t>R</w:t>
      </w:r>
      <w:r w:rsidRPr="00CE5D9A">
        <w:rPr>
          <w:rFonts w:ascii="Times New Roman" w:hAnsi="Times New Roman"/>
        </w:rPr>
        <w:t>oku życia (6%). Ankieta dotyczyła mocnych i 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Większość ankietowanych wskazała odpowiedzi: „bliskość Krakowa” (49%), „ciekawa historia i unikalne dziedzictwo kulturowe</w:t>
      </w:r>
      <w:r w:rsidR="000B7347" w:rsidRPr="00CE5D9A">
        <w:rPr>
          <w:rFonts w:ascii="Times New Roman" w:hAnsi="Times New Roman"/>
        </w:rPr>
        <w:t xml:space="preserve"> obszaru, w tym cenne zabytki i </w:t>
      </w:r>
      <w:r w:rsidRPr="00CE5D9A">
        <w:rPr>
          <w:rFonts w:ascii="Times New Roman" w:hAnsi="Times New Roman"/>
        </w:rPr>
        <w:t xml:space="preserve">wielokulturowość” oraz „unikatowe walory przyrodniczo-krajobrazowe, w tym różnorodne formy ochrony przyrody” (po 39%). Jako kluczowe słabe strony obszaru wskazano przede wszystkim: </w:t>
      </w:r>
      <w:bookmarkStart w:id="22" w:name="_Hlk135036205"/>
      <w:r w:rsidRPr="00CE5D9A">
        <w:rPr>
          <w:rFonts w:ascii="Times New Roman" w:hAnsi="Times New Roman"/>
        </w:rPr>
        <w:t xml:space="preserve">„mało atrakcyjny rynek pracy” </w:t>
      </w:r>
      <w:bookmarkEnd w:id="22"/>
      <w:r w:rsidRPr="00CE5D9A">
        <w:rPr>
          <w:rFonts w:ascii="Times New Roman" w:hAnsi="Times New Roman"/>
        </w:rPr>
        <w:t>(47%), „niewystarczające wykorzystanie walorów przyrodniczych i kulturowych” (67%) i „niezadawalający poziom dostępności usług medycznych” (29%). Ankietowani zostali również poproszeni o wskazanie najważniejszych szans stojących przed rozwojem obszaru i największych zagrożeń, które mogą wpłynąć na jego rozwój. Jako szanse wskazano przede wszystkim: „modę na zdrowy styl życia” (49%), „wzrost świadomości obywatelskiej, w tym poczucia tożsamości i identyfikacji z miejscem zamieszkania” (43%) oraz „cyfryzację życia codziennego” (41%). Mieszkańcy widzą zagrożenie dla rozwoju obszaru przede wszystkim we „wzroście kosztów życia” (82%) oraz w „konsekwencjach społecznych i gospodarczych związanych z pandemią COVID-19, wojny w Ukrainie i ewentualnie innych nieprzewidzianych wydarzeń” (53%).</w:t>
      </w:r>
      <w:r w:rsidRPr="00CE5D9A">
        <w:rPr>
          <w:rFonts w:ascii="Times New Roman" w:hAnsi="Times New Roman"/>
        </w:rPr>
        <w:cr/>
      </w:r>
      <w:r w:rsidRPr="00CE5D9A">
        <w:rPr>
          <w:rFonts w:ascii="Times New Roman" w:hAnsi="Times New Roman"/>
        </w:rPr>
        <w:tab/>
        <w:t xml:space="preserve">W dniach 13.04–08.05.2023 r. przeprowadzone zostało kolejne badanie ankietowe – na etapie planistycznym. Ankieta dostępna była w wersji papierowej w siedzibie LGD, ale też w wersji on-line, o czym ogłoszenie opublikowano zarówno na stronie internetowej LGD jak i gmin partnerskich oraz na profilu LGD na portalu Facebook. W badaniu udział wzięły 64 osoby, z czego 42% ankietowanych stanowiły kobiety, a 58% stanowili mężczyźni, 60% były to osoby w wieku 25–60 lat, w ankiecie brały również udział osoby powyżej 60. </w:t>
      </w:r>
      <w:r w:rsidR="00FB4F8A" w:rsidRPr="00CE5D9A">
        <w:rPr>
          <w:rFonts w:ascii="Times New Roman" w:hAnsi="Times New Roman"/>
        </w:rPr>
        <w:t>R</w:t>
      </w:r>
      <w:r w:rsidRPr="00CE5D9A">
        <w:rPr>
          <w:rFonts w:ascii="Times New Roman" w:hAnsi="Times New Roman"/>
        </w:rPr>
        <w:t xml:space="preserve">oku życia oraz poniżej 25. </w:t>
      </w:r>
      <w:r w:rsidR="00FB4F8A" w:rsidRPr="00CE5D9A">
        <w:rPr>
          <w:rFonts w:ascii="Times New Roman" w:hAnsi="Times New Roman"/>
        </w:rPr>
        <w:t>R</w:t>
      </w:r>
      <w:r w:rsidRPr="00CE5D9A">
        <w:rPr>
          <w:rFonts w:ascii="Times New Roman" w:hAnsi="Times New Roman"/>
        </w:rPr>
        <w:t>oku życia. Najwięcej osób biorących udział w ankiecie zamieszkuje bądź prowadzi działalność na terenie Gminy Sułkowice (57%). Ankietę najczęściej wypełniały osoby z sektora społecznego (64%).  Na pytanie o kluczowe kierunki/obszary rozwoju LGD (możliwość wskazania 3 odpowiedzi) ankietowani wskazywali: „rozwój turystyki i infrastruktury okołoturystycznej” (61%), „ochrona środowiska” (52%) oraz „rozwój działalności kulturalnej i sportu” (44%). Ankietowani w każdym pytaniu zamkniętym mieli możliwość zaznaczenia odpowiedzi „inne” i wpisania własnej odpowiedzi. W przypadku ww. pytania pojawiła się odpowiedź dotycząca zwiększenia bezpieczeństwa i rozwoju ratownictwa na obszarach wiejskich. Na pytanie o to, do jakiej grupy osób powinny być skierowane działania w ramach wdrażania LSR, w</w:t>
      </w:r>
      <w:bookmarkStart w:id="23" w:name="_Hlk136196010"/>
      <w:r w:rsidRPr="00CE5D9A">
        <w:rPr>
          <w:rFonts w:ascii="Times New Roman" w:hAnsi="Times New Roman"/>
        </w:rPr>
        <w:t xml:space="preserve">skazano szczególnie seniorów (56%), młodzież – do 25. </w:t>
      </w:r>
      <w:r w:rsidR="00FB4F8A" w:rsidRPr="00CE5D9A">
        <w:rPr>
          <w:rFonts w:ascii="Times New Roman" w:hAnsi="Times New Roman"/>
        </w:rPr>
        <w:t>R</w:t>
      </w:r>
      <w:r w:rsidRPr="00CE5D9A">
        <w:rPr>
          <w:rFonts w:ascii="Times New Roman" w:hAnsi="Times New Roman"/>
        </w:rPr>
        <w:t>oku życia (39%) oraz osoby z niepełnosprawnościami (38%</w:t>
      </w:r>
      <w:bookmarkEnd w:id="23"/>
      <w:r w:rsidRPr="00CE5D9A">
        <w:rPr>
          <w:rFonts w:ascii="Times New Roman" w:hAnsi="Times New Roman"/>
        </w:rPr>
        <w:t xml:space="preserve">). W ankiecie przedstawiono 8 głównych obszarów wsparcia określonych w </w:t>
      </w:r>
      <w:r w:rsidRPr="00CE5D9A">
        <w:rPr>
          <w:rFonts w:ascii="Times New Roman" w:hAnsi="Times New Roman"/>
          <w:i/>
          <w:iCs/>
        </w:rPr>
        <w:t>Planie Strategicznym dla Wspólnej Polityki Rolnej na lata 2023–2027</w:t>
      </w:r>
      <w:r w:rsidRPr="00CE5D9A">
        <w:rPr>
          <w:rFonts w:ascii="Times New Roman" w:hAnsi="Times New Roman"/>
        </w:rPr>
        <w:t xml:space="preserve"> </w:t>
      </w:r>
      <w:r w:rsidRPr="00CE5D9A">
        <w:rPr>
          <w:rFonts w:ascii="Times New Roman" w:hAnsi="Times New Roman"/>
        </w:rPr>
        <w:lastRenderedPageBreak/>
        <w:t>i poproszono o wskazanie maksymalnie trzech, które powinny być wdrażane na obszarze objętym LSR. Najczęściej udzielaną odpowiedzią była: „poprawa dostępu do małej infrastruktury publicznej” (75%). Na prośbę o wskazanie jakie powinny być główne formy partycypacji/komunikacji między LGD i mieszkańcami, zdecydowana większość ankietowanych wskazała: „informacje na stronie internetowej LGD”, a także „media społecznościowe” (po 75%).</w:t>
      </w:r>
    </w:p>
    <w:p w14:paraId="62DD139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dniach 09.03–07.04.2023 r. przeprowadzono otwarty nabór fiszek projektowych, tj. propozycji projektów do wdrażania w ramach LSR. W ramach naboru nie wpłynęły żadne fiszki, co świadczy o niskiej aktywności społecznej mieszkańców. Zasadne jest więc podjęcie wszelkich działań pobudzających aktywność środowisk lokalnych oraz stymulujących współpracę na rzecz rozwoju i</w:t>
      </w:r>
      <w:r w:rsidR="000B7347" w:rsidRPr="00CE5D9A">
        <w:rPr>
          <w:rFonts w:ascii="Times New Roman" w:hAnsi="Times New Roman"/>
        </w:rPr>
        <w:t xml:space="preserve"> promocji wartości związanych z </w:t>
      </w:r>
      <w:r w:rsidRPr="00CE5D9A">
        <w:rPr>
          <w:rFonts w:ascii="Times New Roman" w:hAnsi="Times New Roman"/>
        </w:rPr>
        <w:t>miejscową specyfiką społeczną i kulturową.</w:t>
      </w:r>
      <w:r w:rsidRPr="00CE5D9A">
        <w:rPr>
          <w:sz w:val="23"/>
          <w:szCs w:val="23"/>
        </w:rPr>
        <w:t xml:space="preserve"> </w:t>
      </w:r>
    </w:p>
    <w:p w14:paraId="56469BF1" w14:textId="7A296BAE"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Na etapie opracowania LSR odbyły się również posiedzenia Zespołu ds. LSR. Pierwsze spotkanie miało charakter informacyjno-warsztatowy. Zespołowi przedstawiono </w:t>
      </w:r>
      <w:r w:rsidRPr="00CE5D9A">
        <w:rPr>
          <w:rFonts w:ascii="Times New Roman" w:hAnsi="Times New Roman"/>
          <w:i/>
          <w:iCs/>
        </w:rPr>
        <w:t>Diagnozę obszaru na potrzeby Lokalnej Strategii Rozwoju</w:t>
      </w:r>
      <w:r w:rsidRPr="00CE5D9A">
        <w:rPr>
          <w:rFonts w:ascii="Times New Roman" w:hAnsi="Times New Roman"/>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wykorzystaniu dziedzictwa kulturowego i międzypokoleniowości. Zauważono, że atutem obszaru LGD są również: bliskie sąsiedztwo Krakowa, działalność rzemieślnicza – kowalstwo sułkowickie, a także potencjał Tokarni, która jest zagłębiem artystów. Należy podejmować działania ukierunkowane na wzmacnianie potencjału organizacji pozarządowych na rzecz budowania oferty czasu wolnego, tworzenia atrakcyjnej infrastruktury publicznej oraz rekreacyjno-sportowej, a także poprzez kultywowanie folkloru, tradycji i organizację wydarzeń promujących lokalne zasoby. Podczas dyskusji omówiono m.in. poziom innowacyjności obszaru oraz jakie działania należy podjąć w celu jej zwiększenia. Wspólnie zdecydowano, że podczas realizacji LSR duży nacisk zostanie położony na animowanie mieszkańców do wdrażania innowacji, w tym celu mieszkańcy podczas różnych spotkań, warsztatów i szkoleń będą informowani o możliwościach zwiększenia innowacyjności usług, produktów itd. Na spotkaniu dyskutowano także o wdrażaniu operacji w partnerstwie, czyli takich, które są realizowane przez partnerów z obszaru jednej LSR oraz projektów partnerskich, które składają się z kilku operacji realizowanych przez partnerów z obszarów wykraczających poza jedną LSR</w:t>
      </w:r>
      <w:r w:rsidRPr="00CE5D9A">
        <w:rPr>
          <w:rStyle w:val="Odwoanieprzypisudolnego"/>
          <w:rFonts w:ascii="Times New Roman" w:hAnsi="Times New Roman"/>
        </w:rPr>
        <w:footnoteReference w:id="6"/>
      </w:r>
      <w:r w:rsidRPr="00CE5D9A">
        <w:rPr>
          <w:rFonts w:ascii="Times New Roman" w:hAnsi="Times New Roman"/>
        </w:rPr>
        <w:t>. Uczestnicy spotkania wspólnie zdecydowali, że należy wdrażać zarówno operacje w partnerstwie jak i projekty partnerskie z partnerami krajowymi i zagranicznymi dla osiągniecia lepszych efektów wdrażania LSR. Podczas rozmowy analizowano też opinie mieszkańców oraz dane statystyczne pod kątem osób w niekorzystnej sytuacji. Zebrani zdecydowali, że należy kontynuować działania z poprzedn</w:t>
      </w:r>
      <w:r w:rsidR="000B7347" w:rsidRPr="00CE5D9A">
        <w:rPr>
          <w:rFonts w:ascii="Times New Roman" w:hAnsi="Times New Roman"/>
        </w:rPr>
        <w:t xml:space="preserve">iej LSR i nadal wspierać osoby </w:t>
      </w:r>
      <w:r w:rsidRPr="00CE5D9A">
        <w:rPr>
          <w:rFonts w:ascii="Times New Roman" w:hAnsi="Times New Roman"/>
        </w:rPr>
        <w:t>z</w:t>
      </w:r>
      <w:r w:rsidR="000B7347" w:rsidRPr="00CE5D9A">
        <w:rPr>
          <w:rFonts w:ascii="Times New Roman" w:hAnsi="Times New Roman"/>
        </w:rPr>
        <w:t> </w:t>
      </w:r>
      <w:r w:rsidRPr="00CE5D9A">
        <w:rPr>
          <w:rFonts w:ascii="Times New Roman" w:hAnsi="Times New Roman"/>
        </w:rPr>
        <w:t>niepełnosprawnością. Grupa ta ma znikomy dostęp do środków u</w:t>
      </w:r>
      <w:r w:rsidR="000B7347" w:rsidRPr="00CE5D9A">
        <w:rPr>
          <w:rFonts w:ascii="Times New Roman" w:hAnsi="Times New Roman"/>
        </w:rPr>
        <w:t>trzymania i egzystuje głównie z </w:t>
      </w:r>
      <w:r w:rsidRPr="00CE5D9A">
        <w:rPr>
          <w:rFonts w:ascii="Times New Roman" w:hAnsi="Times New Roman"/>
        </w:rPr>
        <w:t xml:space="preserve">zasiłków opiekuńczych i celowych, co z góry przekreśla możliwości jej startu w prowadzeniu własnej działalności gospodarczej. Wskazano również na potrzebę zwiększenia aktywności społecznej oraz wsparcie dla osób w niekorzystnej sytuacji poprzez poprawę jakości życia i usług społecznych dla mieszkańców, co potwierdzają informacje zebrane podczas spotkań z mieszkańcami obszaru LGD oraz wyniki ankiety diagnostycznej na potrzeby opracowania LSR. </w:t>
      </w:r>
    </w:p>
    <w:p w14:paraId="6DD95CF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Ponadto zwrócono uwagę na kontynuację wspierania przedsiębiorczości, w tym na rzecz tworzenia nowych miejsc pracy i rozwijania istniejących przedsiębiorstw działających w branżach lokalnych oraz rekomendacje płynące raportu ewaluacyjnego: „</w:t>
      </w:r>
      <w:r w:rsidRPr="00CE5D9A">
        <w:rPr>
          <w:rFonts w:ascii="Times New Roman" w:hAnsi="Times New Roman"/>
          <w:i/>
          <w:iCs/>
        </w:rPr>
        <w:t>obecne działania LGD pozytywnie wpłynęły na rozwój przedsiębiorczości w badanym obszarze, a przeprowadzone badania wśród mieszkańców terenu LGD jednoznacznie wskazują na dalszą potrzebę wsparcia w obszarze zarówno podejmowania jak i rozwijania przedsiębiorczości w nowej perspektywie finansowej</w:t>
      </w:r>
      <w:r w:rsidRPr="00CE5D9A">
        <w:rPr>
          <w:rFonts w:ascii="Times New Roman" w:hAnsi="Times New Roman"/>
        </w:rPr>
        <w:t>”</w:t>
      </w:r>
      <w:r w:rsidRPr="00CE5D9A">
        <w:rPr>
          <w:rStyle w:val="Odwoanieprzypisudolnego"/>
          <w:rFonts w:ascii="Times New Roman" w:hAnsi="Times New Roman"/>
        </w:rPr>
        <w:footnoteReference w:id="7"/>
      </w:r>
      <w:r w:rsidRPr="00CE5D9A">
        <w:rPr>
          <w:rFonts w:ascii="Times New Roman" w:hAnsi="Times New Roman"/>
        </w:rPr>
        <w:t>.</w:t>
      </w:r>
    </w:p>
    <w:p w14:paraId="46CF7513"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Wypracowanie analizy SWOT oraz diagnozy obszaru było fundamentem stworzenia całego dokumentu. Na ich podstawie zostały sporządzone kolejne elementy LSR, które następ</w:t>
      </w:r>
      <w:r w:rsidR="000B7347" w:rsidRPr="00CE5D9A">
        <w:rPr>
          <w:rFonts w:ascii="Times New Roman" w:hAnsi="Times New Roman"/>
        </w:rPr>
        <w:t>nie były szczegółowo omawiane i </w:t>
      </w:r>
      <w:r w:rsidRPr="00CE5D9A">
        <w:rPr>
          <w:rFonts w:ascii="Times New Roman" w:hAnsi="Times New Roman"/>
        </w:rPr>
        <w:t>poddawane dalszym konsultacjom społecznym. Zespół ds. LSR wszystkie zgłoszone uwagi i spostrzeżenia poddał dogłębnej analizie, a te z nich, które uznał za zasadne, uwzględniono podczas dalszych prac nad tworzeniem dokumentu.</w:t>
      </w:r>
    </w:p>
    <w:p w14:paraId="1FCB268E"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lastRenderedPageBreak/>
        <w:t>Ponadto wszystkie dokumenty przygotowane przez Zespół ds. LSR, na podstawie przeprowadzonych konsultacji społecznych oraz danych statystycznych, były zamieszczane na stronie internetowej LGD w celu zapewnienia możliwości zapoznania się z nimi jak najszerszemu gronu odbiorców.</w:t>
      </w:r>
    </w:p>
    <w:p w14:paraId="4F92E875"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Projekt LSR został poddany konsultacjom społecznym, podczas których umożliwiono wszystkim zainteresowanym stronom składanie uwag pisemnych lub ustnych podczas spotkań konsultacyjnych. Konsultacje odbyły się w dniach: 22–29.05.2023 r. W ich wyniku do Biura LGD nie wpłynęły żadne uwagi. </w:t>
      </w:r>
    </w:p>
    <w:p w14:paraId="7EB48A9F" w14:textId="06B2BF94" w:rsidR="00686DFE" w:rsidRPr="00CE5D9A" w:rsidRDefault="00686DFE" w:rsidP="00D55385">
      <w:pPr>
        <w:spacing w:after="0" w:line="276" w:lineRule="auto"/>
        <w:ind w:firstLine="708"/>
        <w:jc w:val="both"/>
        <w:rPr>
          <w:rFonts w:ascii="Times New Roman" w:hAnsi="Times New Roman"/>
        </w:rPr>
      </w:pPr>
      <w:r w:rsidRPr="00CE5D9A">
        <w:rPr>
          <w:rFonts w:ascii="Times New Roman" w:hAnsi="Times New Roman"/>
        </w:rPr>
        <w:t>W celu umożliwienia komunikacji jak najszerszemu gronu odbiorców, pracownicy Biura LGD udzielali informacji oraz konsultacji na platformie społecznościowej Facebook.</w:t>
      </w:r>
      <w:r w:rsidR="00D55385" w:rsidRPr="00CE5D9A">
        <w:rPr>
          <w:rFonts w:ascii="Times New Roman" w:hAnsi="Times New Roman"/>
        </w:rPr>
        <w:t xml:space="preserve"> </w:t>
      </w:r>
      <w:r w:rsidR="00B03EB9" w:rsidRPr="00CE5D9A">
        <w:rPr>
          <w:rFonts w:ascii="Times New Roman" w:hAnsi="Times New Roman"/>
        </w:rPr>
        <w:t xml:space="preserve">W ramach prac nad zwiększeniem obszaru LGD o gminę Siepraw przeprowadzono konsultacje społeczne zakończone spotkaniem podsumowywującym w gminie Siepraw. Wskazano tam na konieczność rozszerzenia </w:t>
      </w:r>
      <w:r w:rsidR="00D55385" w:rsidRPr="00CE5D9A">
        <w:rPr>
          <w:rFonts w:ascii="Times New Roman" w:hAnsi="Times New Roman"/>
        </w:rPr>
        <w:t xml:space="preserve">kodów PKD a co zatym idzie rozszerzenie działań realizowanych w ramach LSR. Zwrócono uwagę na zróżnicowanie obszaru pod względem zapotrzebowania na rozwój i tworzenie działalności gospodarczej. Okres konsultacji zakończył się spotkaniem podsumowywującym przeprowadzonym w dniu 03.04.2025. Po zakończeniu działań konsultacyjnych w dniu 04.04.2025r LSR została przyjęta. </w:t>
      </w:r>
      <w:r w:rsidRPr="00CE5D9A">
        <w:rPr>
          <w:rFonts w:ascii="Times New Roman" w:hAnsi="Times New Roman"/>
        </w:rPr>
        <w:t xml:space="preserve">Informacje o wszystkich spotkaniach były umieszczane na stronie internetowej LGD, w mediach społecznościowych, a także na tablicach ogłoszeń w każdej z gmin obszaru, tak aby zarówno młodzi mieszkańcy regionu jak i starsi mogli uczestniczyć w spotkaniach. Podczas dyskusji każdy z mieszkańców mógł zabrać głos i wszystkie postulaty uczestników spotkań zostały uwzględnione w pracach nad dokumentem. 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przez mieszkańców i ich reprezentują. Jednymi z najbardziej zaangażowanych grup w tworzenie i wdrażanie LSR są organizacje pozarządowe oraz instytucje kultury. W spotkaniach znaczny udział miały kobiety i seniorzy. </w:t>
      </w:r>
    </w:p>
    <w:p w14:paraId="6F36EDDF" w14:textId="77777777" w:rsidR="00803EDA" w:rsidRPr="00CE5D9A" w:rsidRDefault="00803EDA">
      <w:pPr>
        <w:spacing w:after="0" w:line="276" w:lineRule="auto"/>
        <w:ind w:firstLine="708"/>
        <w:jc w:val="both"/>
        <w:rPr>
          <w:rFonts w:ascii="Times New Roman" w:hAnsi="Times New Roman"/>
        </w:rPr>
      </w:pPr>
      <w:r w:rsidRPr="00CE5D9A">
        <w:rPr>
          <w:rFonts w:ascii="Times New Roman" w:hAnsi="Times New Roman"/>
        </w:rPr>
        <w:t>Tworzenie LSR przebiegało w sposób partycypacyjny z wykorzystaniem zróżnicowanych środków komunikacji. W opracowanie dokumentu zostali zaangażowani przedstawiciele trzech sektorów z szerokim udziałem społeczności lokalnej i organizacji pozarządowych aktywnie i czynnie działających na terenie gmin LGD, tj. zarejestrowane koła gospodyń wiejskich, ochotnicze straże pożarne, sołtysi, parafie, oraz osoby ważne z punktu wdrażania LSR i rozwoju obszaru, czyli osoby powyżej 60. roku życia, osoby do 25. roku życia, przedstawiciele reprezentujący grupę osób w niekorzystnej sytuacji – niepełnosprawni i ich opiekunowie, osoby działające na rzecz i reprezentujące podmioty działające na rzecz ochrony środowiska naturalnego oraz osoby reprezentujące branżę turystyczną, kulturę, rozrywkę i edukację. Ponadto nad prawidłowością prac dotyczących LSR czuwał i pozostawał w ciągłej oraz bieżącej współpracy Zespół ds. LSR.</w:t>
      </w:r>
    </w:p>
    <w:p w14:paraId="29506472" w14:textId="61E46C5D"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Oprócz wykorzystania materiałów z szeroko prowadzonych konsultacji społecznych, przy opracowywaniu Strategii wzięto pod uwagę wyniki raportu ewaluacyjnego, a w szczególności płynące z niego rekomendacje. W związku z tym, zwrócono szczególną uwagę na dalszy rozwój gospodarki, infrastruktury rekreacyjnej i okołoturystycznej, która jest szczególnie istotna w tym obszarze, a także wsparcie działań mających na celu integrację mieszkańców poszczególnych gmin</w:t>
      </w:r>
      <w:r w:rsidR="008F6A9A" w:rsidRPr="008F6A9A">
        <w:rPr>
          <w:rFonts w:ascii="Times New Roman" w:hAnsi="Times New Roman"/>
          <w:color w:val="FF0000"/>
        </w:rPr>
        <w:t xml:space="preserve"> </w:t>
      </w:r>
      <w:r w:rsidR="008F6A9A" w:rsidRPr="00EB66C4">
        <w:rPr>
          <w:rFonts w:ascii="Times New Roman" w:hAnsi="Times New Roman"/>
          <w:color w:val="FF0000"/>
        </w:rPr>
        <w:t>LGD Regionu Myślenickiego</w:t>
      </w:r>
      <w:r w:rsidRPr="00CE5D9A">
        <w:rPr>
          <w:rFonts w:ascii="Times New Roman" w:hAnsi="Times New Roman"/>
        </w:rPr>
        <w:t xml:space="preserve"> </w:t>
      </w:r>
      <w:r w:rsidRPr="008F6A9A">
        <w:rPr>
          <w:rFonts w:ascii="Times New Roman" w:hAnsi="Times New Roman"/>
          <w:strike/>
          <w:color w:val="FF0000"/>
        </w:rPr>
        <w:t>LGD Między Dalinem i Gościbią</w:t>
      </w:r>
      <w:r w:rsidRPr="00CE5D9A">
        <w:rPr>
          <w:rFonts w:ascii="Times New Roman" w:hAnsi="Times New Roman"/>
        </w:rPr>
        <w:t>. Rekomendacje: „</w:t>
      </w:r>
      <w:r w:rsidRPr="00CE5D9A">
        <w:rPr>
          <w:rFonts w:ascii="Times New Roman" w:hAnsi="Times New Roman"/>
          <w:i/>
          <w:iCs/>
        </w:rPr>
        <w:t>Należy w przyszłości kontynuować działania mające na celu rozwój przedsiębiorczości, współpracy międzysektorowej i różnorodności, ale także działania mające na celu rozwój kapitału społecznego gmin LGD Między Dalinem i Gościbią. W przyszłości należałoby zatem kontynuować działania w zakresie podejmowania i rozwijania działalności. Należałoby także wspierać rozwój infrastruktury turystycznej tego obszaru. Należy zatem kontynuować wsparcie w zakresie turystyki i dziedzictwa kulturowego, kierując działania w rozwój infrastruktury turystycznej. Ponadto należy wspierać działalność organizacji pozarządowych, które kultywują tradycje i historię tego regionu”</w:t>
      </w:r>
      <w:r w:rsidRPr="00CE5D9A">
        <w:rPr>
          <w:rStyle w:val="Odwoanieprzypisudolnego"/>
          <w:rFonts w:ascii="Times New Roman" w:hAnsi="Times New Roman"/>
        </w:rPr>
        <w:footnoteReference w:id="8"/>
      </w:r>
      <w:r w:rsidRPr="00CE5D9A">
        <w:rPr>
          <w:rStyle w:val="Odwoanieprzypisudolnego"/>
        </w:rPr>
        <w:t>.</w:t>
      </w:r>
      <w:r w:rsidRPr="00CE5D9A">
        <w:rPr>
          <w:rStyle w:val="Odwoanieprzypisudolnego"/>
          <w:vertAlign w:val="baseline"/>
        </w:rPr>
        <w:t>.</w:t>
      </w:r>
      <w:r w:rsidRPr="00CE5D9A">
        <w:rPr>
          <w:rFonts w:ascii="Times New Roman" w:hAnsi="Times New Roman"/>
        </w:rPr>
        <w:t xml:space="preserve"> Ponadto spójność niniejszej LSR z rekomendacjami zawartymi w raporcie ewaluacyjnym przejawia się w tym, że zaplanowano kolejne działania służące tworzeniu i rozwijaniu przedsiębiorstw oraz te ukierunkowane na współpracę międzysektorową. Ponadto na spotkaniach konsultacyjno-warsztatowych mieszkańcy jednoznacznie wskazywali na duże zapotrzebowanie w tym zakresie, dodatkowo tego rodzaju potrzebę podkreślali mieszkańcy gmin obszaru LGD w ankiecie planistycznej – jako kluczowe kierunki/obszary rozwoju LGD ankietowani wskazywali: „rozwój turystyki i infrastruktury okołoturystycznej” (61% odpowiedzi) oraz jako główny obszary wsparcia wskazali „poprawę dostępu do małej infrastruktury publicznej” (75%). </w:t>
      </w:r>
    </w:p>
    <w:p w14:paraId="0C2A3A91" w14:textId="77777777" w:rsidR="00686DFE" w:rsidRPr="00CE5D9A" w:rsidRDefault="00686DFE">
      <w:pPr>
        <w:spacing w:after="0" w:line="276" w:lineRule="auto"/>
        <w:ind w:firstLine="708"/>
        <w:jc w:val="both"/>
        <w:rPr>
          <w:rFonts w:ascii="Times New Roman" w:hAnsi="Times New Roman"/>
          <w:sz w:val="24"/>
          <w:szCs w:val="24"/>
          <w:lang w:eastAsia="pl-PL"/>
        </w:rPr>
      </w:pPr>
      <w:r w:rsidRPr="00CE5D9A">
        <w:rPr>
          <w:rFonts w:ascii="Times New Roman" w:hAnsi="Times New Roman"/>
        </w:rPr>
        <w:lastRenderedPageBreak/>
        <w:t xml:space="preserve">Czynny udział w tworzeniu dokumentu brali pracownicy Biura LGD poprzez uczestniczenie w szkoleniach </w:t>
      </w:r>
      <w:r w:rsidRPr="00CE5D9A">
        <w:rPr>
          <w:rFonts w:ascii="Times New Roman" w:hAnsi="Times New Roman"/>
        </w:rPr>
        <w:br/>
        <w:t>i konsultacjach dotyczących tworzenia LSR oraz dzięki współpracy z innymi Lokalnymi Grupami Działania w celu wypracowania wspólnych stanowisk odnoszących się do poszczególnych elementów Strategii</w:t>
      </w:r>
      <w:r w:rsidRPr="00CE5D9A">
        <w:rPr>
          <w:rFonts w:ascii="Times New Roman" w:hAnsi="Times New Roman"/>
          <w:sz w:val="24"/>
          <w:szCs w:val="24"/>
          <w:lang w:eastAsia="pl-PL"/>
        </w:rPr>
        <w:t>.</w:t>
      </w:r>
    </w:p>
    <w:p w14:paraId="4B15754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Podczas wdrażania LSR planuje się aktywizować osoby młode (do 25. </w:t>
      </w:r>
      <w:r w:rsidR="00FB4F8A" w:rsidRPr="00CE5D9A">
        <w:rPr>
          <w:rFonts w:ascii="Times New Roman" w:hAnsi="Times New Roman"/>
        </w:rPr>
        <w:t>R</w:t>
      </w:r>
      <w:r w:rsidRPr="00CE5D9A">
        <w:rPr>
          <w:rFonts w:ascii="Times New Roman" w:hAnsi="Times New Roman"/>
        </w:rPr>
        <w:t xml:space="preserve">oku życia) oraz osoby starsze (po 60. </w:t>
      </w:r>
      <w:r w:rsidR="00FB4F8A" w:rsidRPr="00CE5D9A">
        <w:rPr>
          <w:rFonts w:ascii="Times New Roman" w:hAnsi="Times New Roman"/>
        </w:rPr>
        <w:t>R</w:t>
      </w:r>
      <w:r w:rsidRPr="00CE5D9A">
        <w:rPr>
          <w:rFonts w:ascii="Times New Roman" w:hAnsi="Times New Roman"/>
        </w:rPr>
        <w:t xml:space="preserve">oku życia). Na etapie przygotowania LSR włączono ludzi starszych do współpracy w LGD poprzez członkostwo w Zarządzie. Zaplanowano również realizację operacji integrujących i animujących dla tej grupy. </w:t>
      </w:r>
    </w:p>
    <w:p w14:paraId="11415C98"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informacyjno-komunikacyjnej.</w:t>
      </w:r>
    </w:p>
    <w:p w14:paraId="1389FC5A" w14:textId="77777777" w:rsidR="00686DFE" w:rsidRPr="00CE5D9A" w:rsidRDefault="00686DFE">
      <w:pPr>
        <w:pStyle w:val="Akapitzlist"/>
        <w:numPr>
          <w:ilvl w:val="0"/>
          <w:numId w:val="12"/>
        </w:numPr>
        <w:spacing w:before="240" w:line="276" w:lineRule="auto"/>
        <w:ind w:left="1134" w:hanging="357"/>
        <w:contextualSpacing w:val="0"/>
        <w:jc w:val="both"/>
        <w:outlineLvl w:val="1"/>
        <w:rPr>
          <w:rFonts w:ascii="Times New Roman" w:hAnsi="Times New Roman"/>
          <w:b/>
          <w:bCs/>
        </w:rPr>
      </w:pPr>
      <w:bookmarkStart w:id="24" w:name="_Toc135994831"/>
      <w:r w:rsidRPr="00CE5D9A">
        <w:rPr>
          <w:rFonts w:ascii="Times New Roman" w:hAnsi="Times New Roman"/>
          <w:b/>
          <w:bCs/>
        </w:rPr>
        <w:t>Etap wdrażania LSR</w:t>
      </w:r>
      <w:bookmarkEnd w:id="24"/>
    </w:p>
    <w:p w14:paraId="2FA2C6F6"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Planie komunikacji z lokalną społecznością, który posiada LGD. Zgodnie z procedurą aktualizacji, informacje o planowanych zmianach udostępnione zostaną do publicznej wiadomości za pomocą strony internetowej LGD oraz mediów społecznościowych, a także na tablicach ogłoszeń w każdej z gmin obszaru, do dalszej konsultacji społecznej.</w:t>
      </w:r>
    </w:p>
    <w:p w14:paraId="12B7A30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internetowej LGD, stron internetowych gmin oraz w mediach społecznościowych, a także poddawanie propozycji zmian do konsultacji społecznych. W zależności od rodzaju i ważności wprowadzanej zmiany, konsultacje przeprowadzane będą poprzez formularz zgłaszania uwag lub spotkania otwarte. Uwagi mieszkańców, tak jak podczas tworzenia LSR, poddawane będą analizie oraz uwzględniane będą te istotne i zasadne.</w:t>
      </w:r>
    </w:p>
    <w:p w14:paraId="29F657AE" w14:textId="77777777" w:rsidR="00803EDA" w:rsidRPr="00CE5D9A" w:rsidRDefault="00686DFE" w:rsidP="00803EDA">
      <w:pPr>
        <w:spacing w:after="0" w:line="276" w:lineRule="auto"/>
        <w:ind w:firstLine="708"/>
        <w:jc w:val="both"/>
        <w:rPr>
          <w:rFonts w:ascii="Times New Roman" w:hAnsi="Times New Roman"/>
        </w:rPr>
      </w:pPr>
      <w:r w:rsidRPr="00CE5D9A">
        <w:rPr>
          <w:rFonts w:ascii="Times New Roman" w:hAnsi="Times New Roman"/>
        </w:rPr>
        <w:t>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w:t>
      </w:r>
      <w:r w:rsidR="000B7347" w:rsidRPr="00CE5D9A">
        <w:rPr>
          <w:rFonts w:ascii="Times New Roman" w:hAnsi="Times New Roman"/>
        </w:rPr>
        <w:t xml:space="preserve">ściowe, strony internetowe LGD </w:t>
      </w:r>
      <w:r w:rsidRPr="00CE5D9A">
        <w:rPr>
          <w:rFonts w:ascii="Times New Roman" w:hAnsi="Times New Roman"/>
        </w:rPr>
        <w:t>i</w:t>
      </w:r>
      <w:r w:rsidR="000B7347" w:rsidRPr="00CE5D9A">
        <w:rPr>
          <w:rFonts w:ascii="Times New Roman" w:hAnsi="Times New Roman"/>
        </w:rPr>
        <w:t> </w:t>
      </w:r>
      <w:r w:rsidRPr="00CE5D9A">
        <w:rPr>
          <w:rFonts w:ascii="Times New Roman" w:hAnsi="Times New Roman"/>
        </w:rPr>
        <w:t>gmin zrzeszonych w LGD, rozmowy telefoniczne, podczas konsultacji będą m</w:t>
      </w:r>
      <w:r w:rsidR="000B7347" w:rsidRPr="00CE5D9A">
        <w:rPr>
          <w:rFonts w:ascii="Times New Roman" w:hAnsi="Times New Roman"/>
        </w:rPr>
        <w:t xml:space="preserve">ieli możliwość zgłaszania uwag </w:t>
      </w:r>
      <w:r w:rsidRPr="00CE5D9A">
        <w:rPr>
          <w:rFonts w:ascii="Times New Roman" w:hAnsi="Times New Roman"/>
        </w:rPr>
        <w:t>w</w:t>
      </w:r>
      <w:r w:rsidR="000B7347" w:rsidRPr="00CE5D9A">
        <w:rPr>
          <w:rFonts w:ascii="Times New Roman" w:hAnsi="Times New Roman"/>
        </w:rPr>
        <w:t> </w:t>
      </w:r>
      <w:r w:rsidRPr="00CE5D9A">
        <w:rPr>
          <w:rFonts w:ascii="Times New Roman" w:hAnsi="Times New Roman"/>
        </w:rPr>
        <w:t xml:space="preserve">formie elektronicznej, przewiduje się także transmisję </w:t>
      </w:r>
      <w:r w:rsidR="000B7347" w:rsidRPr="00CE5D9A">
        <w:rPr>
          <w:rFonts w:ascii="Times New Roman" w:hAnsi="Times New Roman"/>
        </w:rPr>
        <w:t>spotkań w czasie rzeczywistym z </w:t>
      </w:r>
      <w:r w:rsidRPr="00CE5D9A">
        <w:rPr>
          <w:rFonts w:ascii="Times New Roman" w:hAnsi="Times New Roman"/>
        </w:rPr>
        <w:t>możliwością zabierania głosu poprzez czat. 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w:t>
      </w:r>
      <w:r w:rsidR="000B7347" w:rsidRPr="00CE5D9A">
        <w:rPr>
          <w:rFonts w:ascii="Times New Roman" w:hAnsi="Times New Roman"/>
        </w:rPr>
        <w:t xml:space="preserve"> tradycyjnej (papierowej), jak </w:t>
      </w:r>
      <w:r w:rsidRPr="00CE5D9A">
        <w:rPr>
          <w:rFonts w:ascii="Times New Roman" w:hAnsi="Times New Roman"/>
        </w:rPr>
        <w:t>i</w:t>
      </w:r>
      <w:r w:rsidR="000B7347" w:rsidRPr="00CE5D9A">
        <w:rPr>
          <w:rFonts w:ascii="Times New Roman" w:hAnsi="Times New Roman"/>
        </w:rPr>
        <w:t> </w:t>
      </w:r>
      <w:r w:rsidRPr="00CE5D9A">
        <w:rPr>
          <w:rFonts w:ascii="Times New Roman" w:hAnsi="Times New Roman"/>
        </w:rPr>
        <w:t>on-line. LGD o swoich działaniach będzie informował również tradycyjnymi kanała</w:t>
      </w:r>
      <w:r w:rsidR="000B7347" w:rsidRPr="00CE5D9A">
        <w:rPr>
          <w:rFonts w:ascii="Times New Roman" w:hAnsi="Times New Roman"/>
        </w:rPr>
        <w:t xml:space="preserve">mi komunikacji, tj. ogłoszenia </w:t>
      </w:r>
      <w:r w:rsidRPr="00CE5D9A">
        <w:rPr>
          <w:rFonts w:ascii="Times New Roman" w:hAnsi="Times New Roman"/>
        </w:rPr>
        <w:t>w</w:t>
      </w:r>
      <w:r w:rsidR="000B7347" w:rsidRPr="00CE5D9A">
        <w:rPr>
          <w:rFonts w:ascii="Times New Roman" w:hAnsi="Times New Roman"/>
        </w:rPr>
        <w:t> </w:t>
      </w:r>
      <w:r w:rsidRPr="00CE5D9A">
        <w:rPr>
          <w:rFonts w:ascii="Times New Roman" w:hAnsi="Times New Roman"/>
        </w:rPr>
        <w:t xml:space="preserve">lokalnych mediach. Zaplanowane metody pozwolą na dotarcie do szerokiego grona odbiorców, zarówno tych, którzy do tej pory uczestniczyli we wdrażaniu LSR, jak i osób do tej pory niezainteresowanych współpracą w ramach LGD. Wszystkie opisane metody zostały uwzględnione w Planie komunikacji. </w:t>
      </w:r>
    </w:p>
    <w:p w14:paraId="6A8E65A8" w14:textId="1EDBCB42" w:rsidR="00803EDA" w:rsidRPr="00CE5D9A" w:rsidRDefault="00803EDA" w:rsidP="00803EDA">
      <w:pPr>
        <w:spacing w:after="0" w:line="276" w:lineRule="auto"/>
        <w:ind w:firstLine="708"/>
        <w:jc w:val="both"/>
        <w:rPr>
          <w:rFonts w:ascii="Times New Roman" w:hAnsi="Times New Roman"/>
        </w:rPr>
      </w:pPr>
      <w:r w:rsidRPr="00CE5D9A">
        <w:rPr>
          <w:rFonts w:ascii="Times New Roman" w:hAnsi="Times New Roman"/>
        </w:rPr>
        <w:t xml:space="preserve">LGD podczas bieżącej działalności będzie zbierał wnioski i uwagi w biurze, a następnie podejmował odpowiednie kroki celem poprawy przepływu informacji. </w:t>
      </w:r>
      <w:r w:rsidRPr="00CE5D9A">
        <w:rPr>
          <w:rFonts w:ascii="Times New Roman" w:eastAsia="Times New Roman" w:hAnsi="Times New Roman"/>
        </w:rPr>
        <w:t>Monitorowanie efektywności planu komunikacji będzie odbywać się w sposób ciągły, a aktualne informacje na ten temat będą publikowane na stronie internetowej LGD.</w:t>
      </w:r>
      <w:r w:rsidRPr="00CE5D9A">
        <w:rPr>
          <w:rFonts w:ascii="Times New Roman" w:hAnsi="Times New Roman"/>
        </w:rPr>
        <w:t xml:space="preserve"> </w:t>
      </w:r>
      <w:r w:rsidRPr="00CE5D9A">
        <w:rPr>
          <w:rFonts w:ascii="Times New Roman" w:eastAsia="Times New Roman" w:hAnsi="Times New Roman"/>
        </w:rPr>
        <w:t>W planie komunikacji przewidziano działania, które będą miały na celu pozyskanie informacji od przedstawicieli poszczególnych grup docelowych o funkcjonowaniu LGD oraz realizacji LSR. Informacje te będą zbierane w formie komunikacji zwrotnej dotyczącej oceny jakości pomocy świadczonej przez LGD pod kątem wprowadzenia ewentualnych korekt dotyczących np. szkolenia osób udzielających pomocy w ramach działań LGD, dotyczących np. komunikacji interpersonalnej czy szkoleń związanych z udzielaniem pomocy w przygotowywaniu wniosków aplikacyjnych. Wszystkie wnioski dotyczące działań LGD, jak i wdrażania LSR zgłaszane przez mieszkańców, a także artyk</w:t>
      </w:r>
      <w:r w:rsidR="00D55385" w:rsidRPr="00CE5D9A">
        <w:rPr>
          <w:rFonts w:ascii="Times New Roman" w:eastAsia="Times New Roman" w:hAnsi="Times New Roman"/>
        </w:rPr>
        <w:t>uły na ten temat będą</w:t>
      </w:r>
      <w:r w:rsidRPr="00CE5D9A">
        <w:rPr>
          <w:rFonts w:ascii="Times New Roman" w:eastAsia="Times New Roman" w:hAnsi="Times New Roman"/>
        </w:rPr>
        <w:t> analizowane, a na ich podstawie podejmowane będą również decyzje w zakresie zmiany sposobu wdraża</w:t>
      </w:r>
      <w:r w:rsidR="00D55385" w:rsidRPr="00CE5D9A">
        <w:rPr>
          <w:rFonts w:ascii="Times New Roman" w:eastAsia="Times New Roman" w:hAnsi="Times New Roman"/>
        </w:rPr>
        <w:t>nia LSR. Przeprowadzona będzie</w:t>
      </w:r>
      <w:r w:rsidRPr="00CE5D9A">
        <w:rPr>
          <w:rFonts w:ascii="Times New Roman" w:eastAsia="Times New Roman" w:hAnsi="Times New Roman"/>
        </w:rPr>
        <w:t xml:space="preserve"> analiza</w:t>
      </w:r>
      <w:r w:rsidR="00D55385" w:rsidRPr="00CE5D9A">
        <w:rPr>
          <w:rFonts w:ascii="Times New Roman" w:eastAsia="Times New Roman" w:hAnsi="Times New Roman"/>
        </w:rPr>
        <w:t>,</w:t>
      </w:r>
      <w:r w:rsidRPr="00CE5D9A">
        <w:rPr>
          <w:rFonts w:ascii="Times New Roman" w:eastAsia="Times New Roman" w:hAnsi="Times New Roman"/>
        </w:rPr>
        <w:t xml:space="preserve"> pozwoli zarządzającym procesem wdrażania </w:t>
      </w:r>
      <w:r w:rsidRPr="00CE5D9A">
        <w:rPr>
          <w:rFonts w:ascii="Times New Roman" w:eastAsia="Times New Roman" w:hAnsi="Times New Roman"/>
        </w:rPr>
        <w:lastRenderedPageBreak/>
        <w:t>LSR, na bieżąco obserwować poziom zgodności bieżących działań z celami określonymi w Strategii i ewentualnie podejmować decyzje o zmianach w sposobie działania lub jeśli będzie to konieczne,</w:t>
      </w:r>
      <w:r w:rsidR="00461291" w:rsidRPr="00CE5D9A">
        <w:rPr>
          <w:rFonts w:ascii="Times New Roman" w:eastAsia="Times New Roman" w:hAnsi="Times New Roman"/>
        </w:rPr>
        <w:t xml:space="preserve"> a</w:t>
      </w:r>
      <w:r w:rsidRPr="00CE5D9A">
        <w:rPr>
          <w:rFonts w:ascii="Times New Roman" w:eastAsia="Times New Roman" w:hAnsi="Times New Roman"/>
        </w:rPr>
        <w:t xml:space="preserve"> nawet przeprowadzać zmiany w LSR. Wyniki działań realizowanych za pomocą Planu komunikacji będą na bieżąco upubliczniane za pomocą internetowych środków przekazu. Wykazy zestawień i raportów powinny pojawiać się systematycznie na stronie internetowej LGD.</w:t>
      </w:r>
    </w:p>
    <w:p w14:paraId="73DEC7C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Udział mieszkańców obszaru LGD reprezentujących różne sektory w tworzeniu Strategii był niewystarczający. To pokazało, iż mieszkańcy nie są zainteresowani udziałem w życiu społecznym obszaru. Dlatego bardzo istotne są działania angażujące mieszkańców we współpracę na rzecz regionu. Pierwszym działaniem w tym kierunku będzie organizacja konferencji otwierającej wdrażanie nowej LSR, na której uczestnicy zostaną zapoznani z możliwościami jakie płyną z wdrażania założeń dokumentu.</w:t>
      </w:r>
    </w:p>
    <w:p w14:paraId="44A21C4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1A233EF0" w14:textId="4AF41DE1" w:rsidR="00686DFE" w:rsidRPr="00CE5D9A" w:rsidRDefault="00686DFE">
      <w:pPr>
        <w:spacing w:after="0" w:line="276" w:lineRule="auto"/>
        <w:ind w:firstLine="708"/>
        <w:jc w:val="both"/>
        <w:rPr>
          <w:rFonts w:ascii="Times New Roman" w:hAnsi="Times New Roman"/>
        </w:rPr>
      </w:pPr>
      <w:r w:rsidRPr="00CE5D9A">
        <w:rPr>
          <w:rFonts w:ascii="Times New Roman" w:hAnsi="Times New Roman"/>
          <w:shd w:val="clear" w:color="auto" w:fill="FFFFFF" w:themeFill="background1"/>
        </w:rPr>
        <w:t>W kontekście partycypacji ważna jest również współpraca wewnątrz LGD. W związku z ty</w:t>
      </w:r>
      <w:r w:rsidR="00461291" w:rsidRPr="00CE5D9A">
        <w:rPr>
          <w:rFonts w:ascii="Times New Roman" w:hAnsi="Times New Roman"/>
          <w:shd w:val="clear" w:color="auto" w:fill="FFFFFF" w:themeFill="background1"/>
        </w:rPr>
        <w:t>m zakłada się, iż raz minimum raz w roku</w:t>
      </w:r>
      <w:r w:rsidRPr="00CE5D9A">
        <w:rPr>
          <w:rFonts w:ascii="Times New Roman" w:hAnsi="Times New Roman"/>
          <w:shd w:val="clear" w:color="auto" w:fill="FFFFFF" w:themeFill="background1"/>
        </w:rPr>
        <w:t xml:space="preserve"> będą odbywały się spotkania jak najszerszej grupy członków w celu omawiania bieżących spraw oraz monitorowania przebiegu realizacji założeń Strategii, a także rozważania wprowadzenia zmian w założeniach. Ponadto planuje się zwiększenie częstotliwości i ilości decyzji podejmowanych w sposób kolegialny. LGD będzie otwarta na inicjatywy członków i będzie do takich inicjatyw zachęcała poprzez zaproszenia do zgłaszania</w:t>
      </w:r>
      <w:r w:rsidRPr="00CE5D9A">
        <w:rPr>
          <w:rFonts w:ascii="Times New Roman" w:hAnsi="Times New Roman"/>
        </w:rPr>
        <w:t xml:space="preserve"> propozycji dotyczących funkcjonowania LGD i wdrażania LSR (konkursy). Sugestie członków LGD jak i zwykłych mieszkańców będą brane pod uwagę przez Zarząd Stowarzyszenia oraz Radę. Informacje o spotkaniach członków będą zamieszczane na stronie internetowej LGD, w mediach społecznościowych, a także będą rozsyłane wiadomości o spotkaniach drogą mailową bądź w wiadomości SMS, w zależności od wyboru drogi komunikacji przez członków. </w:t>
      </w:r>
    </w:p>
    <w:p w14:paraId="553235AF" w14:textId="1C0D9135"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Członkowie</w:t>
      </w:r>
      <w:r w:rsidR="008F6A9A">
        <w:rPr>
          <w:rFonts w:ascii="Times New Roman" w:hAnsi="Times New Roman"/>
        </w:rPr>
        <w:t xml:space="preserve"> </w:t>
      </w:r>
      <w:r w:rsidR="008F6A9A" w:rsidRPr="00EB66C4">
        <w:rPr>
          <w:rFonts w:ascii="Times New Roman" w:hAnsi="Times New Roman"/>
          <w:color w:val="FF0000"/>
        </w:rPr>
        <w:t>LGD Regionu Myślenickiego</w:t>
      </w:r>
      <w:r w:rsidRPr="00CE5D9A">
        <w:rPr>
          <w:rFonts w:ascii="Times New Roman" w:hAnsi="Times New Roman"/>
        </w:rPr>
        <w:t xml:space="preserve"> </w:t>
      </w:r>
      <w:r w:rsidRPr="008F6A9A">
        <w:rPr>
          <w:rFonts w:ascii="Times New Roman" w:hAnsi="Times New Roman"/>
          <w:strike/>
          <w:color w:val="FF0000"/>
        </w:rPr>
        <w:t>LGD Między Dalinem i Gościbią</w:t>
      </w:r>
      <w:r w:rsidRPr="008F6A9A">
        <w:rPr>
          <w:rFonts w:ascii="Times New Roman" w:hAnsi="Times New Roman"/>
          <w:color w:val="FF0000"/>
        </w:rPr>
        <w:t xml:space="preserve"> </w:t>
      </w:r>
      <w:r w:rsidRPr="00CE5D9A">
        <w:rPr>
          <w:rFonts w:ascii="Times New Roman" w:hAnsi="Times New Roman"/>
        </w:rPr>
        <w:t xml:space="preserve">zdają sobie sprawę, że samo informowanie mieszkańców, iż mogą brać udział w 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 lokalnej społeczności. </w:t>
      </w:r>
    </w:p>
    <w:p w14:paraId="456DFB06" w14:textId="1B9BA244" w:rsidR="00686DFE" w:rsidRPr="00CE5D9A" w:rsidRDefault="00686DFE" w:rsidP="00557981">
      <w:pPr>
        <w:spacing w:after="0" w:line="276" w:lineRule="auto"/>
        <w:ind w:firstLine="708"/>
        <w:jc w:val="both"/>
        <w:rPr>
          <w:rFonts w:ascii="Times New Roman" w:hAnsi="Times New Roman"/>
          <w:b/>
          <w:bCs/>
        </w:rPr>
      </w:pPr>
      <w:r w:rsidRPr="00CE5D9A">
        <w:rPr>
          <w:rFonts w:ascii="Times New Roman" w:hAnsi="Times New Roman"/>
        </w:rPr>
        <w:t>W związku z powyższym pracownicy Biura LGD będą organizowali spotkania otwarte oraz spotkania online przez cały okres wdrażania LSR oraz przed ogłaszaniem naborów wniosków, na którym będą informować mieszkańców o możliwościach realizacji projektów w partnerstwie oraz innowacyjnych. Podczas spotkań mieszkańcy dowiedzą się jakie korzyści płyną z współpracy partnerskiej oraz jak wdrażanie rozwiązań innowacyjnych wpłynie na rozwój obszaru. W spotkaniach będą uczestniczyć również potencjalni partnerzy z obszaru LGD oraz spoza niego. Ponadto raz w roku LGD planuje udział w wydarzeniu otwartym, na którym będzie prezentowała informacje na temat wdrażania LSR gdzie również zostanie uwzględniony temat wyżej opisanych projektów. Ważnym zadaniem stojącym przed LGD jest zachęcanie mieszkańców z różnych grup do podejmowania działania w partnerstwie. W związku z tym powstanie również baza z projektami partnerskimi, które będą zgłaszane przez mieszkańców obszaru, , którzy będą chcieli realizować projekty zarówno z partnerami z obszaru oraz spoza niego. Oprócz spotkań z członkami oraz potencjalnymi partnerami z obszaru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grantowe oraz własne. 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2743FC83" w14:textId="77777777" w:rsidR="00686DFE" w:rsidRPr="00CE5D9A" w:rsidRDefault="00686DFE">
      <w:pPr>
        <w:spacing w:after="0" w:line="276" w:lineRule="auto"/>
        <w:jc w:val="both"/>
        <w:rPr>
          <w:rFonts w:ascii="Times New Roman" w:hAnsi="Times New Roman"/>
        </w:rPr>
      </w:pPr>
      <w:r w:rsidRPr="00CE5D9A">
        <w:rPr>
          <w:rFonts w:ascii="Times New Roman" w:hAnsi="Times New Roman"/>
        </w:rPr>
        <w:tab/>
        <w:t xml:space="preserve">W ramach wdrażania niniejszej LSR zaplanowano preferencje punktowe dla projektów realizowanych w partnerstwie, co przyczyni się do rozwinięcia współpracy między podmiotami z obszaru LGD, zwiększenia zainteresowania, a docelowo realizacji projektów partnerskich. LSR jest narzędziem prowadzącym do uruchomienia potencjałów i kreatywności różnych podmiotów lokalnych, które poprzez współpracę i </w:t>
      </w:r>
      <w:r w:rsidRPr="00CE5D9A">
        <w:rPr>
          <w:rFonts w:ascii="Times New Roman" w:hAnsi="Times New Roman"/>
        </w:rPr>
        <w:lastRenderedPageBreak/>
        <w:t xml:space="preserve">komplementarne wykorzystywanie posiadanych zasobów będą tworzyć nowe wartości odpowiadające na oczekiwania społeczności lokalnych. Dlatego proces wdrażania Strategii opierać się będzie na partnerstwie lokalnym, w którym powinny uczestniczyć różne sektory.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grantowe. </w:t>
      </w:r>
    </w:p>
    <w:p w14:paraId="763AE436" w14:textId="77777777" w:rsidR="00686DFE" w:rsidRPr="00CE5D9A" w:rsidRDefault="00686DFE">
      <w:pPr>
        <w:spacing w:after="0" w:line="276" w:lineRule="auto"/>
        <w:jc w:val="both"/>
        <w:rPr>
          <w:rFonts w:ascii="Times New Roman" w:hAnsi="Times New Roman"/>
        </w:rPr>
      </w:pPr>
      <w:r w:rsidRPr="00CE5D9A">
        <w:rPr>
          <w:rFonts w:ascii="Times New Roman" w:hAnsi="Times New Roman"/>
        </w:rPr>
        <w:tab/>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4C51D56A"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spotkania informacyjne w obiektach dostępnych), dostępności cyfrowej oraz dostępności informacyjno-komunikacyjnej.</w:t>
      </w:r>
    </w:p>
    <w:p w14:paraId="7A752FA0" w14:textId="78C736A5" w:rsidR="00686DFE" w:rsidRPr="00CE5D9A" w:rsidRDefault="00686DFE">
      <w:pPr>
        <w:rPr>
          <w:rFonts w:ascii="Times New Roman" w:hAnsi="Times New Roman"/>
        </w:rPr>
      </w:pPr>
      <w:r w:rsidRPr="00CE5D9A">
        <w:rPr>
          <w:rFonts w:ascii="Times New Roman" w:hAnsi="Times New Roman"/>
        </w:rPr>
        <w:br w:type="page"/>
      </w:r>
    </w:p>
    <w:p w14:paraId="7CB11172" w14:textId="77777777" w:rsidR="00686DFE" w:rsidRPr="00CE5D9A" w:rsidRDefault="00686DFE">
      <w:pPr>
        <w:pStyle w:val="Akapitzlist"/>
        <w:numPr>
          <w:ilvl w:val="0"/>
          <w:numId w:val="2"/>
        </w:numPr>
        <w:spacing w:after="0" w:line="276" w:lineRule="auto"/>
        <w:jc w:val="both"/>
        <w:outlineLvl w:val="0"/>
        <w:rPr>
          <w:rFonts w:ascii="Times New Roman" w:hAnsi="Times New Roman"/>
          <w:b/>
          <w:bCs/>
        </w:rPr>
      </w:pPr>
      <w:bookmarkStart w:id="25" w:name="_Toc135994832"/>
      <w:r w:rsidRPr="00CE5D9A">
        <w:rPr>
          <w:rFonts w:ascii="Times New Roman" w:hAnsi="Times New Roman"/>
          <w:b/>
          <w:bCs/>
        </w:rPr>
        <w:lastRenderedPageBreak/>
        <w:t>ANALIZA POTRZEB I POTENCJAŁU LSR</w:t>
      </w:r>
      <w:bookmarkEnd w:id="25"/>
    </w:p>
    <w:p w14:paraId="2FF73A3A" w14:textId="77777777" w:rsidR="00686DFE" w:rsidRPr="00CE5D9A" w:rsidRDefault="00686DFE">
      <w:pPr>
        <w:pStyle w:val="Akapitzlist"/>
        <w:numPr>
          <w:ilvl w:val="0"/>
          <w:numId w:val="14"/>
        </w:numPr>
        <w:spacing w:before="240" w:line="276" w:lineRule="auto"/>
        <w:ind w:left="1134" w:hanging="357"/>
        <w:contextualSpacing w:val="0"/>
        <w:jc w:val="both"/>
        <w:outlineLvl w:val="1"/>
        <w:rPr>
          <w:rFonts w:ascii="Times New Roman" w:hAnsi="Times New Roman"/>
          <w:b/>
          <w:bCs/>
        </w:rPr>
      </w:pPr>
      <w:bookmarkStart w:id="26" w:name="_Toc135994833"/>
      <w:r w:rsidRPr="00CE5D9A">
        <w:rPr>
          <w:rFonts w:ascii="Times New Roman" w:hAnsi="Times New Roman"/>
          <w:b/>
          <w:bCs/>
        </w:rPr>
        <w:t>Potrzeby rozwojowe i potencjały obszaru</w:t>
      </w:r>
      <w:bookmarkEnd w:id="26"/>
    </w:p>
    <w:p w14:paraId="3A8187A1" w14:textId="77777777" w:rsidR="00686DFE" w:rsidRPr="00CE5D9A" w:rsidRDefault="00686DFE">
      <w:pPr>
        <w:pStyle w:val="Akapitzlist"/>
        <w:spacing w:before="240" w:line="276" w:lineRule="auto"/>
        <w:ind w:left="0" w:firstLine="708"/>
        <w:jc w:val="both"/>
        <w:rPr>
          <w:rFonts w:ascii="Times New Roman" w:hAnsi="Times New Roman"/>
        </w:rPr>
      </w:pPr>
      <w:r w:rsidRPr="00CE5D9A">
        <w:rPr>
          <w:rFonts w:ascii="Times New Roman" w:hAnsi="Times New Roman"/>
        </w:rPr>
        <w:t xml:space="preserve">Podstawę przygotowania jakiejkolwiek strategii rozwoju stanowi dobrze przeprowadzona diagnoza obszaru dotycząca problemów i potrzeb, jak również zasobów i potencjału danego terytorium i danej społeczności. Na cele opracowania LSR opracowana została w I kwartale 2023 r. </w:t>
      </w:r>
      <w:r w:rsidRPr="00CE5D9A">
        <w:rPr>
          <w:rFonts w:ascii="Times New Roman" w:hAnsi="Times New Roman"/>
          <w:i/>
          <w:iCs/>
        </w:rPr>
        <w:t>Diagnoza obszaru na potrzeby Lokalnej Strategii Rozwoju</w:t>
      </w:r>
      <w:r w:rsidRPr="00CE5D9A">
        <w:rPr>
          <w:rFonts w:ascii="Times New Roman" w:hAnsi="Times New Roman"/>
        </w:rPr>
        <w:t xml:space="preserve">. W niniejszym rozdziale LSR przytoczono te jej zapisy i wyniki analiz, które mają szczególne znaczenie dla obszaru. </w:t>
      </w:r>
      <w:r w:rsidR="000B7347" w:rsidRPr="00CE5D9A">
        <w:rPr>
          <w:rFonts w:ascii="Times New Roman" w:hAnsi="Times New Roman"/>
        </w:rPr>
        <w:t>Informacje zostały uzupełnione o dane Gminy Siepraw, której obszar nie został objęty żadną Strat</w:t>
      </w:r>
      <w:r w:rsidR="00A5148B" w:rsidRPr="00CE5D9A">
        <w:rPr>
          <w:rFonts w:ascii="Times New Roman" w:hAnsi="Times New Roman"/>
        </w:rPr>
        <w:t>egią LGD wybraną do realizacji.</w:t>
      </w:r>
    </w:p>
    <w:p w14:paraId="163D0D0C" w14:textId="77777777" w:rsidR="00686DFE" w:rsidRPr="00CE5D9A" w:rsidRDefault="00686DFE">
      <w:pPr>
        <w:pStyle w:val="Akapitzlist"/>
        <w:numPr>
          <w:ilvl w:val="1"/>
          <w:numId w:val="15"/>
        </w:numPr>
        <w:spacing w:before="240"/>
        <w:ind w:left="1701" w:hanging="567"/>
        <w:contextualSpacing w:val="0"/>
        <w:rPr>
          <w:rFonts w:ascii="Times New Roman" w:hAnsi="Times New Roman"/>
          <w:b/>
          <w:bCs/>
        </w:rPr>
      </w:pPr>
      <w:r w:rsidRPr="00CE5D9A">
        <w:rPr>
          <w:rFonts w:ascii="Times New Roman" w:hAnsi="Times New Roman"/>
          <w:b/>
          <w:bCs/>
        </w:rPr>
        <w:t>Demografia</w:t>
      </w:r>
    </w:p>
    <w:p w14:paraId="3F2A4BDE" w14:textId="77777777" w:rsidR="00686DFE" w:rsidRPr="00CE5D9A" w:rsidRDefault="00686DFE">
      <w:pPr>
        <w:spacing w:line="276" w:lineRule="auto"/>
        <w:ind w:firstLine="708"/>
        <w:jc w:val="both"/>
        <w:rPr>
          <w:rFonts w:ascii="Times New Roman" w:hAnsi="Times New Roman"/>
        </w:rPr>
      </w:pPr>
      <w:bookmarkStart w:id="27" w:name="_Toc120467244"/>
      <w:bookmarkStart w:id="28" w:name="_Toc134966352"/>
      <w:r w:rsidRPr="00CE5D9A">
        <w:rPr>
          <w:rFonts w:ascii="Times New Roman" w:hAnsi="Times New Roman"/>
        </w:rPr>
        <w:t xml:space="preserve">Zgodnie z danymi Głównego Urzędu Statystycznego na dzień 31 grudnia 2020 roku, obszar objęty strategią rozwoju lokalnego kierowanego przez społeczność zamieszkiwało </w:t>
      </w:r>
      <w:r w:rsidR="000B7347" w:rsidRPr="00CE5D9A">
        <w:rPr>
          <w:rFonts w:ascii="Times New Roman" w:hAnsi="Times New Roman"/>
        </w:rPr>
        <w:t>113 626</w:t>
      </w:r>
      <w:r w:rsidRPr="00CE5D9A">
        <w:rPr>
          <w:rFonts w:ascii="Times New Roman" w:hAnsi="Times New Roman"/>
        </w:rPr>
        <w:t xml:space="preserve"> osób, w tym 5</w:t>
      </w:r>
      <w:r w:rsidR="00AA6EB3" w:rsidRPr="00CE5D9A">
        <w:rPr>
          <w:rFonts w:ascii="Times New Roman" w:hAnsi="Times New Roman"/>
        </w:rPr>
        <w:t>7</w:t>
      </w:r>
      <w:r w:rsidRPr="00CE5D9A">
        <w:rPr>
          <w:rFonts w:ascii="Times New Roman" w:hAnsi="Times New Roman"/>
        </w:rPr>
        <w:t xml:space="preserve"> </w:t>
      </w:r>
      <w:r w:rsidR="00AA6EB3" w:rsidRPr="00CE5D9A">
        <w:rPr>
          <w:rFonts w:ascii="Times New Roman" w:hAnsi="Times New Roman"/>
        </w:rPr>
        <w:t>404 kobiety (50,52</w:t>
      </w:r>
      <w:r w:rsidRPr="00CE5D9A">
        <w:rPr>
          <w:rFonts w:ascii="Times New Roman" w:hAnsi="Times New Roman"/>
        </w:rPr>
        <w:t>%) i 5</w:t>
      </w:r>
      <w:r w:rsidR="00AA6EB3" w:rsidRPr="00CE5D9A">
        <w:rPr>
          <w:rFonts w:ascii="Times New Roman" w:hAnsi="Times New Roman"/>
        </w:rPr>
        <w:t>6</w:t>
      </w:r>
      <w:r w:rsidRPr="00CE5D9A">
        <w:rPr>
          <w:rFonts w:ascii="Times New Roman" w:hAnsi="Times New Roman"/>
        </w:rPr>
        <w:t xml:space="preserve"> </w:t>
      </w:r>
      <w:r w:rsidR="00AA6EB3" w:rsidRPr="00CE5D9A">
        <w:rPr>
          <w:rFonts w:ascii="Times New Roman" w:hAnsi="Times New Roman"/>
        </w:rPr>
        <w:t>222</w:t>
      </w:r>
      <w:r w:rsidRPr="00CE5D9A">
        <w:rPr>
          <w:rFonts w:ascii="Times New Roman" w:hAnsi="Times New Roman"/>
        </w:rPr>
        <w:t xml:space="preserve"> mężczyzn (49,4</w:t>
      </w:r>
      <w:r w:rsidR="00AA6EB3" w:rsidRPr="00CE5D9A">
        <w:rPr>
          <w:rFonts w:ascii="Times New Roman" w:hAnsi="Times New Roman"/>
        </w:rPr>
        <w:t>8</w:t>
      </w:r>
      <w:r w:rsidRPr="00CE5D9A">
        <w:rPr>
          <w:rFonts w:ascii="Times New Roman" w:hAnsi="Times New Roman"/>
        </w:rPr>
        <w:t>%), co stanowiło 8</w:t>
      </w:r>
      <w:r w:rsidR="00AA6EB3" w:rsidRPr="00CE5D9A">
        <w:rPr>
          <w:rFonts w:ascii="Times New Roman" w:hAnsi="Times New Roman"/>
        </w:rPr>
        <w:t>8,01</w:t>
      </w:r>
      <w:r w:rsidRPr="00CE5D9A">
        <w:rPr>
          <w:rFonts w:ascii="Times New Roman" w:hAnsi="Times New Roman"/>
        </w:rPr>
        <w:t>% ludności powiatu myślenickiego i 3,</w:t>
      </w:r>
      <w:r w:rsidR="00AA6EB3" w:rsidRPr="00CE5D9A">
        <w:rPr>
          <w:rFonts w:ascii="Times New Roman" w:hAnsi="Times New Roman"/>
        </w:rPr>
        <w:t>31</w:t>
      </w:r>
      <w:r w:rsidRPr="00CE5D9A">
        <w:rPr>
          <w:rFonts w:ascii="Times New Roman" w:hAnsi="Times New Roman"/>
        </w:rPr>
        <w:t>% ludności województwa małopolskiego. Biorąc pod uwagę gminy wchodzące w skład LGD, najwięcej ludzi zamieszkiwało gminę miejsko-wiejską Myślenice (45 166 osób), natomiast najmniej gminę wiejską Raciechowice (6 414 osób). Szczegółowe dane na temat liczby ludności poszczególnych gmin w 2020 r. zaprezentowano w tabeli 3.</w:t>
      </w:r>
    </w:p>
    <w:p w14:paraId="54AD5A90" w14:textId="5C3DCEE2" w:rsidR="00686DFE" w:rsidRPr="00CE5D9A" w:rsidRDefault="00686DFE">
      <w:pPr>
        <w:spacing w:after="0" w:line="240" w:lineRule="auto"/>
        <w:jc w:val="center"/>
        <w:rPr>
          <w:rFonts w:ascii="Times New Roman" w:hAnsi="Times New Roman"/>
          <w:b/>
          <w:bCs/>
          <w:sz w:val="20"/>
          <w:szCs w:val="20"/>
        </w:rPr>
      </w:pPr>
      <w:bookmarkStart w:id="29" w:name="_Toc194581427"/>
      <w:r w:rsidRPr="00CE5D9A">
        <w:rPr>
          <w:rFonts w:ascii="Times New Roman" w:hAnsi="Times New Roman"/>
          <w:b/>
          <w:bCs/>
          <w:sz w:val="20"/>
          <w:szCs w:val="20"/>
        </w:rPr>
        <w:t xml:space="preserve">Tabela </w:t>
      </w:r>
      <w:r w:rsidRPr="00CE5D9A">
        <w:rPr>
          <w:rFonts w:ascii="Times New Roman" w:hAnsi="Times New Roman"/>
          <w:i/>
          <w:iCs/>
          <w:sz w:val="18"/>
          <w:szCs w:val="18"/>
        </w:rPr>
        <w:fldChar w:fldCharType="begin"/>
      </w:r>
      <w:r w:rsidRPr="00CE5D9A">
        <w:rPr>
          <w:rFonts w:ascii="Times New Roman" w:hAnsi="Times New Roman"/>
          <w:b/>
          <w:bCs/>
          <w:sz w:val="20"/>
          <w:szCs w:val="20"/>
        </w:rPr>
        <w:instrText xml:space="preserve"> SEQ Tabela \* ARABIC </w:instrText>
      </w:r>
      <w:r w:rsidRPr="00CE5D9A">
        <w:rPr>
          <w:rFonts w:ascii="Times New Roman" w:hAnsi="Times New Roman"/>
          <w:i/>
          <w:iCs/>
          <w:sz w:val="18"/>
          <w:szCs w:val="18"/>
        </w:rPr>
        <w:fldChar w:fldCharType="separate"/>
      </w:r>
      <w:r w:rsidR="00AD7096">
        <w:rPr>
          <w:rFonts w:ascii="Times New Roman" w:hAnsi="Times New Roman"/>
          <w:b/>
          <w:bCs/>
          <w:noProof/>
          <w:sz w:val="20"/>
          <w:szCs w:val="20"/>
        </w:rPr>
        <w:t>3</w:t>
      </w:r>
      <w:r w:rsidRPr="00CE5D9A">
        <w:rPr>
          <w:rFonts w:ascii="Times New Roman" w:hAnsi="Times New Roman"/>
          <w:i/>
          <w:iCs/>
          <w:sz w:val="18"/>
          <w:szCs w:val="18"/>
        </w:rPr>
        <w:fldChar w:fldCharType="end"/>
      </w:r>
      <w:r w:rsidRPr="00CE5D9A">
        <w:rPr>
          <w:rFonts w:ascii="Times New Roman" w:hAnsi="Times New Roman"/>
          <w:b/>
          <w:bCs/>
          <w:sz w:val="20"/>
          <w:szCs w:val="20"/>
        </w:rPr>
        <w:t xml:space="preserve"> Ludność poszczególnych gmin LGD w 2020 r.</w:t>
      </w:r>
      <w:bookmarkEnd w:id="27"/>
      <w:bookmarkEnd w:id="28"/>
      <w:bookmarkEnd w:id="29"/>
    </w:p>
    <w:tbl>
      <w:tblPr>
        <w:tblW w:w="4928" w:type="pct"/>
        <w:tblCellMar>
          <w:left w:w="70" w:type="dxa"/>
          <w:right w:w="70" w:type="dxa"/>
        </w:tblCellMar>
        <w:tblLook w:val="0000" w:firstRow="0" w:lastRow="0" w:firstColumn="0" w:lastColumn="0" w:noHBand="0" w:noVBand="0"/>
      </w:tblPr>
      <w:tblGrid>
        <w:gridCol w:w="3344"/>
        <w:gridCol w:w="1250"/>
        <w:gridCol w:w="1658"/>
        <w:gridCol w:w="1629"/>
        <w:gridCol w:w="1168"/>
        <w:gridCol w:w="1146"/>
      </w:tblGrid>
      <w:tr w:rsidR="00557981" w:rsidRPr="00CE5D9A" w14:paraId="201F13A9" w14:textId="77777777">
        <w:trPr>
          <w:trHeight w:val="574"/>
        </w:trPr>
        <w:tc>
          <w:tcPr>
            <w:tcW w:w="1640" w:type="pct"/>
            <w:tcBorders>
              <w:top w:val="single" w:sz="4" w:space="0" w:color="auto"/>
              <w:left w:val="single" w:sz="4" w:space="0" w:color="auto"/>
              <w:bottom w:val="single" w:sz="4" w:space="0" w:color="auto"/>
              <w:right w:val="single" w:sz="4" w:space="0" w:color="auto"/>
            </w:tcBorders>
            <w:vAlign w:val="center"/>
          </w:tcPr>
          <w:p w14:paraId="19783B21"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Nazwa gminy</w:t>
            </w:r>
          </w:p>
        </w:tc>
        <w:tc>
          <w:tcPr>
            <w:tcW w:w="613" w:type="pct"/>
            <w:tcBorders>
              <w:top w:val="single" w:sz="4" w:space="0" w:color="auto"/>
              <w:left w:val="single" w:sz="4" w:space="0" w:color="auto"/>
              <w:bottom w:val="single" w:sz="4" w:space="0" w:color="auto"/>
              <w:right w:val="single" w:sz="4" w:space="0" w:color="auto"/>
            </w:tcBorders>
            <w:vAlign w:val="center"/>
          </w:tcPr>
          <w:p w14:paraId="34811B49"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 xml:space="preserve">Liczba ludności </w:t>
            </w:r>
          </w:p>
        </w:tc>
        <w:tc>
          <w:tcPr>
            <w:tcW w:w="813" w:type="pct"/>
            <w:tcBorders>
              <w:top w:val="single" w:sz="4" w:space="0" w:color="auto"/>
              <w:left w:val="single" w:sz="4" w:space="0" w:color="auto"/>
              <w:bottom w:val="single" w:sz="4" w:space="0" w:color="auto"/>
              <w:right w:val="single" w:sz="4" w:space="0" w:color="auto"/>
            </w:tcBorders>
            <w:vAlign w:val="center"/>
          </w:tcPr>
          <w:p w14:paraId="58007F22"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Liczba kobiet</w:t>
            </w:r>
          </w:p>
        </w:tc>
        <w:tc>
          <w:tcPr>
            <w:tcW w:w="799" w:type="pct"/>
            <w:tcBorders>
              <w:top w:val="single" w:sz="4" w:space="0" w:color="auto"/>
              <w:left w:val="single" w:sz="4" w:space="0" w:color="auto"/>
              <w:bottom w:val="single" w:sz="4" w:space="0" w:color="auto"/>
              <w:right w:val="single" w:sz="4" w:space="0" w:color="auto"/>
            </w:tcBorders>
            <w:vAlign w:val="center"/>
          </w:tcPr>
          <w:p w14:paraId="261A1D5C"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Liczba mężczyzn</w:t>
            </w:r>
          </w:p>
        </w:tc>
        <w:tc>
          <w:tcPr>
            <w:tcW w:w="573" w:type="pct"/>
            <w:tcBorders>
              <w:top w:val="single" w:sz="4" w:space="0" w:color="auto"/>
              <w:left w:val="single" w:sz="4" w:space="0" w:color="auto"/>
              <w:bottom w:val="single" w:sz="4" w:space="0" w:color="auto"/>
              <w:right w:val="single" w:sz="4" w:space="0" w:color="auto"/>
            </w:tcBorders>
            <w:vAlign w:val="center"/>
          </w:tcPr>
          <w:p w14:paraId="52E51C60"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 xml:space="preserve">Procentowy udział </w:t>
            </w:r>
          </w:p>
        </w:tc>
        <w:tc>
          <w:tcPr>
            <w:tcW w:w="562" w:type="pct"/>
            <w:tcBorders>
              <w:top w:val="single" w:sz="4" w:space="0" w:color="auto"/>
              <w:left w:val="single" w:sz="4" w:space="0" w:color="auto"/>
              <w:bottom w:val="single" w:sz="4" w:space="0" w:color="auto"/>
              <w:right w:val="single" w:sz="4" w:space="0" w:color="auto"/>
            </w:tcBorders>
            <w:vAlign w:val="center"/>
          </w:tcPr>
          <w:p w14:paraId="3A7E736E"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Gęstość zaludnienia</w:t>
            </w:r>
          </w:p>
        </w:tc>
      </w:tr>
      <w:tr w:rsidR="00557981" w:rsidRPr="00CE5D9A" w14:paraId="1306C4C1"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634205EC"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Lubień</w:t>
            </w:r>
          </w:p>
        </w:tc>
        <w:tc>
          <w:tcPr>
            <w:tcW w:w="613" w:type="pct"/>
            <w:tcBorders>
              <w:top w:val="nil"/>
              <w:left w:val="nil"/>
              <w:bottom w:val="single" w:sz="4" w:space="0" w:color="auto"/>
              <w:right w:val="single" w:sz="4" w:space="0" w:color="auto"/>
            </w:tcBorders>
            <w:noWrap/>
            <w:vAlign w:val="center"/>
          </w:tcPr>
          <w:p w14:paraId="76EA0C2B"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10 094</w:t>
            </w:r>
          </w:p>
        </w:tc>
        <w:tc>
          <w:tcPr>
            <w:tcW w:w="813" w:type="pct"/>
            <w:tcBorders>
              <w:top w:val="nil"/>
              <w:left w:val="nil"/>
              <w:bottom w:val="single" w:sz="4" w:space="0" w:color="auto"/>
              <w:right w:val="single" w:sz="4" w:space="0" w:color="auto"/>
            </w:tcBorders>
            <w:noWrap/>
            <w:vAlign w:val="center"/>
          </w:tcPr>
          <w:p w14:paraId="0BE1BADF"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5 152</w:t>
            </w:r>
          </w:p>
        </w:tc>
        <w:tc>
          <w:tcPr>
            <w:tcW w:w="799" w:type="pct"/>
            <w:tcBorders>
              <w:top w:val="nil"/>
              <w:left w:val="nil"/>
              <w:bottom w:val="single" w:sz="4" w:space="0" w:color="auto"/>
              <w:right w:val="single" w:sz="4" w:space="0" w:color="auto"/>
            </w:tcBorders>
            <w:noWrap/>
            <w:vAlign w:val="center"/>
          </w:tcPr>
          <w:p w14:paraId="6DCAAA31"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4 942</w:t>
            </w:r>
          </w:p>
        </w:tc>
        <w:tc>
          <w:tcPr>
            <w:tcW w:w="573" w:type="pct"/>
            <w:tcBorders>
              <w:top w:val="nil"/>
              <w:left w:val="nil"/>
              <w:bottom w:val="single" w:sz="4" w:space="0" w:color="auto"/>
              <w:right w:val="single" w:sz="4" w:space="0" w:color="auto"/>
            </w:tcBorders>
            <w:vAlign w:val="center"/>
          </w:tcPr>
          <w:p w14:paraId="12F007F3"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8,9</w:t>
            </w:r>
          </w:p>
        </w:tc>
        <w:tc>
          <w:tcPr>
            <w:tcW w:w="562" w:type="pct"/>
            <w:tcBorders>
              <w:top w:val="nil"/>
              <w:left w:val="nil"/>
              <w:bottom w:val="single" w:sz="4" w:space="0" w:color="auto"/>
              <w:right w:val="single" w:sz="4" w:space="0" w:color="auto"/>
            </w:tcBorders>
            <w:vAlign w:val="center"/>
          </w:tcPr>
          <w:p w14:paraId="1D6DA95B"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135</w:t>
            </w:r>
          </w:p>
        </w:tc>
      </w:tr>
      <w:tr w:rsidR="00557981" w:rsidRPr="00CE5D9A" w14:paraId="4364EC30"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05B6D88A"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Myślenice</w:t>
            </w:r>
          </w:p>
        </w:tc>
        <w:tc>
          <w:tcPr>
            <w:tcW w:w="613" w:type="pct"/>
            <w:tcBorders>
              <w:top w:val="nil"/>
              <w:left w:val="nil"/>
              <w:bottom w:val="single" w:sz="4" w:space="0" w:color="auto"/>
              <w:right w:val="single" w:sz="4" w:space="0" w:color="auto"/>
            </w:tcBorders>
            <w:noWrap/>
            <w:vAlign w:val="center"/>
          </w:tcPr>
          <w:p w14:paraId="529DD0FE"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45 166</w:t>
            </w:r>
          </w:p>
        </w:tc>
        <w:tc>
          <w:tcPr>
            <w:tcW w:w="813" w:type="pct"/>
            <w:tcBorders>
              <w:top w:val="nil"/>
              <w:left w:val="nil"/>
              <w:bottom w:val="single" w:sz="4" w:space="0" w:color="auto"/>
              <w:right w:val="single" w:sz="4" w:space="0" w:color="auto"/>
            </w:tcBorders>
            <w:noWrap/>
            <w:vAlign w:val="center"/>
          </w:tcPr>
          <w:p w14:paraId="0B677638"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22 953</w:t>
            </w:r>
          </w:p>
        </w:tc>
        <w:tc>
          <w:tcPr>
            <w:tcW w:w="799" w:type="pct"/>
            <w:tcBorders>
              <w:top w:val="nil"/>
              <w:left w:val="nil"/>
              <w:bottom w:val="single" w:sz="4" w:space="0" w:color="auto"/>
              <w:right w:val="single" w:sz="4" w:space="0" w:color="auto"/>
            </w:tcBorders>
            <w:noWrap/>
            <w:vAlign w:val="center"/>
          </w:tcPr>
          <w:p w14:paraId="1B2F02EF"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22 213</w:t>
            </w:r>
          </w:p>
        </w:tc>
        <w:tc>
          <w:tcPr>
            <w:tcW w:w="573" w:type="pct"/>
            <w:tcBorders>
              <w:top w:val="nil"/>
              <w:left w:val="nil"/>
              <w:bottom w:val="single" w:sz="4" w:space="0" w:color="auto"/>
              <w:right w:val="single" w:sz="4" w:space="0" w:color="auto"/>
            </w:tcBorders>
            <w:vAlign w:val="center"/>
          </w:tcPr>
          <w:p w14:paraId="75905453"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39,7</w:t>
            </w:r>
          </w:p>
        </w:tc>
        <w:tc>
          <w:tcPr>
            <w:tcW w:w="562" w:type="pct"/>
            <w:tcBorders>
              <w:top w:val="nil"/>
              <w:left w:val="nil"/>
              <w:bottom w:val="single" w:sz="4" w:space="0" w:color="auto"/>
              <w:right w:val="single" w:sz="4" w:space="0" w:color="auto"/>
            </w:tcBorders>
            <w:vAlign w:val="center"/>
          </w:tcPr>
          <w:p w14:paraId="3CFFFBA0"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293</w:t>
            </w:r>
          </w:p>
        </w:tc>
      </w:tr>
      <w:tr w:rsidR="00557981" w:rsidRPr="00CE5D9A" w14:paraId="750C0BC8"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11C5B6B8"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Pcim</w:t>
            </w:r>
          </w:p>
        </w:tc>
        <w:tc>
          <w:tcPr>
            <w:tcW w:w="613" w:type="pct"/>
            <w:tcBorders>
              <w:top w:val="nil"/>
              <w:left w:val="nil"/>
              <w:bottom w:val="single" w:sz="4" w:space="0" w:color="auto"/>
              <w:right w:val="single" w:sz="4" w:space="0" w:color="auto"/>
            </w:tcBorders>
            <w:noWrap/>
            <w:vAlign w:val="center"/>
          </w:tcPr>
          <w:p w14:paraId="68FF7D0B"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11 171</w:t>
            </w:r>
          </w:p>
        </w:tc>
        <w:tc>
          <w:tcPr>
            <w:tcW w:w="813" w:type="pct"/>
            <w:tcBorders>
              <w:top w:val="nil"/>
              <w:left w:val="nil"/>
              <w:bottom w:val="single" w:sz="4" w:space="0" w:color="auto"/>
              <w:right w:val="single" w:sz="4" w:space="0" w:color="auto"/>
            </w:tcBorders>
            <w:noWrap/>
            <w:vAlign w:val="center"/>
          </w:tcPr>
          <w:p w14:paraId="2C6D04C9"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5 631</w:t>
            </w:r>
          </w:p>
        </w:tc>
        <w:tc>
          <w:tcPr>
            <w:tcW w:w="799" w:type="pct"/>
            <w:tcBorders>
              <w:top w:val="nil"/>
              <w:left w:val="nil"/>
              <w:bottom w:val="single" w:sz="4" w:space="0" w:color="auto"/>
              <w:right w:val="single" w:sz="4" w:space="0" w:color="auto"/>
            </w:tcBorders>
            <w:noWrap/>
            <w:vAlign w:val="center"/>
          </w:tcPr>
          <w:p w14:paraId="6D5D5B2C"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5 540</w:t>
            </w:r>
          </w:p>
        </w:tc>
        <w:tc>
          <w:tcPr>
            <w:tcW w:w="573" w:type="pct"/>
            <w:tcBorders>
              <w:top w:val="nil"/>
              <w:left w:val="nil"/>
              <w:bottom w:val="single" w:sz="4" w:space="0" w:color="auto"/>
              <w:right w:val="single" w:sz="4" w:space="0" w:color="auto"/>
            </w:tcBorders>
            <w:vAlign w:val="center"/>
          </w:tcPr>
          <w:p w14:paraId="317FA41E"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9,8</w:t>
            </w:r>
          </w:p>
        </w:tc>
        <w:tc>
          <w:tcPr>
            <w:tcW w:w="562" w:type="pct"/>
            <w:tcBorders>
              <w:top w:val="nil"/>
              <w:left w:val="nil"/>
              <w:bottom w:val="single" w:sz="4" w:space="0" w:color="auto"/>
              <w:right w:val="single" w:sz="4" w:space="0" w:color="auto"/>
            </w:tcBorders>
            <w:vAlign w:val="center"/>
          </w:tcPr>
          <w:p w14:paraId="08C7D391"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126</w:t>
            </w:r>
          </w:p>
        </w:tc>
      </w:tr>
      <w:tr w:rsidR="00557981" w:rsidRPr="00CE5D9A" w14:paraId="22B3C620"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6A2CFB01"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Raciechowice</w:t>
            </w:r>
          </w:p>
        </w:tc>
        <w:tc>
          <w:tcPr>
            <w:tcW w:w="613" w:type="pct"/>
            <w:tcBorders>
              <w:top w:val="nil"/>
              <w:left w:val="nil"/>
              <w:bottom w:val="single" w:sz="4" w:space="0" w:color="auto"/>
              <w:right w:val="single" w:sz="4" w:space="0" w:color="auto"/>
            </w:tcBorders>
            <w:noWrap/>
            <w:vAlign w:val="center"/>
          </w:tcPr>
          <w:p w14:paraId="5AA63F3C"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6 414</w:t>
            </w:r>
          </w:p>
        </w:tc>
        <w:tc>
          <w:tcPr>
            <w:tcW w:w="813" w:type="pct"/>
            <w:tcBorders>
              <w:top w:val="nil"/>
              <w:left w:val="nil"/>
              <w:bottom w:val="single" w:sz="4" w:space="0" w:color="auto"/>
              <w:right w:val="single" w:sz="4" w:space="0" w:color="auto"/>
            </w:tcBorders>
            <w:noWrap/>
            <w:vAlign w:val="center"/>
          </w:tcPr>
          <w:p w14:paraId="36D4D3E3"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3 205</w:t>
            </w:r>
          </w:p>
        </w:tc>
        <w:tc>
          <w:tcPr>
            <w:tcW w:w="799" w:type="pct"/>
            <w:tcBorders>
              <w:top w:val="nil"/>
              <w:left w:val="nil"/>
              <w:bottom w:val="single" w:sz="4" w:space="0" w:color="auto"/>
              <w:right w:val="single" w:sz="4" w:space="0" w:color="auto"/>
            </w:tcBorders>
            <w:noWrap/>
            <w:vAlign w:val="center"/>
          </w:tcPr>
          <w:p w14:paraId="1DD1854E"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3 209</w:t>
            </w:r>
          </w:p>
        </w:tc>
        <w:tc>
          <w:tcPr>
            <w:tcW w:w="573" w:type="pct"/>
            <w:tcBorders>
              <w:top w:val="nil"/>
              <w:left w:val="nil"/>
              <w:bottom w:val="single" w:sz="4" w:space="0" w:color="auto"/>
              <w:right w:val="single" w:sz="4" w:space="0" w:color="auto"/>
            </w:tcBorders>
            <w:vAlign w:val="center"/>
          </w:tcPr>
          <w:p w14:paraId="09F3D303"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5,6</w:t>
            </w:r>
          </w:p>
        </w:tc>
        <w:tc>
          <w:tcPr>
            <w:tcW w:w="562" w:type="pct"/>
            <w:tcBorders>
              <w:top w:val="nil"/>
              <w:left w:val="nil"/>
              <w:bottom w:val="single" w:sz="4" w:space="0" w:color="auto"/>
              <w:right w:val="single" w:sz="4" w:space="0" w:color="auto"/>
            </w:tcBorders>
            <w:vAlign w:val="center"/>
          </w:tcPr>
          <w:p w14:paraId="69F2CD1D"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105</w:t>
            </w:r>
          </w:p>
        </w:tc>
      </w:tr>
      <w:tr w:rsidR="00557981" w:rsidRPr="00CE5D9A" w14:paraId="616C01D4"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65C48560"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Siepraw</w:t>
            </w:r>
          </w:p>
        </w:tc>
        <w:tc>
          <w:tcPr>
            <w:tcW w:w="613" w:type="pct"/>
            <w:tcBorders>
              <w:top w:val="nil"/>
              <w:left w:val="nil"/>
              <w:bottom w:val="single" w:sz="4" w:space="0" w:color="auto"/>
              <w:right w:val="single" w:sz="4" w:space="0" w:color="auto"/>
            </w:tcBorders>
            <w:noWrap/>
            <w:vAlign w:val="center"/>
          </w:tcPr>
          <w:p w14:paraId="3F3DA637"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9 386</w:t>
            </w:r>
          </w:p>
        </w:tc>
        <w:tc>
          <w:tcPr>
            <w:tcW w:w="813" w:type="pct"/>
            <w:tcBorders>
              <w:top w:val="nil"/>
              <w:left w:val="nil"/>
              <w:bottom w:val="single" w:sz="4" w:space="0" w:color="auto"/>
              <w:right w:val="single" w:sz="4" w:space="0" w:color="auto"/>
            </w:tcBorders>
            <w:noWrap/>
            <w:vAlign w:val="center"/>
          </w:tcPr>
          <w:p w14:paraId="3B1E6CDD"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4 713</w:t>
            </w:r>
          </w:p>
        </w:tc>
        <w:tc>
          <w:tcPr>
            <w:tcW w:w="799" w:type="pct"/>
            <w:tcBorders>
              <w:top w:val="nil"/>
              <w:left w:val="nil"/>
              <w:bottom w:val="single" w:sz="4" w:space="0" w:color="auto"/>
              <w:right w:val="single" w:sz="4" w:space="0" w:color="auto"/>
            </w:tcBorders>
            <w:noWrap/>
            <w:vAlign w:val="center"/>
          </w:tcPr>
          <w:p w14:paraId="19432ECF"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4 673</w:t>
            </w:r>
          </w:p>
        </w:tc>
        <w:tc>
          <w:tcPr>
            <w:tcW w:w="573" w:type="pct"/>
            <w:tcBorders>
              <w:top w:val="nil"/>
              <w:left w:val="nil"/>
              <w:bottom w:val="single" w:sz="4" w:space="0" w:color="auto"/>
              <w:right w:val="single" w:sz="4" w:space="0" w:color="auto"/>
            </w:tcBorders>
            <w:vAlign w:val="center"/>
          </w:tcPr>
          <w:p w14:paraId="41676A7B"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8,3</w:t>
            </w:r>
          </w:p>
        </w:tc>
        <w:tc>
          <w:tcPr>
            <w:tcW w:w="562" w:type="pct"/>
            <w:tcBorders>
              <w:top w:val="nil"/>
              <w:left w:val="nil"/>
              <w:bottom w:val="single" w:sz="4" w:space="0" w:color="auto"/>
              <w:right w:val="single" w:sz="4" w:space="0" w:color="auto"/>
            </w:tcBorders>
            <w:vAlign w:val="center"/>
          </w:tcPr>
          <w:p w14:paraId="376CBBC3"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293</w:t>
            </w:r>
          </w:p>
        </w:tc>
      </w:tr>
      <w:tr w:rsidR="00557981" w:rsidRPr="00CE5D9A" w14:paraId="77705C86"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078F01A1"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Sułkowice</w:t>
            </w:r>
          </w:p>
        </w:tc>
        <w:tc>
          <w:tcPr>
            <w:tcW w:w="613" w:type="pct"/>
            <w:tcBorders>
              <w:top w:val="nil"/>
              <w:left w:val="nil"/>
              <w:bottom w:val="single" w:sz="4" w:space="0" w:color="auto"/>
              <w:right w:val="single" w:sz="4" w:space="0" w:color="auto"/>
            </w:tcBorders>
            <w:noWrap/>
            <w:vAlign w:val="center"/>
          </w:tcPr>
          <w:p w14:paraId="143E2846"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15 053</w:t>
            </w:r>
          </w:p>
        </w:tc>
        <w:tc>
          <w:tcPr>
            <w:tcW w:w="813" w:type="pct"/>
            <w:tcBorders>
              <w:top w:val="nil"/>
              <w:left w:val="nil"/>
              <w:bottom w:val="single" w:sz="4" w:space="0" w:color="auto"/>
              <w:right w:val="single" w:sz="4" w:space="0" w:color="auto"/>
            </w:tcBorders>
            <w:noWrap/>
            <w:vAlign w:val="center"/>
          </w:tcPr>
          <w:p w14:paraId="2F9BD468"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7 668</w:t>
            </w:r>
          </w:p>
        </w:tc>
        <w:tc>
          <w:tcPr>
            <w:tcW w:w="799" w:type="pct"/>
            <w:tcBorders>
              <w:top w:val="nil"/>
              <w:left w:val="nil"/>
              <w:bottom w:val="single" w:sz="4" w:space="0" w:color="auto"/>
              <w:right w:val="single" w:sz="4" w:space="0" w:color="auto"/>
            </w:tcBorders>
            <w:noWrap/>
            <w:vAlign w:val="center"/>
          </w:tcPr>
          <w:p w14:paraId="08305E7F"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7 385</w:t>
            </w:r>
          </w:p>
        </w:tc>
        <w:tc>
          <w:tcPr>
            <w:tcW w:w="573" w:type="pct"/>
            <w:tcBorders>
              <w:top w:val="nil"/>
              <w:left w:val="nil"/>
              <w:bottom w:val="single" w:sz="4" w:space="0" w:color="auto"/>
              <w:right w:val="single" w:sz="4" w:space="0" w:color="auto"/>
            </w:tcBorders>
            <w:vAlign w:val="center"/>
          </w:tcPr>
          <w:p w14:paraId="42A5D0E7"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13,2</w:t>
            </w:r>
          </w:p>
        </w:tc>
        <w:tc>
          <w:tcPr>
            <w:tcW w:w="562" w:type="pct"/>
            <w:tcBorders>
              <w:top w:val="nil"/>
              <w:left w:val="nil"/>
              <w:bottom w:val="single" w:sz="4" w:space="0" w:color="auto"/>
              <w:right w:val="single" w:sz="4" w:space="0" w:color="auto"/>
            </w:tcBorders>
            <w:vAlign w:val="center"/>
          </w:tcPr>
          <w:p w14:paraId="6E4C128B"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251</w:t>
            </w:r>
          </w:p>
        </w:tc>
      </w:tr>
      <w:tr w:rsidR="00557981" w:rsidRPr="00CE5D9A" w14:paraId="15AA5B8A"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2C9A6E9A"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Tokarnia</w:t>
            </w:r>
          </w:p>
        </w:tc>
        <w:tc>
          <w:tcPr>
            <w:tcW w:w="613" w:type="pct"/>
            <w:tcBorders>
              <w:top w:val="nil"/>
              <w:left w:val="nil"/>
              <w:bottom w:val="single" w:sz="4" w:space="0" w:color="auto"/>
              <w:right w:val="single" w:sz="4" w:space="0" w:color="auto"/>
            </w:tcBorders>
            <w:noWrap/>
            <w:vAlign w:val="center"/>
          </w:tcPr>
          <w:p w14:paraId="3B91CF68"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8 861</w:t>
            </w:r>
          </w:p>
        </w:tc>
        <w:tc>
          <w:tcPr>
            <w:tcW w:w="813" w:type="pct"/>
            <w:tcBorders>
              <w:top w:val="nil"/>
              <w:left w:val="nil"/>
              <w:bottom w:val="single" w:sz="4" w:space="0" w:color="auto"/>
              <w:right w:val="single" w:sz="4" w:space="0" w:color="auto"/>
            </w:tcBorders>
            <w:noWrap/>
            <w:vAlign w:val="center"/>
          </w:tcPr>
          <w:p w14:paraId="63CE8ADE"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4 359</w:t>
            </w:r>
          </w:p>
        </w:tc>
        <w:tc>
          <w:tcPr>
            <w:tcW w:w="799" w:type="pct"/>
            <w:tcBorders>
              <w:top w:val="nil"/>
              <w:left w:val="nil"/>
              <w:bottom w:val="single" w:sz="4" w:space="0" w:color="auto"/>
              <w:right w:val="single" w:sz="4" w:space="0" w:color="auto"/>
            </w:tcBorders>
            <w:noWrap/>
            <w:vAlign w:val="center"/>
          </w:tcPr>
          <w:p w14:paraId="05B2486F"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4 502</w:t>
            </w:r>
          </w:p>
        </w:tc>
        <w:tc>
          <w:tcPr>
            <w:tcW w:w="573" w:type="pct"/>
            <w:tcBorders>
              <w:top w:val="nil"/>
              <w:left w:val="nil"/>
              <w:bottom w:val="single" w:sz="4" w:space="0" w:color="auto"/>
              <w:right w:val="single" w:sz="4" w:space="0" w:color="auto"/>
            </w:tcBorders>
            <w:vAlign w:val="center"/>
          </w:tcPr>
          <w:p w14:paraId="23917F60"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7,8</w:t>
            </w:r>
          </w:p>
        </w:tc>
        <w:tc>
          <w:tcPr>
            <w:tcW w:w="562" w:type="pct"/>
            <w:tcBorders>
              <w:top w:val="nil"/>
              <w:left w:val="nil"/>
              <w:bottom w:val="single" w:sz="4" w:space="0" w:color="auto"/>
              <w:right w:val="single" w:sz="4" w:space="0" w:color="auto"/>
            </w:tcBorders>
            <w:vAlign w:val="center"/>
          </w:tcPr>
          <w:p w14:paraId="1FD0506E"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128</w:t>
            </w:r>
          </w:p>
        </w:tc>
      </w:tr>
      <w:tr w:rsidR="00557981" w:rsidRPr="00CE5D9A" w14:paraId="46713FC2" w14:textId="77777777" w:rsidTr="009567FD">
        <w:trPr>
          <w:trHeight w:val="369"/>
        </w:trPr>
        <w:tc>
          <w:tcPr>
            <w:tcW w:w="1640" w:type="pct"/>
            <w:tcBorders>
              <w:top w:val="nil"/>
              <w:left w:val="single" w:sz="4" w:space="0" w:color="auto"/>
              <w:bottom w:val="single" w:sz="4" w:space="0" w:color="auto"/>
              <w:right w:val="single" w:sz="4" w:space="0" w:color="auto"/>
            </w:tcBorders>
            <w:noWrap/>
            <w:vAlign w:val="center"/>
          </w:tcPr>
          <w:p w14:paraId="43866CDD" w14:textId="77777777" w:rsidR="009567FD" w:rsidRPr="00CE5D9A" w:rsidRDefault="009567FD">
            <w:pPr>
              <w:spacing w:after="0" w:line="240" w:lineRule="auto"/>
              <w:rPr>
                <w:rFonts w:ascii="Times New Roman" w:hAnsi="Times New Roman"/>
                <w:sz w:val="20"/>
                <w:szCs w:val="20"/>
              </w:rPr>
            </w:pPr>
            <w:r w:rsidRPr="00CE5D9A">
              <w:rPr>
                <w:rFonts w:ascii="Times New Roman" w:hAnsi="Times New Roman"/>
                <w:sz w:val="20"/>
                <w:szCs w:val="20"/>
              </w:rPr>
              <w:t>Wiśniowa</w:t>
            </w:r>
          </w:p>
        </w:tc>
        <w:tc>
          <w:tcPr>
            <w:tcW w:w="613" w:type="pct"/>
            <w:tcBorders>
              <w:top w:val="nil"/>
              <w:left w:val="nil"/>
              <w:bottom w:val="single" w:sz="4" w:space="0" w:color="auto"/>
              <w:right w:val="single" w:sz="4" w:space="0" w:color="auto"/>
            </w:tcBorders>
            <w:noWrap/>
            <w:vAlign w:val="center"/>
          </w:tcPr>
          <w:p w14:paraId="170B28D0"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7 481</w:t>
            </w:r>
          </w:p>
        </w:tc>
        <w:tc>
          <w:tcPr>
            <w:tcW w:w="813" w:type="pct"/>
            <w:tcBorders>
              <w:top w:val="nil"/>
              <w:left w:val="nil"/>
              <w:bottom w:val="single" w:sz="4" w:space="0" w:color="auto"/>
              <w:right w:val="single" w:sz="4" w:space="0" w:color="auto"/>
            </w:tcBorders>
            <w:noWrap/>
            <w:vAlign w:val="center"/>
          </w:tcPr>
          <w:p w14:paraId="222974D4"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3 763</w:t>
            </w:r>
          </w:p>
        </w:tc>
        <w:tc>
          <w:tcPr>
            <w:tcW w:w="799" w:type="pct"/>
            <w:tcBorders>
              <w:top w:val="nil"/>
              <w:left w:val="nil"/>
              <w:bottom w:val="single" w:sz="4" w:space="0" w:color="auto"/>
              <w:right w:val="single" w:sz="4" w:space="0" w:color="auto"/>
            </w:tcBorders>
            <w:noWrap/>
            <w:vAlign w:val="center"/>
          </w:tcPr>
          <w:p w14:paraId="2B73A483"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3 718</w:t>
            </w:r>
          </w:p>
        </w:tc>
        <w:tc>
          <w:tcPr>
            <w:tcW w:w="573" w:type="pct"/>
            <w:tcBorders>
              <w:top w:val="nil"/>
              <w:left w:val="nil"/>
              <w:bottom w:val="single" w:sz="4" w:space="0" w:color="auto"/>
              <w:right w:val="single" w:sz="4" w:space="0" w:color="auto"/>
            </w:tcBorders>
            <w:vAlign w:val="center"/>
          </w:tcPr>
          <w:p w14:paraId="0E7AF19C" w14:textId="77777777" w:rsidR="009567FD" w:rsidRPr="00CE5D9A" w:rsidRDefault="009567FD" w:rsidP="009567FD">
            <w:pPr>
              <w:spacing w:after="0" w:line="240" w:lineRule="auto"/>
              <w:jc w:val="center"/>
              <w:rPr>
                <w:rFonts w:ascii="Times New Roman" w:hAnsi="Times New Roman"/>
                <w:sz w:val="20"/>
                <w:szCs w:val="20"/>
              </w:rPr>
            </w:pPr>
            <w:r w:rsidRPr="00CE5D9A">
              <w:rPr>
                <w:rFonts w:ascii="Times New Roman" w:hAnsi="Times New Roman"/>
                <w:sz w:val="20"/>
                <w:szCs w:val="20"/>
              </w:rPr>
              <w:t>6,6</w:t>
            </w:r>
          </w:p>
        </w:tc>
        <w:tc>
          <w:tcPr>
            <w:tcW w:w="562" w:type="pct"/>
            <w:tcBorders>
              <w:top w:val="nil"/>
              <w:left w:val="nil"/>
              <w:bottom w:val="single" w:sz="4" w:space="0" w:color="auto"/>
              <w:right w:val="single" w:sz="4" w:space="0" w:color="auto"/>
            </w:tcBorders>
            <w:vAlign w:val="center"/>
          </w:tcPr>
          <w:p w14:paraId="1D93B41B" w14:textId="77777777" w:rsidR="009567FD" w:rsidRPr="00CE5D9A" w:rsidRDefault="009567FD">
            <w:pPr>
              <w:spacing w:after="0" w:line="240" w:lineRule="auto"/>
              <w:jc w:val="center"/>
              <w:rPr>
                <w:rFonts w:ascii="Times New Roman" w:hAnsi="Times New Roman"/>
                <w:sz w:val="20"/>
                <w:szCs w:val="20"/>
              </w:rPr>
            </w:pPr>
            <w:r w:rsidRPr="00CE5D9A">
              <w:rPr>
                <w:rFonts w:ascii="Times New Roman" w:hAnsi="Times New Roman"/>
                <w:sz w:val="20"/>
                <w:szCs w:val="20"/>
              </w:rPr>
              <w:t>112</w:t>
            </w:r>
          </w:p>
        </w:tc>
      </w:tr>
      <w:tr w:rsidR="00557981" w:rsidRPr="00CE5D9A" w14:paraId="0848D689" w14:textId="77777777" w:rsidTr="009567FD">
        <w:trPr>
          <w:trHeight w:val="353"/>
        </w:trPr>
        <w:tc>
          <w:tcPr>
            <w:tcW w:w="1640" w:type="pct"/>
            <w:tcBorders>
              <w:top w:val="nil"/>
              <w:left w:val="single" w:sz="4" w:space="0" w:color="auto"/>
              <w:bottom w:val="single" w:sz="4" w:space="0" w:color="auto"/>
              <w:right w:val="single" w:sz="4" w:space="0" w:color="auto"/>
            </w:tcBorders>
            <w:noWrap/>
            <w:vAlign w:val="center"/>
          </w:tcPr>
          <w:p w14:paraId="20079236" w14:textId="77777777" w:rsidR="008F6A9A" w:rsidRDefault="00686DFE">
            <w:pPr>
              <w:spacing w:after="0" w:line="240" w:lineRule="auto"/>
              <w:rPr>
                <w:rFonts w:ascii="Times New Roman" w:hAnsi="Times New Roman"/>
                <w:color w:val="FF0000"/>
              </w:rPr>
            </w:pPr>
            <w:r w:rsidRPr="008F6A9A">
              <w:rPr>
                <w:rFonts w:ascii="Times New Roman" w:hAnsi="Times New Roman"/>
                <w:b/>
                <w:bCs/>
                <w:strike/>
                <w:color w:val="FF0000"/>
                <w:sz w:val="20"/>
                <w:szCs w:val="20"/>
              </w:rPr>
              <w:t>LGD Między Dalinem i Gościbią</w:t>
            </w:r>
            <w:r w:rsidR="008F6A9A" w:rsidRPr="008F6A9A">
              <w:rPr>
                <w:rFonts w:ascii="Times New Roman" w:hAnsi="Times New Roman"/>
                <w:b/>
                <w:bCs/>
                <w:color w:val="FF0000"/>
                <w:sz w:val="20"/>
                <w:szCs w:val="20"/>
              </w:rPr>
              <w:t xml:space="preserve"> </w:t>
            </w:r>
          </w:p>
          <w:p w14:paraId="01A7C80D" w14:textId="67BB85C4" w:rsidR="00686DFE" w:rsidRPr="00CE5D9A" w:rsidRDefault="008F6A9A">
            <w:pPr>
              <w:spacing w:after="0" w:line="240" w:lineRule="auto"/>
              <w:rPr>
                <w:rFonts w:ascii="Times New Roman" w:hAnsi="Times New Roman"/>
                <w:b/>
                <w:bCs/>
                <w:sz w:val="20"/>
                <w:szCs w:val="20"/>
              </w:rPr>
            </w:pPr>
            <w:r w:rsidRPr="00EB66C4">
              <w:rPr>
                <w:rFonts w:ascii="Times New Roman" w:hAnsi="Times New Roman"/>
                <w:color w:val="FF0000"/>
              </w:rPr>
              <w:t>LGD Regionu Myślenickiego</w:t>
            </w:r>
          </w:p>
        </w:tc>
        <w:tc>
          <w:tcPr>
            <w:tcW w:w="613" w:type="pct"/>
            <w:tcBorders>
              <w:top w:val="nil"/>
              <w:left w:val="nil"/>
              <w:bottom w:val="single" w:sz="4" w:space="0" w:color="auto"/>
              <w:right w:val="single" w:sz="4" w:space="0" w:color="auto"/>
            </w:tcBorders>
            <w:noWrap/>
            <w:vAlign w:val="center"/>
          </w:tcPr>
          <w:p w14:paraId="1CB254A5" w14:textId="77777777" w:rsidR="00686DFE" w:rsidRPr="00CE5D9A" w:rsidRDefault="009567FD" w:rsidP="009567FD">
            <w:pPr>
              <w:spacing w:after="0" w:line="240" w:lineRule="auto"/>
              <w:jc w:val="center"/>
              <w:rPr>
                <w:rFonts w:ascii="Times New Roman" w:hAnsi="Times New Roman"/>
                <w:b/>
              </w:rPr>
            </w:pPr>
            <w:r w:rsidRPr="00CE5D9A">
              <w:rPr>
                <w:rFonts w:ascii="Times New Roman" w:hAnsi="Times New Roman"/>
                <w:b/>
              </w:rPr>
              <w:t>113 626</w:t>
            </w:r>
          </w:p>
        </w:tc>
        <w:tc>
          <w:tcPr>
            <w:tcW w:w="813" w:type="pct"/>
            <w:tcBorders>
              <w:top w:val="nil"/>
              <w:left w:val="nil"/>
              <w:bottom w:val="single" w:sz="4" w:space="0" w:color="auto"/>
              <w:right w:val="single" w:sz="4" w:space="0" w:color="auto"/>
            </w:tcBorders>
            <w:noWrap/>
            <w:vAlign w:val="center"/>
          </w:tcPr>
          <w:p w14:paraId="00660115" w14:textId="77777777" w:rsidR="00686DFE" w:rsidRPr="00CE5D9A" w:rsidRDefault="009567FD" w:rsidP="009567FD">
            <w:pPr>
              <w:spacing w:after="0" w:line="240" w:lineRule="auto"/>
              <w:jc w:val="center"/>
              <w:rPr>
                <w:rFonts w:ascii="Times New Roman" w:hAnsi="Times New Roman"/>
                <w:b/>
              </w:rPr>
            </w:pPr>
            <w:r w:rsidRPr="00CE5D9A">
              <w:rPr>
                <w:rFonts w:ascii="Times New Roman" w:hAnsi="Times New Roman"/>
                <w:b/>
              </w:rPr>
              <w:t>57 404</w:t>
            </w:r>
          </w:p>
        </w:tc>
        <w:tc>
          <w:tcPr>
            <w:tcW w:w="799" w:type="pct"/>
            <w:tcBorders>
              <w:top w:val="nil"/>
              <w:left w:val="nil"/>
              <w:bottom w:val="single" w:sz="4" w:space="0" w:color="auto"/>
              <w:right w:val="single" w:sz="4" w:space="0" w:color="auto"/>
            </w:tcBorders>
            <w:noWrap/>
            <w:vAlign w:val="center"/>
          </w:tcPr>
          <w:p w14:paraId="64443803" w14:textId="77777777" w:rsidR="00686DFE" w:rsidRPr="00CE5D9A" w:rsidRDefault="009567FD">
            <w:pPr>
              <w:spacing w:after="0" w:line="240" w:lineRule="auto"/>
              <w:jc w:val="center"/>
              <w:rPr>
                <w:rFonts w:ascii="Times New Roman" w:hAnsi="Times New Roman"/>
                <w:b/>
                <w:bCs/>
                <w:sz w:val="20"/>
                <w:szCs w:val="20"/>
              </w:rPr>
            </w:pPr>
            <w:r w:rsidRPr="00CE5D9A">
              <w:rPr>
                <w:rFonts w:ascii="Times New Roman" w:hAnsi="Times New Roman"/>
                <w:b/>
              </w:rPr>
              <w:t>56 222</w:t>
            </w:r>
          </w:p>
        </w:tc>
        <w:tc>
          <w:tcPr>
            <w:tcW w:w="573" w:type="pct"/>
            <w:tcBorders>
              <w:top w:val="nil"/>
              <w:left w:val="nil"/>
              <w:bottom w:val="single" w:sz="4" w:space="0" w:color="auto"/>
              <w:right w:val="single" w:sz="4" w:space="0" w:color="auto"/>
            </w:tcBorders>
            <w:vAlign w:val="center"/>
          </w:tcPr>
          <w:p w14:paraId="2825C830" w14:textId="77777777" w:rsidR="00686DFE" w:rsidRPr="00CE5D9A" w:rsidRDefault="00686DFE">
            <w:pPr>
              <w:spacing w:after="0" w:line="240" w:lineRule="auto"/>
              <w:jc w:val="center"/>
              <w:rPr>
                <w:rFonts w:ascii="Times New Roman" w:hAnsi="Times New Roman"/>
                <w:b/>
                <w:bCs/>
                <w:sz w:val="20"/>
                <w:szCs w:val="20"/>
              </w:rPr>
            </w:pPr>
            <w:r w:rsidRPr="00CE5D9A">
              <w:rPr>
                <w:rFonts w:ascii="Times New Roman" w:hAnsi="Times New Roman"/>
                <w:b/>
                <w:bCs/>
                <w:sz w:val="20"/>
                <w:szCs w:val="20"/>
              </w:rPr>
              <w:t>100</w:t>
            </w:r>
          </w:p>
        </w:tc>
        <w:tc>
          <w:tcPr>
            <w:tcW w:w="562" w:type="pct"/>
            <w:tcBorders>
              <w:top w:val="nil"/>
              <w:left w:val="nil"/>
              <w:bottom w:val="single" w:sz="4" w:space="0" w:color="auto"/>
              <w:right w:val="single" w:sz="4" w:space="0" w:color="auto"/>
            </w:tcBorders>
            <w:vAlign w:val="center"/>
          </w:tcPr>
          <w:p w14:paraId="4C7D91A2" w14:textId="77777777" w:rsidR="00686DFE" w:rsidRPr="00CE5D9A" w:rsidRDefault="00686DFE" w:rsidP="009567FD">
            <w:pPr>
              <w:spacing w:after="0" w:line="240" w:lineRule="auto"/>
              <w:jc w:val="center"/>
              <w:rPr>
                <w:rFonts w:ascii="Times New Roman" w:hAnsi="Times New Roman"/>
                <w:b/>
                <w:bCs/>
                <w:sz w:val="20"/>
                <w:szCs w:val="20"/>
              </w:rPr>
            </w:pPr>
            <w:r w:rsidRPr="00CE5D9A">
              <w:rPr>
                <w:rFonts w:ascii="Times New Roman" w:hAnsi="Times New Roman"/>
                <w:b/>
                <w:bCs/>
                <w:sz w:val="20"/>
                <w:szCs w:val="20"/>
              </w:rPr>
              <w:t>18</w:t>
            </w:r>
            <w:r w:rsidR="009567FD" w:rsidRPr="00CE5D9A">
              <w:rPr>
                <w:rFonts w:ascii="Times New Roman" w:hAnsi="Times New Roman"/>
                <w:b/>
                <w:bCs/>
                <w:sz w:val="20"/>
                <w:szCs w:val="20"/>
              </w:rPr>
              <w:t>7</w:t>
            </w:r>
          </w:p>
        </w:tc>
      </w:tr>
    </w:tbl>
    <w:p w14:paraId="6D5B01B6" w14:textId="77777777" w:rsidR="00686DFE" w:rsidRPr="00CE5D9A" w:rsidRDefault="00686DFE">
      <w:pPr>
        <w:spacing w:line="25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575D88F2" w14:textId="77777777" w:rsidR="0046690B" w:rsidRPr="00CE5D9A" w:rsidRDefault="00686DFE" w:rsidP="0046690B">
      <w:pPr>
        <w:pStyle w:val="Akapitzlist"/>
        <w:spacing w:line="276" w:lineRule="auto"/>
        <w:ind w:left="0"/>
        <w:jc w:val="both"/>
      </w:pPr>
      <w:r w:rsidRPr="00CE5D9A">
        <w:rPr>
          <w:rFonts w:ascii="Times New Roman" w:hAnsi="Times New Roman"/>
        </w:rPr>
        <w:t>Na przestrzeni omawianych lat liczba ludności obszaru systematycznie wzrastała (wykres 1)</w:t>
      </w:r>
      <w:bookmarkStart w:id="30" w:name="_Hlk111036959"/>
      <w:r w:rsidRPr="00CE5D9A">
        <w:rPr>
          <w:rFonts w:ascii="Times New Roman" w:hAnsi="Times New Roman"/>
        </w:rPr>
        <w:t xml:space="preserve">. Na wykresie 2 przedstawiono wartości wskaźnika </w:t>
      </w:r>
      <w:r w:rsidRPr="00CE5D9A">
        <w:rPr>
          <w:rFonts w:ascii="Times New Roman" w:hAnsi="Times New Roman"/>
          <w:i/>
          <w:iCs/>
        </w:rPr>
        <w:t xml:space="preserve">udział ludności wg ekonomicznych grup wieku w % ludności ogółem </w:t>
      </w:r>
      <w:r w:rsidRPr="00CE5D9A">
        <w:rPr>
          <w:rFonts w:ascii="Times New Roman" w:hAnsi="Times New Roman"/>
        </w:rPr>
        <w:t>na obszarze LGD w latach 2016–2021, natomiast na wykresie 3 pokazano wartości tego wskaźnika</w:t>
      </w:r>
      <w:r w:rsidRPr="00CE5D9A">
        <w:rPr>
          <w:rFonts w:ascii="Times New Roman" w:hAnsi="Times New Roman"/>
          <w:i/>
          <w:iCs/>
          <w:sz w:val="20"/>
          <w:szCs w:val="20"/>
        </w:rPr>
        <w:t xml:space="preserve"> </w:t>
      </w:r>
      <w:r w:rsidRPr="00CE5D9A">
        <w:rPr>
          <w:rFonts w:ascii="Times New Roman" w:hAnsi="Times New Roman"/>
        </w:rPr>
        <w:t>w porównaniu do średniej dla województwa i kraju w 2021 r.</w:t>
      </w:r>
      <w:r w:rsidR="0046690B" w:rsidRPr="00CE5D9A">
        <w:t xml:space="preserve"> </w:t>
      </w:r>
    </w:p>
    <w:p w14:paraId="3A5B800F" w14:textId="40D7F3C1" w:rsidR="00686DFE" w:rsidRPr="00CE5D9A" w:rsidRDefault="00BE6407">
      <w:pPr>
        <w:pStyle w:val="Legenda"/>
        <w:spacing w:after="0"/>
        <w:jc w:val="center"/>
        <w:rPr>
          <w:rFonts w:ascii="Times New Roman" w:hAnsi="Times New Roman"/>
          <w:b/>
          <w:bCs/>
          <w:i w:val="0"/>
          <w:iCs w:val="0"/>
          <w:color w:val="auto"/>
          <w:sz w:val="20"/>
          <w:szCs w:val="20"/>
        </w:rPr>
      </w:pPr>
      <w:bookmarkStart w:id="31" w:name="_Toc134966313"/>
      <w:bookmarkStart w:id="32" w:name="_Toc112838954"/>
      <w:bookmarkStart w:id="33" w:name="_Toc194581410"/>
      <w:r w:rsidRPr="00CE5D9A">
        <w:rPr>
          <w:noProof/>
          <w:color w:val="auto"/>
          <w:lang w:eastAsia="pl-PL"/>
        </w:rPr>
        <w:drawing>
          <wp:anchor distT="0" distB="0" distL="114300" distR="114300" simplePos="0" relativeHeight="251661312" behindDoc="0" locked="0" layoutInCell="1" allowOverlap="1" wp14:anchorId="5CD58FA1" wp14:editId="07F3EC6F">
            <wp:simplePos x="0" y="0"/>
            <wp:positionH relativeFrom="column">
              <wp:posOffset>473075</wp:posOffset>
            </wp:positionH>
            <wp:positionV relativeFrom="paragraph">
              <wp:posOffset>156845</wp:posOffset>
            </wp:positionV>
            <wp:extent cx="5562600" cy="1981200"/>
            <wp:effectExtent l="0" t="0" r="0" b="0"/>
            <wp:wrapTopAndBottom/>
            <wp:docPr id="4" name="Wykres 4">
              <a:extLst xmlns:a="http://schemas.openxmlformats.org/drawingml/2006/main">
                <a:ext uri="{FF2B5EF4-FFF2-40B4-BE49-F238E27FC236}">
                  <a16:creationId xmlns:a16="http://schemas.microsoft.com/office/drawing/2014/main" id="{B26A86C2-EACF-BFB8-721E-CFEF9A85D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686DFE" w:rsidRPr="00CE5D9A">
        <w:rPr>
          <w:rFonts w:ascii="Times New Roman" w:hAnsi="Times New Roman"/>
          <w:b/>
          <w:bCs/>
          <w:i w:val="0"/>
          <w:iCs w:val="0"/>
          <w:color w:val="auto"/>
          <w:sz w:val="20"/>
          <w:szCs w:val="20"/>
        </w:rPr>
        <w:t xml:space="preserve">Wykres </w:t>
      </w:r>
      <w:r w:rsidR="00686DFE" w:rsidRPr="00CE5D9A">
        <w:rPr>
          <w:rFonts w:ascii="Times New Roman" w:hAnsi="Times New Roman"/>
          <w:b/>
          <w:bCs/>
          <w:i w:val="0"/>
          <w:iCs w:val="0"/>
          <w:color w:val="auto"/>
          <w:sz w:val="20"/>
          <w:szCs w:val="20"/>
        </w:rPr>
        <w:fldChar w:fldCharType="begin"/>
      </w:r>
      <w:r w:rsidR="00686DFE" w:rsidRPr="00CE5D9A">
        <w:rPr>
          <w:rFonts w:ascii="Times New Roman" w:hAnsi="Times New Roman"/>
          <w:b/>
          <w:bCs/>
          <w:i w:val="0"/>
          <w:iCs w:val="0"/>
          <w:color w:val="auto"/>
          <w:sz w:val="20"/>
          <w:szCs w:val="20"/>
        </w:rPr>
        <w:instrText xml:space="preserve"> SEQ Wykres \* ARABIC </w:instrText>
      </w:r>
      <w:r w:rsidR="00686DFE"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w:t>
      </w:r>
      <w:r w:rsidR="00686DFE" w:rsidRPr="00CE5D9A">
        <w:rPr>
          <w:rFonts w:ascii="Times New Roman" w:hAnsi="Times New Roman"/>
          <w:b/>
          <w:bCs/>
          <w:i w:val="0"/>
          <w:iCs w:val="0"/>
          <w:color w:val="auto"/>
          <w:sz w:val="20"/>
          <w:szCs w:val="20"/>
        </w:rPr>
        <w:fldChar w:fldCharType="end"/>
      </w:r>
      <w:r w:rsidR="00686DFE" w:rsidRPr="00CE5D9A">
        <w:rPr>
          <w:rFonts w:ascii="Times New Roman" w:hAnsi="Times New Roman"/>
          <w:b/>
          <w:bCs/>
          <w:i w:val="0"/>
          <w:iCs w:val="0"/>
          <w:color w:val="auto"/>
          <w:sz w:val="20"/>
          <w:szCs w:val="20"/>
        </w:rPr>
        <w:t xml:space="preserve"> Liczba ludności ogółem na obszarze LGD w latach 2016–2021</w:t>
      </w:r>
      <w:bookmarkEnd w:id="31"/>
      <w:bookmarkEnd w:id="32"/>
      <w:bookmarkEnd w:id="33"/>
    </w:p>
    <w:p w14:paraId="634C989D" w14:textId="77777777" w:rsidR="00686DFE" w:rsidRPr="00CE5D9A" w:rsidRDefault="00686DFE">
      <w:pPr>
        <w:spacing w:after="0"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0C879EB9" w14:textId="4E53FBFF" w:rsidR="00686DFE" w:rsidRPr="00CE5D9A" w:rsidRDefault="00686DFE" w:rsidP="00A5148B">
      <w:pPr>
        <w:pStyle w:val="Legenda"/>
        <w:spacing w:before="240" w:after="0"/>
        <w:jc w:val="center"/>
        <w:rPr>
          <w:rFonts w:ascii="Times New Roman" w:hAnsi="Times New Roman"/>
          <w:b/>
          <w:bCs/>
          <w:i w:val="0"/>
          <w:iCs w:val="0"/>
          <w:color w:val="auto"/>
          <w:sz w:val="20"/>
          <w:szCs w:val="20"/>
        </w:rPr>
      </w:pPr>
      <w:bookmarkStart w:id="34" w:name="_Toc134966314"/>
      <w:bookmarkStart w:id="35" w:name="_Toc112838955"/>
      <w:bookmarkStart w:id="36" w:name="_Toc194581411"/>
      <w:r w:rsidRPr="00CE5D9A">
        <w:rPr>
          <w:rFonts w:ascii="Times New Roman" w:hAnsi="Times New Roman"/>
          <w:b/>
          <w:bCs/>
          <w:i w:val="0"/>
          <w:iCs w:val="0"/>
          <w:color w:val="auto"/>
          <w:sz w:val="20"/>
          <w:szCs w:val="20"/>
        </w:rPr>
        <w:lastRenderedPageBreak/>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Udział ludności wg ekonomicznych grup wieku w % ludności ogółem na obszarze LGD </w:t>
      </w:r>
      <w:r w:rsidRPr="00CE5D9A">
        <w:rPr>
          <w:rFonts w:ascii="Times New Roman" w:hAnsi="Times New Roman"/>
          <w:b/>
          <w:bCs/>
          <w:i w:val="0"/>
          <w:iCs w:val="0"/>
          <w:color w:val="auto"/>
          <w:sz w:val="20"/>
          <w:szCs w:val="20"/>
        </w:rPr>
        <w:br/>
        <w:t>w latach 2016–2021</w:t>
      </w:r>
      <w:bookmarkEnd w:id="34"/>
      <w:bookmarkEnd w:id="35"/>
      <w:bookmarkEnd w:id="36"/>
    </w:p>
    <w:p w14:paraId="49E0D0F6" w14:textId="77777777" w:rsidR="00BE6407" w:rsidRPr="00CE5D9A" w:rsidRDefault="00BE6407" w:rsidP="00BE6407">
      <w:pPr>
        <w:spacing w:after="0" w:line="240" w:lineRule="auto"/>
        <w:jc w:val="center"/>
        <w:rPr>
          <w:rFonts w:ascii="Times New Roman" w:hAnsi="Times New Roman"/>
          <w:i/>
          <w:iCs/>
          <w:sz w:val="20"/>
          <w:szCs w:val="20"/>
        </w:rPr>
      </w:pPr>
      <w:bookmarkStart w:id="37" w:name="_Hlk134807108"/>
      <w:r w:rsidRPr="00CE5D9A">
        <w:rPr>
          <w:noProof/>
          <w:lang w:eastAsia="pl-PL"/>
        </w:rPr>
        <w:drawing>
          <wp:inline distT="0" distB="0" distL="0" distR="0" wp14:anchorId="33C202BE" wp14:editId="34EFF124">
            <wp:extent cx="5852160" cy="2834640"/>
            <wp:effectExtent l="0" t="0" r="0" b="3810"/>
            <wp:docPr id="20" name="Wykres 2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BD3838" w14:textId="77777777" w:rsidR="00686DFE" w:rsidRPr="00CE5D9A" w:rsidRDefault="00686DFE" w:rsidP="00BE6407">
      <w:pPr>
        <w:spacing w:after="0"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0622A7CB" w14:textId="3BD8E96D" w:rsidR="00686DFE" w:rsidRPr="00CE5D9A" w:rsidRDefault="00686DFE">
      <w:pPr>
        <w:pStyle w:val="Legenda"/>
        <w:spacing w:before="240" w:after="0"/>
        <w:jc w:val="center"/>
        <w:rPr>
          <w:rFonts w:ascii="Times New Roman" w:hAnsi="Times New Roman"/>
          <w:b/>
          <w:bCs/>
          <w:i w:val="0"/>
          <w:iCs w:val="0"/>
          <w:color w:val="auto"/>
          <w:sz w:val="20"/>
          <w:szCs w:val="20"/>
        </w:rPr>
      </w:pPr>
      <w:bookmarkStart w:id="38" w:name="_Toc134966315"/>
      <w:bookmarkStart w:id="39" w:name="_Toc194581412"/>
      <w:bookmarkEnd w:id="37"/>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3</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Udział ludności wg ekonomicznych grup wieku w % ludności ogółem na obszarze LGD w porównaniu do średniej dla województwa i kraju w </w:t>
      </w:r>
      <w:bookmarkEnd w:id="38"/>
      <w:r w:rsidRPr="00CE5D9A">
        <w:rPr>
          <w:rFonts w:ascii="Times New Roman" w:hAnsi="Times New Roman"/>
          <w:b/>
          <w:bCs/>
          <w:i w:val="0"/>
          <w:iCs w:val="0"/>
          <w:color w:val="auto"/>
          <w:sz w:val="20"/>
          <w:szCs w:val="20"/>
        </w:rPr>
        <w:t>2021 r.</w:t>
      </w:r>
      <w:bookmarkEnd w:id="39"/>
    </w:p>
    <w:p w14:paraId="7A8BDC5A" w14:textId="77777777" w:rsidR="00686DFE" w:rsidRPr="00CE5D9A" w:rsidRDefault="00BE6407">
      <w:pPr>
        <w:spacing w:after="0" w:line="240" w:lineRule="auto"/>
        <w:jc w:val="center"/>
      </w:pPr>
      <w:r w:rsidRPr="00CE5D9A">
        <w:rPr>
          <w:noProof/>
          <w:lang w:eastAsia="pl-PL"/>
        </w:rPr>
        <w:drawing>
          <wp:inline distT="0" distB="0" distL="0" distR="0" wp14:anchorId="7402BBCE" wp14:editId="27EBC3DA">
            <wp:extent cx="5402580" cy="2844000"/>
            <wp:effectExtent l="0" t="0" r="7620" b="0"/>
            <wp:docPr id="26" name="Wykres 2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915F15" w14:textId="77777777" w:rsidR="00686DFE" w:rsidRPr="00CE5D9A" w:rsidRDefault="00686DFE">
      <w:pPr>
        <w:spacing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7DF9822A" w14:textId="77777777" w:rsidR="00686DFE" w:rsidRPr="00CE5D9A" w:rsidRDefault="00686DFE">
      <w:pPr>
        <w:pStyle w:val="Akapitzlist"/>
        <w:spacing w:line="276" w:lineRule="auto"/>
        <w:ind w:left="0" w:firstLine="709"/>
        <w:jc w:val="both"/>
        <w:rPr>
          <w:rFonts w:ascii="Times New Roman" w:hAnsi="Times New Roman"/>
        </w:rPr>
      </w:pPr>
      <w:r w:rsidRPr="00CE5D9A">
        <w:rPr>
          <w:rFonts w:ascii="Times New Roman" w:hAnsi="Times New Roman"/>
        </w:rPr>
        <w:t xml:space="preserve">Dane zobrazowane na wykresie 2 wskazują, że obszar LGD charakteryzuje się stopniowym starzeniem się społeczeństwa. Udział osób w wieku poprodukcyjnym na terenie LGD był w 2021 r. niższy niż średnia dla województwa i kraju (wykres 3). Istotnym faktem jest, iż występował korzystny trend demograficzny jakim jest wysoki udział procentowy osób w wieku przedprodukcyjnym w ogólnej liczbie ludności oraz niski udział osób w wieku poprodukcyjnym. </w:t>
      </w:r>
      <w:bookmarkStart w:id="40" w:name="_Hlk134961360"/>
      <w:r w:rsidRPr="00CE5D9A">
        <w:rPr>
          <w:rFonts w:ascii="Times New Roman" w:hAnsi="Times New Roman"/>
        </w:rPr>
        <w:t xml:space="preserve">Udział osób w wieku przedprodukcyjnym w 2021 r. na obszarze LGD wynosił 22,2% i był wyższy niż średnio w województwie (19,3%) i kraju (18,4%). W omawianym okresie ulegał on niewielkiemu spadkowi, jednak zawsze był korzystniejszy niż wyniki w Polsce i województwie małopolskim </w:t>
      </w:r>
      <w:bookmarkEnd w:id="40"/>
      <w:r w:rsidRPr="00CE5D9A">
        <w:rPr>
          <w:rFonts w:ascii="Times New Roman" w:hAnsi="Times New Roman"/>
        </w:rPr>
        <w:t xml:space="preserve">(dane GUS). </w:t>
      </w:r>
    </w:p>
    <w:p w14:paraId="680387C8" w14:textId="77777777" w:rsidR="00686DFE" w:rsidRPr="00CE5D9A" w:rsidRDefault="00686DFE">
      <w:pPr>
        <w:pStyle w:val="Akapitzlist"/>
        <w:spacing w:line="276" w:lineRule="auto"/>
        <w:ind w:left="0" w:firstLine="709"/>
        <w:contextualSpacing w:val="0"/>
        <w:jc w:val="both"/>
        <w:rPr>
          <w:rFonts w:ascii="Times New Roman" w:hAnsi="Times New Roman"/>
        </w:rPr>
      </w:pPr>
      <w:r w:rsidRPr="00CE5D9A">
        <w:rPr>
          <w:rFonts w:ascii="Times New Roman" w:hAnsi="Times New Roman"/>
        </w:rPr>
        <w:t>Wzrost liczby mieszkańców oraz zwiększający się systematycznie udział ludności w wieku poprodukcyjnym stanowią wyzwanie w zakresie dostosowania infrastruktury i dostępności oferty usług publicznych dla rodzin z dziećmi oraz dla seniorów (w tym opieka przedszkolna, opieka zdrowotna, wspieranie aktywności społecznej itp.).</w:t>
      </w:r>
    </w:p>
    <w:p w14:paraId="6A7CEDAD" w14:textId="77777777" w:rsidR="0046690B" w:rsidRPr="00CE5D9A" w:rsidRDefault="00686DFE" w:rsidP="0046690B">
      <w:pPr>
        <w:pStyle w:val="Akapitzlist"/>
        <w:spacing w:before="240" w:line="360" w:lineRule="auto"/>
        <w:ind w:left="0"/>
        <w:contextualSpacing w:val="0"/>
        <w:jc w:val="center"/>
        <w:rPr>
          <w:rFonts w:ascii="Times New Roman" w:eastAsiaTheme="minorEastAsia" w:hAnsi="Times New Roman"/>
          <w:b/>
          <w:bCs/>
        </w:rPr>
      </w:pPr>
      <w:r w:rsidRPr="00CE5D9A">
        <w:rPr>
          <w:rFonts w:ascii="Times New Roman" w:hAnsi="Times New Roman"/>
          <w:b/>
          <w:bCs/>
        </w:rPr>
        <w:t xml:space="preserve">Przy obliczeniu wskaźnika </w:t>
      </w:r>
      <w:r w:rsidRPr="00CE5D9A">
        <w:rPr>
          <w:rFonts w:ascii="Times New Roman" w:hAnsi="Times New Roman"/>
          <w:b/>
          <w:bCs/>
          <w:i/>
          <w:iCs/>
        </w:rPr>
        <w:t>ludność w wieku nieprodukcyjnym na obszarze LSR</w:t>
      </w:r>
      <w:r w:rsidRPr="00CE5D9A">
        <w:rPr>
          <w:rFonts w:ascii="Times New Roman" w:hAnsi="Times New Roman"/>
          <w:b/>
          <w:bCs/>
        </w:rPr>
        <w:t xml:space="preserve"> za 2020 r. ze wzoru:</w:t>
      </w:r>
      <w:r w:rsidRPr="00CE5D9A">
        <w:rPr>
          <w:rFonts w:ascii="Times New Roman" w:hAnsi="Times New Roman"/>
          <w:b/>
          <w:bCs/>
        </w:rPr>
        <w:br/>
      </w:r>
      <m:oMath>
        <m:r>
          <m:rPr>
            <m:sty m:val="bi"/>
          </m:rPr>
          <w:rPr>
            <w:rFonts w:ascii="Cambria Math" w:hAnsi="Cambria Math"/>
          </w:rPr>
          <m:t xml:space="preserve">30 x (1- </m:t>
        </m:r>
        <m:f>
          <m:fPr>
            <m:ctrlPr>
              <w:rPr>
                <w:rFonts w:ascii="Cambria Math" w:hAnsi="Cambria Math"/>
                <w:b/>
                <w:bCs/>
                <w:i/>
              </w:rPr>
            </m:ctrlPr>
          </m:fPr>
          <m:num>
            <m:r>
              <m:rPr>
                <m:sty m:val="bi"/>
              </m:rPr>
              <w:rPr>
                <w:rFonts w:ascii="Cambria Math" w:hAnsi="Cambria Math"/>
              </w:rPr>
              <m:t>0,35 x liczba mieszkańców</m:t>
            </m:r>
          </m:num>
          <m:den>
            <m:r>
              <m:rPr>
                <m:sty m:val="bi"/>
              </m:rPr>
              <w:rPr>
                <w:rFonts w:ascii="Cambria Math" w:hAnsi="Cambria Math"/>
              </w:rPr>
              <m:t>liczba osob w wieku nieprodukcyjnym</m:t>
            </m:r>
          </m:den>
        </m:f>
        <m:r>
          <m:rPr>
            <m:sty m:val="bi"/>
          </m:rPr>
          <w:rPr>
            <w:rFonts w:ascii="Cambria Math" w:hAnsi="Cambria Math"/>
          </w:rPr>
          <m:t>)</m:t>
        </m:r>
      </m:oMath>
      <w:r w:rsidR="0046690B" w:rsidRPr="00CE5D9A">
        <w:rPr>
          <w:rFonts w:ascii="Times New Roman" w:eastAsiaTheme="minorEastAsia" w:hAnsi="Times New Roman"/>
          <w:b/>
          <w:bCs/>
        </w:rPr>
        <w:t xml:space="preserve"> obszar LGD osiąga wartość 3,5</w:t>
      </w:r>
      <w:r w:rsidR="00D80C23" w:rsidRPr="00CE5D9A">
        <w:rPr>
          <w:rFonts w:ascii="Times New Roman" w:eastAsiaTheme="minorEastAsia" w:hAnsi="Times New Roman"/>
          <w:b/>
          <w:bCs/>
        </w:rPr>
        <w:t>7</w:t>
      </w:r>
      <w:r w:rsidR="0046690B" w:rsidRPr="00CE5D9A">
        <w:rPr>
          <w:rFonts w:ascii="Times New Roman" w:eastAsiaTheme="minorEastAsia" w:hAnsi="Times New Roman"/>
          <w:b/>
          <w:bCs/>
        </w:rPr>
        <w:t>.</w:t>
      </w:r>
    </w:p>
    <w:p w14:paraId="55B706E0" w14:textId="77777777" w:rsidR="00686DFE" w:rsidRPr="00CE5D9A" w:rsidRDefault="00686DFE">
      <w:pPr>
        <w:pStyle w:val="Akapitzlist"/>
        <w:spacing w:line="276" w:lineRule="auto"/>
        <w:ind w:left="0"/>
        <w:jc w:val="both"/>
        <w:rPr>
          <w:rFonts w:ascii="Times New Roman" w:hAnsi="Times New Roman"/>
        </w:rPr>
      </w:pPr>
      <w:r w:rsidRPr="00CE5D9A">
        <w:rPr>
          <w:rFonts w:ascii="Times New Roman" w:hAnsi="Times New Roman"/>
        </w:rPr>
        <w:lastRenderedPageBreak/>
        <w:tab/>
      </w:r>
      <w:bookmarkEnd w:id="30"/>
      <w:r w:rsidRPr="00CE5D9A">
        <w:rPr>
          <w:rFonts w:ascii="Times New Roman" w:hAnsi="Times New Roman"/>
        </w:rPr>
        <w:t xml:space="preserve">Jednym ze wskaźników mających wpływ na kształtowanie się struktury ludności jest wskaźnik </w:t>
      </w:r>
      <w:r w:rsidRPr="00CE5D9A">
        <w:rPr>
          <w:rFonts w:ascii="Times New Roman" w:hAnsi="Times New Roman"/>
          <w:i/>
          <w:iCs/>
        </w:rPr>
        <w:t>przyrost naturalny na 1000 ludności</w:t>
      </w:r>
      <w:r w:rsidRPr="00CE5D9A">
        <w:rPr>
          <w:rFonts w:ascii="Times New Roman" w:hAnsi="Times New Roman"/>
        </w:rPr>
        <w:t xml:space="preserve"> – wartości wskaźnika dla LGD w latach 2016–2021 przedstawiono na wykresie 4.</w:t>
      </w:r>
      <w:bookmarkStart w:id="41" w:name="_Toc134966316"/>
      <w:bookmarkStart w:id="42" w:name="_Toc112838958"/>
    </w:p>
    <w:p w14:paraId="698F90F8" w14:textId="30FCFE1C" w:rsidR="00686DFE" w:rsidRPr="00CE5D9A" w:rsidRDefault="00686DFE">
      <w:pPr>
        <w:pStyle w:val="Legenda"/>
        <w:spacing w:after="0"/>
        <w:jc w:val="center"/>
        <w:rPr>
          <w:rFonts w:ascii="Times New Roman" w:hAnsi="Times New Roman"/>
          <w:b/>
          <w:bCs/>
          <w:i w:val="0"/>
          <w:iCs w:val="0"/>
          <w:color w:val="auto"/>
          <w:sz w:val="20"/>
          <w:szCs w:val="20"/>
        </w:rPr>
      </w:pPr>
      <w:bookmarkStart w:id="43" w:name="_Toc194581413"/>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4</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Przyrost naturalny na 1 000 ludności na obszarze LGD w latach 2016–2021</w:t>
      </w:r>
      <w:bookmarkEnd w:id="41"/>
      <w:bookmarkEnd w:id="42"/>
      <w:bookmarkEnd w:id="43"/>
    </w:p>
    <w:p w14:paraId="43B972E1" w14:textId="77777777" w:rsidR="00D80C23" w:rsidRPr="00CE5D9A" w:rsidRDefault="00D80C23">
      <w:pPr>
        <w:jc w:val="center"/>
        <w:rPr>
          <w:rFonts w:ascii="Times New Roman" w:hAnsi="Times New Roman"/>
          <w:i/>
          <w:iCs/>
          <w:sz w:val="20"/>
          <w:szCs w:val="20"/>
        </w:rPr>
      </w:pPr>
      <w:r w:rsidRPr="00CE5D9A">
        <w:rPr>
          <w:noProof/>
          <w:lang w:eastAsia="pl-PL"/>
        </w:rPr>
        <w:drawing>
          <wp:inline distT="0" distB="0" distL="0" distR="0" wp14:anchorId="1AC538F8" wp14:editId="1B275378">
            <wp:extent cx="5608320" cy="2522220"/>
            <wp:effectExtent l="0" t="0" r="0" b="0"/>
            <wp:docPr id="27" name="Wykres 27">
              <a:extLst xmlns:a="http://schemas.openxmlformats.org/drawingml/2006/main">
                <a:ext uri="{FF2B5EF4-FFF2-40B4-BE49-F238E27FC236}">
                  <a16:creationId xmlns:a16="http://schemas.microsoft.com/office/drawing/2014/main" id="{DE457E23-276B-46A5-89B2-4E2BC6E9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78F416"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0738BB60" w14:textId="77777777" w:rsidR="00686DFE" w:rsidRPr="00CE5D9A" w:rsidRDefault="00686DFE" w:rsidP="00D80C23">
      <w:pPr>
        <w:spacing w:before="240" w:after="0" w:line="276" w:lineRule="auto"/>
        <w:ind w:firstLine="708"/>
        <w:jc w:val="both"/>
        <w:rPr>
          <w:rFonts w:ascii="Times New Roman" w:hAnsi="Times New Roman"/>
        </w:rPr>
      </w:pPr>
      <w:r w:rsidRPr="00CE5D9A">
        <w:rPr>
          <w:rFonts w:ascii="Times New Roman" w:hAnsi="Times New Roman"/>
        </w:rPr>
        <w:t>Na tak „młode” społeczeństwo wpływ miał przede wszystkim wysoki przyrost naturalny</w:t>
      </w:r>
      <w:r w:rsidRPr="00CE5D9A">
        <w:t>.</w:t>
      </w:r>
      <w:r w:rsidRPr="00CE5D9A">
        <w:rPr>
          <w:rFonts w:ascii="Times New Roman" w:hAnsi="Times New Roman"/>
        </w:rPr>
        <w:t xml:space="preserve"> Na przestrzeni lat wartość wskaźnika </w:t>
      </w:r>
      <w:r w:rsidRPr="00CE5D9A">
        <w:rPr>
          <w:rFonts w:ascii="Times New Roman" w:hAnsi="Times New Roman"/>
          <w:i/>
          <w:iCs/>
        </w:rPr>
        <w:t>przyrostu naturalnego na 1000 ludności</w:t>
      </w:r>
      <w:r w:rsidRPr="00CE5D9A">
        <w:rPr>
          <w:rFonts w:ascii="Times New Roman" w:hAnsi="Times New Roman"/>
        </w:rPr>
        <w:t xml:space="preserve"> zmniejszała się, jednak wartości były dodatnie. Należy również zwrócić uwagę, że w 2021 r., pomimo iż wartość wskaźnika była niższa niż w poprzednich analizowanych latach, to była korzystniejsza w stosunku do województwa małopolskiego (-2,2) i Polski (-5,0). </w:t>
      </w:r>
    </w:p>
    <w:p w14:paraId="2678FB0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szCs w:val="24"/>
        </w:rPr>
        <w:t>Sytuacja demograficzna LGD jest korzystna</w:t>
      </w:r>
      <w:r w:rsidRPr="00CE5D9A">
        <w:rPr>
          <w:rFonts w:ascii="Times New Roman" w:hAnsi="Times New Roman"/>
        </w:rPr>
        <w:t>, gdyż szacuje się, że w Polsce będzie ubywać ludności. W badaniu ankietowym na etapie diagnostycznym jako jedną z najważniejszych szans jakie stoją przed obszarem LGD, ankietowani wskazywali: „modę na zdrowy styl życia” (49% odpowiedzi). Rosnące zainteresowanie aktywnym spędzaniem czasu wolnego na świeżym powietrzu oraz prowadzenie zdrowego trybu życia wskazują na potrzebę inwestycji w zakresie infrastruktury rekreacyjnej. Szansą dla gminy jest fakt coraz dłuższego życia ludzi, mody na zdrowy styl życia i ogólnoświatowego rozwoju idei „slow life”, a także „leczenia lasem”.</w:t>
      </w:r>
    </w:p>
    <w:p w14:paraId="0A427138"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Istotne w kontekście ilości i struktury ludności w danym miejscu jest również saldo migracji, stanowiące różnicę między napływem a odpływem ludności z danego obszaru w określonym czasie. Migracje stanowią jeden z najważniejszych (po liczbie urodzeń i zgonów) czynników kształtujących liczbę ludności na danym obszarze (wykres 5). Zgodnie z danymi GUS saldo migracji na 1 000 ludności na obszarze LGD w całym badanym okresie osiągało wartości dodatnie, a w roku 2021 osiągnęło wartość 1,</w:t>
      </w:r>
      <w:r w:rsidR="00D80C23" w:rsidRPr="00CE5D9A">
        <w:rPr>
          <w:rFonts w:ascii="Times New Roman" w:hAnsi="Times New Roman"/>
        </w:rPr>
        <w:t>7</w:t>
      </w:r>
      <w:r w:rsidRPr="00CE5D9A">
        <w:rPr>
          <w:rFonts w:ascii="Times New Roman" w:hAnsi="Times New Roman"/>
        </w:rPr>
        <w:t xml:space="preserve">. Była to wartość </w:t>
      </w:r>
      <w:r w:rsidR="00D80C23" w:rsidRPr="00CE5D9A">
        <w:rPr>
          <w:rFonts w:ascii="Times New Roman" w:hAnsi="Times New Roman"/>
        </w:rPr>
        <w:t xml:space="preserve">wyższa </w:t>
      </w:r>
      <w:r w:rsidRPr="00CE5D9A">
        <w:rPr>
          <w:rFonts w:ascii="Times New Roman" w:hAnsi="Times New Roman"/>
        </w:rPr>
        <w:t>i</w:t>
      </w:r>
      <w:r w:rsidR="00D80C23" w:rsidRPr="00CE5D9A">
        <w:rPr>
          <w:rFonts w:ascii="Times New Roman" w:hAnsi="Times New Roman"/>
        </w:rPr>
        <w:t xml:space="preserve"> korzystniejsza</w:t>
      </w:r>
      <w:r w:rsidRPr="00CE5D9A">
        <w:rPr>
          <w:rFonts w:ascii="Times New Roman" w:hAnsi="Times New Roman"/>
        </w:rPr>
        <w:t xml:space="preserve"> niż średnio w </w:t>
      </w:r>
      <w:r w:rsidR="00D80C23" w:rsidRPr="00CE5D9A">
        <w:rPr>
          <w:rFonts w:ascii="Times New Roman" w:hAnsi="Times New Roman"/>
        </w:rPr>
        <w:t xml:space="preserve">województwie małopolskim (1,4) i </w:t>
      </w:r>
      <w:r w:rsidRPr="00CE5D9A">
        <w:rPr>
          <w:rFonts w:ascii="Times New Roman" w:hAnsi="Times New Roman"/>
        </w:rPr>
        <w:t>w</w:t>
      </w:r>
      <w:r w:rsidR="00D80C23" w:rsidRPr="00CE5D9A">
        <w:rPr>
          <w:rFonts w:ascii="Times New Roman" w:hAnsi="Times New Roman"/>
        </w:rPr>
        <w:t xml:space="preserve"> </w:t>
      </w:r>
      <w:r w:rsidRPr="00CE5D9A">
        <w:rPr>
          <w:rFonts w:ascii="Times New Roman" w:hAnsi="Times New Roman"/>
        </w:rPr>
        <w:t xml:space="preserve">Polsce (0,1) (wykres 6). </w:t>
      </w:r>
    </w:p>
    <w:p w14:paraId="31FE1DA1" w14:textId="02D93886" w:rsidR="00686DFE" w:rsidRPr="00CE5D9A" w:rsidRDefault="00686DFE">
      <w:pPr>
        <w:pStyle w:val="Legenda"/>
        <w:spacing w:before="240" w:after="0"/>
        <w:jc w:val="center"/>
        <w:rPr>
          <w:rFonts w:ascii="Times New Roman" w:hAnsi="Times New Roman"/>
          <w:b/>
          <w:bCs/>
          <w:i w:val="0"/>
          <w:iCs w:val="0"/>
          <w:color w:val="auto"/>
          <w:sz w:val="20"/>
          <w:szCs w:val="20"/>
        </w:rPr>
      </w:pPr>
      <w:bookmarkStart w:id="44" w:name="_Toc134966317"/>
      <w:bookmarkStart w:id="45" w:name="_Toc112838960"/>
      <w:bookmarkStart w:id="46" w:name="_Toc194581414"/>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5</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Saldo migracji na 1 000 ludności na obszarze LGD w latach 2016–2021</w:t>
      </w:r>
      <w:bookmarkEnd w:id="44"/>
      <w:bookmarkEnd w:id="45"/>
      <w:bookmarkEnd w:id="46"/>
    </w:p>
    <w:p w14:paraId="7CC36A5F" w14:textId="77777777" w:rsidR="00D80C23" w:rsidRPr="00CE5D9A" w:rsidRDefault="00D80C23">
      <w:pPr>
        <w:spacing w:after="0" w:line="276" w:lineRule="auto"/>
        <w:jc w:val="center"/>
        <w:rPr>
          <w:rFonts w:ascii="Times New Roman" w:hAnsi="Times New Roman"/>
          <w:i/>
          <w:iCs/>
          <w:sz w:val="20"/>
          <w:szCs w:val="20"/>
        </w:rPr>
      </w:pPr>
      <w:r w:rsidRPr="00CE5D9A">
        <w:rPr>
          <w:noProof/>
          <w:lang w:eastAsia="pl-PL"/>
        </w:rPr>
        <w:drawing>
          <wp:inline distT="0" distB="0" distL="0" distR="0" wp14:anchorId="4EB9E01C" wp14:editId="4BD770E1">
            <wp:extent cx="5623560" cy="2400300"/>
            <wp:effectExtent l="0" t="0" r="0" b="0"/>
            <wp:docPr id="28" name="Wykres 2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D4CA40" w14:textId="77777777" w:rsidR="00686DFE" w:rsidRPr="00CE5D9A" w:rsidRDefault="00686DFE">
      <w:pPr>
        <w:spacing w:after="0" w:line="27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515FF04F" w14:textId="2FDEC643" w:rsidR="00686DFE" w:rsidRPr="00CE5D9A" w:rsidRDefault="00686DFE">
      <w:pPr>
        <w:spacing w:before="240" w:after="0" w:line="240" w:lineRule="auto"/>
        <w:jc w:val="center"/>
        <w:rPr>
          <w:rFonts w:ascii="Times New Roman" w:hAnsi="Times New Roman"/>
          <w:b/>
          <w:bCs/>
          <w:sz w:val="20"/>
          <w:szCs w:val="20"/>
        </w:rPr>
      </w:pPr>
      <w:bookmarkStart w:id="47" w:name="_Toc117457535"/>
      <w:bookmarkStart w:id="48" w:name="_Toc134966318"/>
      <w:bookmarkStart w:id="49" w:name="_Toc194581415"/>
      <w:r w:rsidRPr="00CE5D9A">
        <w:rPr>
          <w:rFonts w:ascii="Times New Roman" w:hAnsi="Times New Roman"/>
          <w:b/>
          <w:bCs/>
          <w:sz w:val="20"/>
          <w:szCs w:val="20"/>
        </w:rPr>
        <w:lastRenderedPageBreak/>
        <w:t xml:space="preserve">Wykres </w:t>
      </w:r>
      <w:r w:rsidRPr="00CE5D9A">
        <w:rPr>
          <w:rFonts w:ascii="Times New Roman" w:hAnsi="Times New Roman"/>
          <w:b/>
          <w:bCs/>
          <w:sz w:val="20"/>
          <w:szCs w:val="20"/>
        </w:rPr>
        <w:fldChar w:fldCharType="begin"/>
      </w:r>
      <w:r w:rsidRPr="00CE5D9A">
        <w:rPr>
          <w:rFonts w:ascii="Times New Roman" w:hAnsi="Times New Roman"/>
          <w:b/>
          <w:bCs/>
          <w:sz w:val="20"/>
          <w:szCs w:val="20"/>
        </w:rPr>
        <w:instrText xml:space="preserve"> SEQ Wykres \* ARABIC </w:instrText>
      </w:r>
      <w:r w:rsidRPr="00CE5D9A">
        <w:rPr>
          <w:rFonts w:ascii="Times New Roman" w:hAnsi="Times New Roman"/>
          <w:b/>
          <w:bCs/>
          <w:sz w:val="20"/>
          <w:szCs w:val="20"/>
        </w:rPr>
        <w:fldChar w:fldCharType="separate"/>
      </w:r>
      <w:r w:rsidR="00AD7096">
        <w:rPr>
          <w:rFonts w:ascii="Times New Roman" w:hAnsi="Times New Roman"/>
          <w:b/>
          <w:bCs/>
          <w:noProof/>
          <w:sz w:val="20"/>
          <w:szCs w:val="20"/>
        </w:rPr>
        <w:t>6</w:t>
      </w:r>
      <w:r w:rsidRPr="00CE5D9A">
        <w:rPr>
          <w:rFonts w:ascii="Times New Roman" w:hAnsi="Times New Roman"/>
          <w:b/>
          <w:bCs/>
          <w:sz w:val="20"/>
          <w:szCs w:val="20"/>
        </w:rPr>
        <w:fldChar w:fldCharType="end"/>
      </w:r>
      <w:r w:rsidRPr="00CE5D9A">
        <w:rPr>
          <w:rFonts w:ascii="Times New Roman" w:hAnsi="Times New Roman"/>
          <w:b/>
          <w:bCs/>
          <w:sz w:val="20"/>
          <w:szCs w:val="20"/>
        </w:rPr>
        <w:t xml:space="preserve"> Saldo migracji na 1 000 ludności na obszarze LGD w porównaniu do województwa i kraju w 2021 r.</w:t>
      </w:r>
      <w:bookmarkEnd w:id="47"/>
      <w:bookmarkEnd w:id="48"/>
      <w:bookmarkEnd w:id="49"/>
    </w:p>
    <w:p w14:paraId="6892F8AA" w14:textId="77777777" w:rsidR="00D80C23" w:rsidRPr="00CE5D9A" w:rsidRDefault="00D80C23">
      <w:pPr>
        <w:spacing w:after="0"/>
        <w:jc w:val="center"/>
        <w:rPr>
          <w:rFonts w:ascii="Times New Roman" w:hAnsi="Times New Roman"/>
          <w:i/>
          <w:iCs/>
          <w:sz w:val="20"/>
          <w:szCs w:val="20"/>
        </w:rPr>
      </w:pPr>
      <w:r w:rsidRPr="00CE5D9A">
        <w:rPr>
          <w:noProof/>
          <w:lang w:eastAsia="pl-PL"/>
        </w:rPr>
        <w:drawing>
          <wp:inline distT="0" distB="0" distL="0" distR="0" wp14:anchorId="2312585C" wp14:editId="11D47520">
            <wp:extent cx="4572000" cy="2700000"/>
            <wp:effectExtent l="0" t="0" r="0" b="5715"/>
            <wp:docPr id="30" name="Wykres 3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5A7629" w14:textId="77777777" w:rsidR="00686DFE" w:rsidRPr="00CE5D9A" w:rsidRDefault="00686DFE">
      <w:pPr>
        <w:spacing w:after="0"/>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4E73EC05" w14:textId="77777777" w:rsidR="00686DFE" w:rsidRPr="00CE5D9A" w:rsidRDefault="00686DFE">
      <w:pPr>
        <w:pStyle w:val="Akapitzlist"/>
        <w:spacing w:before="240" w:line="360" w:lineRule="auto"/>
        <w:ind w:left="0"/>
        <w:contextualSpacing w:val="0"/>
        <w:jc w:val="center"/>
        <w:rPr>
          <w:rFonts w:ascii="Times New Roman" w:eastAsia="DengXian" w:hAnsi="Times New Roman"/>
          <w:b/>
          <w:bCs/>
        </w:rPr>
      </w:pPr>
      <w:r w:rsidRPr="00CE5D9A">
        <w:rPr>
          <w:rFonts w:ascii="Times New Roman" w:hAnsi="Times New Roman"/>
          <w:b/>
          <w:bCs/>
        </w:rPr>
        <w:t xml:space="preserve">Przy obliczeniu wskaźnika </w:t>
      </w:r>
      <w:r w:rsidRPr="00CE5D9A">
        <w:rPr>
          <w:rFonts w:ascii="Times New Roman" w:hAnsi="Times New Roman"/>
          <w:b/>
          <w:bCs/>
          <w:i/>
          <w:iCs/>
        </w:rPr>
        <w:t>saldo migracji na obszarze według stanu na koniec 2020 r.</w:t>
      </w:r>
      <w:r w:rsidRPr="00CE5D9A">
        <w:rPr>
          <w:rFonts w:ascii="Times New Roman" w:hAnsi="Times New Roman"/>
          <w:b/>
          <w:bCs/>
        </w:rPr>
        <w:t xml:space="preserve"> ze wzoru:</w:t>
      </w:r>
      <w:r w:rsidRPr="00CE5D9A">
        <w:rPr>
          <w:rFonts w:ascii="Times New Roman" w:hAnsi="Times New Roman"/>
          <w:b/>
          <w:bCs/>
        </w:rPr>
        <w:br/>
      </w:r>
      <m:oMath>
        <m:r>
          <m:rPr>
            <m:sty m:val="bi"/>
          </m:rPr>
          <w:rPr>
            <w:rFonts w:ascii="Cambria Math" w:hAnsi="Cambria Math"/>
          </w:rPr>
          <m:t xml:space="preserve">4 x (1-40 x </m:t>
        </m:r>
        <m:f>
          <m:fPr>
            <m:ctrlPr>
              <w:rPr>
                <w:rFonts w:ascii="Cambria Math" w:hAnsi="Cambria Math"/>
                <w:b/>
                <w:bCs/>
                <w:i/>
              </w:rPr>
            </m:ctrlPr>
          </m:fPr>
          <m:num>
            <m:r>
              <m:rPr>
                <m:sty m:val="bi"/>
              </m:rPr>
              <w:rPr>
                <w:rFonts w:ascii="Cambria Math" w:hAnsi="Cambria Math"/>
              </w:rPr>
              <m:t>zameldowania-wymeldowania</m:t>
            </m:r>
          </m:num>
          <m:den>
            <m:r>
              <m:rPr>
                <m:sty m:val="bi"/>
              </m:rPr>
              <w:rPr>
                <w:rFonts w:ascii="Cambria Math" w:hAnsi="Cambria Math"/>
              </w:rPr>
              <m:t>liczba mieszkańców</m:t>
            </m:r>
          </m:den>
        </m:f>
        <m:r>
          <m:rPr>
            <m:sty m:val="bi"/>
          </m:rPr>
          <w:rPr>
            <w:rFonts w:ascii="Cambria Math" w:hAnsi="Cambria Math"/>
          </w:rPr>
          <m:t>)</m:t>
        </m:r>
      </m:oMath>
      <w:r w:rsidR="00D80C23" w:rsidRPr="00CE5D9A">
        <w:rPr>
          <w:rFonts w:ascii="Times New Roman" w:eastAsiaTheme="minorEastAsia" w:hAnsi="Times New Roman"/>
          <w:b/>
          <w:bCs/>
        </w:rPr>
        <w:t xml:space="preserve"> obszar</w:t>
      </w:r>
      <w:r w:rsidR="00D80C23" w:rsidRPr="00CE5D9A">
        <w:rPr>
          <w:rFonts w:ascii="Times New Roman" w:eastAsia="DengXian" w:hAnsi="Times New Roman"/>
          <w:b/>
          <w:bCs/>
        </w:rPr>
        <w:t xml:space="preserve"> </w:t>
      </w:r>
      <w:r w:rsidRPr="00CE5D9A">
        <w:rPr>
          <w:rFonts w:ascii="Times New Roman" w:eastAsia="DengXian" w:hAnsi="Times New Roman"/>
          <w:b/>
          <w:bCs/>
        </w:rPr>
        <w:t>LGD osiąga wartość 3,</w:t>
      </w:r>
      <w:r w:rsidR="00D80C23" w:rsidRPr="00CE5D9A">
        <w:rPr>
          <w:rFonts w:ascii="Times New Roman" w:eastAsia="DengXian" w:hAnsi="Times New Roman"/>
          <w:b/>
          <w:bCs/>
        </w:rPr>
        <w:t>75</w:t>
      </w:r>
      <w:r w:rsidRPr="00CE5D9A">
        <w:rPr>
          <w:rFonts w:ascii="Times New Roman" w:eastAsia="DengXian" w:hAnsi="Times New Roman"/>
          <w:b/>
          <w:bCs/>
        </w:rPr>
        <w:t>.</w:t>
      </w:r>
    </w:p>
    <w:p w14:paraId="50324F96" w14:textId="77777777" w:rsidR="00686DFE" w:rsidRPr="00CE5D9A" w:rsidRDefault="00686DFE" w:rsidP="00D80C23">
      <w:pPr>
        <w:pStyle w:val="Akapitzlist"/>
        <w:spacing w:before="240" w:line="276" w:lineRule="auto"/>
        <w:ind w:left="0" w:firstLine="708"/>
        <w:jc w:val="both"/>
        <w:rPr>
          <w:rFonts w:ascii="Times New Roman" w:hAnsi="Times New Roman"/>
        </w:rPr>
      </w:pPr>
      <w:r w:rsidRPr="00CE5D9A">
        <w:rPr>
          <w:rFonts w:ascii="Times New Roman" w:hAnsi="Times New Roman"/>
        </w:rPr>
        <w:t xml:space="preserve">Ważnym czynnikiem świadczącym o potencjale demograficznym danego obszaru jest kwestia związana z budownictwem mieszkaniowym – można go ocenić za pomocą wskaźnika </w:t>
      </w:r>
      <w:bookmarkStart w:id="50" w:name="_Hlk111037823"/>
      <w:r w:rsidRPr="00CE5D9A">
        <w:rPr>
          <w:rFonts w:ascii="Times New Roman" w:hAnsi="Times New Roman"/>
          <w:i/>
          <w:iCs/>
        </w:rPr>
        <w:t>pozwolenia wydane na budowę i zgłoszenia budowy z projektem budowlanym w przeliczeniu na 10 tys. mieszkańców</w:t>
      </w:r>
      <w:bookmarkEnd w:id="50"/>
      <w:r w:rsidRPr="00CE5D9A">
        <w:rPr>
          <w:rFonts w:ascii="Times New Roman" w:hAnsi="Times New Roman"/>
        </w:rPr>
        <w:t xml:space="preserve">. Wysoka wartość tego wskaźnika </w:t>
      </w:r>
      <w:bookmarkStart w:id="51" w:name="_Hlk111037857"/>
      <w:r w:rsidRPr="00CE5D9A">
        <w:rPr>
          <w:rFonts w:ascii="Times New Roman" w:hAnsi="Times New Roman"/>
        </w:rPr>
        <w:t xml:space="preserve">oznacza, że ludzie chętnie inwestują w dane miejsce jako miejsce zamieszkania – akumulują w nim swój majątek i chcą się w nim osiedlić. </w:t>
      </w:r>
      <w:bookmarkEnd w:id="51"/>
      <w:r w:rsidRPr="00CE5D9A">
        <w:rPr>
          <w:rFonts w:ascii="Times New Roman" w:hAnsi="Times New Roman"/>
        </w:rPr>
        <w:t xml:space="preserve">Wartości wskaźnika dla poszczególnych gmin, a także średnio dla LGD, województwa i kraju w latach 2018–2021 przedstawiono w tabeli 4. Wartości wskaźnika dla obszaru LGD w analizowanym okresie każdorazowo były wyższe od średniej dla województwa i kraju. W 2021 r. odnotowano </w:t>
      </w:r>
      <w:bookmarkStart w:id="52" w:name="_Hlk134961596"/>
      <w:r w:rsidRPr="00CE5D9A">
        <w:rPr>
          <w:rFonts w:ascii="Times New Roman" w:hAnsi="Times New Roman"/>
        </w:rPr>
        <w:t xml:space="preserve">znaczny wzrost wartości wskaźnika dla LGD w stosunku do poprzednich lat. Najkorzystniejszą w tym zakresie sytuacją charakteryzuje się Gmina </w:t>
      </w:r>
      <w:r w:rsidR="00FA38C8" w:rsidRPr="00CE5D9A">
        <w:rPr>
          <w:rFonts w:ascii="Times New Roman" w:hAnsi="Times New Roman"/>
        </w:rPr>
        <w:t>Siepraw</w:t>
      </w:r>
      <w:r w:rsidRPr="00CE5D9A">
        <w:rPr>
          <w:rFonts w:ascii="Times New Roman" w:hAnsi="Times New Roman"/>
        </w:rPr>
        <w:t>, dla której wartość wskaźnika w 2021 r. (</w:t>
      </w:r>
      <w:r w:rsidR="00FA38C8" w:rsidRPr="00CE5D9A">
        <w:rPr>
          <w:rFonts w:ascii="Times New Roman" w:hAnsi="Times New Roman"/>
        </w:rPr>
        <w:t>94</w:t>
      </w:r>
      <w:r w:rsidRPr="00CE5D9A">
        <w:rPr>
          <w:rFonts w:ascii="Times New Roman" w:hAnsi="Times New Roman"/>
        </w:rPr>
        <w:t>) była nie tylko najwyższa wśród gmin LGD, ale również znacznie wyższa od średniej dla województwa i kraju.</w:t>
      </w:r>
    </w:p>
    <w:p w14:paraId="35240A2E" w14:textId="6EDAED27" w:rsidR="00686DFE" w:rsidRPr="00CE5D9A" w:rsidRDefault="00686DFE">
      <w:pPr>
        <w:pStyle w:val="Legenda"/>
        <w:spacing w:after="0"/>
        <w:jc w:val="center"/>
        <w:rPr>
          <w:rFonts w:ascii="Times New Roman" w:hAnsi="Times New Roman"/>
          <w:b/>
          <w:bCs/>
          <w:i w:val="0"/>
          <w:iCs w:val="0"/>
          <w:color w:val="auto"/>
          <w:sz w:val="20"/>
          <w:szCs w:val="20"/>
        </w:rPr>
      </w:pPr>
      <w:bookmarkStart w:id="53" w:name="_Toc112152403"/>
      <w:bookmarkStart w:id="54" w:name="_Toc134966353"/>
      <w:bookmarkStart w:id="55" w:name="_Toc194581428"/>
      <w:bookmarkEnd w:id="52"/>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4</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Pozwolenia wydane na budowę i zgłoszenia budowy z projektem budowlanym w przeliczeniu na 10 tys. mieszkańców w poszczególnych gminach LGD oraz porównanie średniej obszaru LGD do województwa i kraju </w:t>
      </w:r>
      <w:r w:rsidRPr="00CE5D9A">
        <w:rPr>
          <w:rFonts w:ascii="Times New Roman" w:hAnsi="Times New Roman"/>
          <w:b/>
          <w:bCs/>
          <w:i w:val="0"/>
          <w:iCs w:val="0"/>
          <w:color w:val="auto"/>
          <w:sz w:val="20"/>
          <w:szCs w:val="20"/>
        </w:rPr>
        <w:br/>
        <w:t>w latach 2018–2021</w:t>
      </w:r>
      <w:bookmarkEnd w:id="53"/>
      <w:bookmarkEnd w:id="54"/>
      <w:bookmarkEnd w:id="55"/>
    </w:p>
    <w:tbl>
      <w:tblPr>
        <w:tblW w:w="4916" w:type="pct"/>
        <w:tblCellMar>
          <w:left w:w="70" w:type="dxa"/>
          <w:right w:w="70" w:type="dxa"/>
        </w:tblCellMar>
        <w:tblLook w:val="0000" w:firstRow="0" w:lastRow="0" w:firstColumn="0" w:lastColumn="0" w:noHBand="0" w:noVBand="0"/>
      </w:tblPr>
      <w:tblGrid>
        <w:gridCol w:w="3474"/>
        <w:gridCol w:w="1674"/>
        <w:gridCol w:w="1674"/>
        <w:gridCol w:w="1674"/>
        <w:gridCol w:w="1674"/>
      </w:tblGrid>
      <w:tr w:rsidR="00557981" w:rsidRPr="00CE5D9A" w14:paraId="09FEAFF8" w14:textId="77777777" w:rsidTr="00B95DAC">
        <w:trPr>
          <w:trHeight w:val="528"/>
        </w:trPr>
        <w:tc>
          <w:tcPr>
            <w:tcW w:w="1708" w:type="pct"/>
            <w:vMerge w:val="restart"/>
            <w:tcBorders>
              <w:top w:val="single" w:sz="4" w:space="0" w:color="auto"/>
              <w:left w:val="single" w:sz="4" w:space="0" w:color="auto"/>
              <w:bottom w:val="single" w:sz="4" w:space="0" w:color="auto"/>
              <w:right w:val="single" w:sz="4" w:space="0" w:color="auto"/>
            </w:tcBorders>
            <w:noWrap/>
            <w:vAlign w:val="center"/>
          </w:tcPr>
          <w:p w14:paraId="42A754A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3292" w:type="pct"/>
            <w:gridSpan w:val="4"/>
            <w:tcBorders>
              <w:top w:val="single" w:sz="4" w:space="0" w:color="auto"/>
              <w:left w:val="single" w:sz="4" w:space="0" w:color="auto"/>
              <w:bottom w:val="single" w:sz="4" w:space="0" w:color="000000"/>
              <w:right w:val="single" w:sz="4" w:space="0" w:color="000000"/>
            </w:tcBorders>
            <w:vAlign w:val="center"/>
          </w:tcPr>
          <w:p w14:paraId="2866C77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Pozwolenia wydane na budowę i zgłoszenia budowy </w:t>
            </w:r>
            <w:r w:rsidRPr="00CE5D9A">
              <w:rPr>
                <w:rFonts w:ascii="Times New Roman" w:eastAsia="Times New Roman" w:hAnsi="Times New Roman"/>
                <w:b/>
                <w:bCs/>
                <w:sz w:val="20"/>
                <w:szCs w:val="20"/>
                <w:lang w:eastAsia="pl-PL"/>
              </w:rPr>
              <w:br/>
              <w:t>z projektem budowlanym w przeliczeniu na 10 tys. mieszkańców</w:t>
            </w:r>
          </w:p>
        </w:tc>
      </w:tr>
      <w:tr w:rsidR="00557981" w:rsidRPr="00CE5D9A" w14:paraId="151D7AFD" w14:textId="77777777" w:rsidTr="00B95DAC">
        <w:trPr>
          <w:trHeight w:val="281"/>
        </w:trPr>
        <w:tc>
          <w:tcPr>
            <w:tcW w:w="1708" w:type="pct"/>
            <w:vMerge/>
            <w:tcBorders>
              <w:top w:val="single" w:sz="4" w:space="0" w:color="auto"/>
              <w:left w:val="single" w:sz="4" w:space="0" w:color="auto"/>
              <w:bottom w:val="single" w:sz="4" w:space="0" w:color="auto"/>
              <w:right w:val="single" w:sz="4" w:space="0" w:color="auto"/>
            </w:tcBorders>
            <w:vAlign w:val="center"/>
          </w:tcPr>
          <w:p w14:paraId="0AB1761E"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823" w:type="pct"/>
            <w:tcBorders>
              <w:top w:val="nil"/>
              <w:left w:val="nil"/>
              <w:bottom w:val="single" w:sz="4" w:space="0" w:color="auto"/>
              <w:right w:val="single" w:sz="4" w:space="0" w:color="auto"/>
            </w:tcBorders>
            <w:noWrap/>
            <w:vAlign w:val="center"/>
          </w:tcPr>
          <w:p w14:paraId="550D192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823" w:type="pct"/>
            <w:tcBorders>
              <w:top w:val="nil"/>
              <w:left w:val="nil"/>
              <w:bottom w:val="single" w:sz="4" w:space="0" w:color="auto"/>
              <w:right w:val="single" w:sz="4" w:space="0" w:color="auto"/>
            </w:tcBorders>
            <w:noWrap/>
            <w:vAlign w:val="center"/>
          </w:tcPr>
          <w:p w14:paraId="728A556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823" w:type="pct"/>
            <w:tcBorders>
              <w:top w:val="nil"/>
              <w:left w:val="nil"/>
              <w:bottom w:val="single" w:sz="4" w:space="0" w:color="auto"/>
              <w:right w:val="single" w:sz="4" w:space="0" w:color="auto"/>
            </w:tcBorders>
            <w:noWrap/>
            <w:vAlign w:val="center"/>
          </w:tcPr>
          <w:p w14:paraId="3FFBAD7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823" w:type="pct"/>
            <w:tcBorders>
              <w:top w:val="nil"/>
              <w:left w:val="nil"/>
              <w:bottom w:val="single" w:sz="4" w:space="0" w:color="auto"/>
              <w:right w:val="single" w:sz="4" w:space="0" w:color="auto"/>
            </w:tcBorders>
            <w:noWrap/>
            <w:vAlign w:val="center"/>
          </w:tcPr>
          <w:p w14:paraId="353A355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r>
      <w:tr w:rsidR="00557981" w:rsidRPr="00CE5D9A" w14:paraId="7F2129D9"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270405B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823" w:type="pct"/>
            <w:tcBorders>
              <w:top w:val="nil"/>
              <w:left w:val="nil"/>
              <w:bottom w:val="single" w:sz="4" w:space="0" w:color="auto"/>
              <w:right w:val="single" w:sz="4" w:space="0" w:color="auto"/>
            </w:tcBorders>
            <w:noWrap/>
            <w:vAlign w:val="center"/>
          </w:tcPr>
          <w:p w14:paraId="605C141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30</w:t>
            </w:r>
          </w:p>
        </w:tc>
        <w:tc>
          <w:tcPr>
            <w:tcW w:w="823" w:type="pct"/>
            <w:tcBorders>
              <w:top w:val="nil"/>
              <w:left w:val="nil"/>
              <w:bottom w:val="single" w:sz="4" w:space="0" w:color="auto"/>
              <w:right w:val="single" w:sz="4" w:space="0" w:color="auto"/>
            </w:tcBorders>
            <w:noWrap/>
            <w:vAlign w:val="center"/>
          </w:tcPr>
          <w:p w14:paraId="477BDC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36</w:t>
            </w:r>
          </w:p>
        </w:tc>
        <w:tc>
          <w:tcPr>
            <w:tcW w:w="823" w:type="pct"/>
            <w:tcBorders>
              <w:top w:val="nil"/>
              <w:left w:val="nil"/>
              <w:bottom w:val="single" w:sz="4" w:space="0" w:color="auto"/>
              <w:right w:val="single" w:sz="4" w:space="0" w:color="auto"/>
            </w:tcBorders>
            <w:noWrap/>
            <w:vAlign w:val="center"/>
          </w:tcPr>
          <w:p w14:paraId="75B49CF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31</w:t>
            </w:r>
          </w:p>
        </w:tc>
        <w:tc>
          <w:tcPr>
            <w:tcW w:w="823" w:type="pct"/>
            <w:tcBorders>
              <w:top w:val="nil"/>
              <w:left w:val="nil"/>
              <w:bottom w:val="single" w:sz="4" w:space="0" w:color="auto"/>
              <w:right w:val="single" w:sz="4" w:space="0" w:color="auto"/>
            </w:tcBorders>
            <w:noWrap/>
            <w:vAlign w:val="center"/>
          </w:tcPr>
          <w:p w14:paraId="2CF6477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32</w:t>
            </w:r>
          </w:p>
        </w:tc>
      </w:tr>
      <w:tr w:rsidR="00557981" w:rsidRPr="00CE5D9A" w14:paraId="28B07E5D"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364F66D0"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823" w:type="pct"/>
            <w:tcBorders>
              <w:top w:val="nil"/>
              <w:left w:val="nil"/>
              <w:bottom w:val="single" w:sz="4" w:space="0" w:color="auto"/>
              <w:right w:val="single" w:sz="4" w:space="0" w:color="auto"/>
            </w:tcBorders>
            <w:noWrap/>
            <w:vAlign w:val="center"/>
          </w:tcPr>
          <w:p w14:paraId="1F28128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w:t>
            </w:r>
          </w:p>
        </w:tc>
        <w:tc>
          <w:tcPr>
            <w:tcW w:w="823" w:type="pct"/>
            <w:tcBorders>
              <w:top w:val="nil"/>
              <w:left w:val="nil"/>
              <w:bottom w:val="single" w:sz="4" w:space="0" w:color="auto"/>
              <w:right w:val="single" w:sz="4" w:space="0" w:color="auto"/>
            </w:tcBorders>
            <w:noWrap/>
            <w:vAlign w:val="center"/>
          </w:tcPr>
          <w:p w14:paraId="5F5AA9A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w:t>
            </w:r>
          </w:p>
        </w:tc>
        <w:tc>
          <w:tcPr>
            <w:tcW w:w="823" w:type="pct"/>
            <w:tcBorders>
              <w:top w:val="nil"/>
              <w:left w:val="nil"/>
              <w:bottom w:val="single" w:sz="4" w:space="0" w:color="auto"/>
              <w:right w:val="single" w:sz="4" w:space="0" w:color="auto"/>
            </w:tcBorders>
            <w:noWrap/>
            <w:vAlign w:val="center"/>
          </w:tcPr>
          <w:p w14:paraId="342ADD0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51</w:t>
            </w:r>
          </w:p>
        </w:tc>
        <w:tc>
          <w:tcPr>
            <w:tcW w:w="823" w:type="pct"/>
            <w:tcBorders>
              <w:top w:val="nil"/>
              <w:left w:val="nil"/>
              <w:bottom w:val="single" w:sz="4" w:space="0" w:color="auto"/>
              <w:right w:val="single" w:sz="4" w:space="0" w:color="auto"/>
            </w:tcBorders>
            <w:noWrap/>
            <w:vAlign w:val="center"/>
          </w:tcPr>
          <w:p w14:paraId="6B6F522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w:t>
            </w:r>
          </w:p>
        </w:tc>
      </w:tr>
      <w:tr w:rsidR="00557981" w:rsidRPr="00CE5D9A" w14:paraId="46A41BFD"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15EC6C90"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823" w:type="pct"/>
            <w:tcBorders>
              <w:top w:val="nil"/>
              <w:left w:val="nil"/>
              <w:bottom w:val="single" w:sz="4" w:space="0" w:color="auto"/>
              <w:right w:val="single" w:sz="4" w:space="0" w:color="auto"/>
            </w:tcBorders>
            <w:noWrap/>
            <w:vAlign w:val="center"/>
          </w:tcPr>
          <w:p w14:paraId="2A0D7B5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45</w:t>
            </w:r>
          </w:p>
        </w:tc>
        <w:tc>
          <w:tcPr>
            <w:tcW w:w="823" w:type="pct"/>
            <w:tcBorders>
              <w:top w:val="nil"/>
              <w:left w:val="nil"/>
              <w:bottom w:val="single" w:sz="4" w:space="0" w:color="auto"/>
              <w:right w:val="single" w:sz="4" w:space="0" w:color="auto"/>
            </w:tcBorders>
            <w:noWrap/>
            <w:vAlign w:val="center"/>
          </w:tcPr>
          <w:p w14:paraId="6240DCA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57</w:t>
            </w:r>
          </w:p>
        </w:tc>
        <w:tc>
          <w:tcPr>
            <w:tcW w:w="823" w:type="pct"/>
            <w:tcBorders>
              <w:top w:val="nil"/>
              <w:left w:val="nil"/>
              <w:bottom w:val="single" w:sz="4" w:space="0" w:color="auto"/>
              <w:right w:val="single" w:sz="4" w:space="0" w:color="auto"/>
            </w:tcBorders>
            <w:noWrap/>
            <w:vAlign w:val="center"/>
          </w:tcPr>
          <w:p w14:paraId="6D5E6A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38</w:t>
            </w:r>
          </w:p>
        </w:tc>
        <w:tc>
          <w:tcPr>
            <w:tcW w:w="823" w:type="pct"/>
            <w:tcBorders>
              <w:top w:val="nil"/>
              <w:left w:val="nil"/>
              <w:bottom w:val="single" w:sz="4" w:space="0" w:color="auto"/>
              <w:right w:val="single" w:sz="4" w:space="0" w:color="auto"/>
            </w:tcBorders>
            <w:noWrap/>
            <w:vAlign w:val="center"/>
          </w:tcPr>
          <w:p w14:paraId="5A3537A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48</w:t>
            </w:r>
          </w:p>
        </w:tc>
      </w:tr>
      <w:tr w:rsidR="00557981" w:rsidRPr="00CE5D9A" w14:paraId="43A18D26"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20D2A67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823" w:type="pct"/>
            <w:tcBorders>
              <w:top w:val="nil"/>
              <w:left w:val="nil"/>
              <w:bottom w:val="single" w:sz="4" w:space="0" w:color="auto"/>
              <w:right w:val="single" w:sz="4" w:space="0" w:color="auto"/>
            </w:tcBorders>
            <w:noWrap/>
            <w:vAlign w:val="center"/>
          </w:tcPr>
          <w:p w14:paraId="4C489F6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w:t>
            </w:r>
          </w:p>
        </w:tc>
        <w:tc>
          <w:tcPr>
            <w:tcW w:w="823" w:type="pct"/>
            <w:tcBorders>
              <w:top w:val="nil"/>
              <w:left w:val="nil"/>
              <w:bottom w:val="single" w:sz="4" w:space="0" w:color="auto"/>
              <w:right w:val="single" w:sz="4" w:space="0" w:color="auto"/>
            </w:tcBorders>
            <w:noWrap/>
            <w:vAlign w:val="center"/>
          </w:tcPr>
          <w:p w14:paraId="19184ED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51</w:t>
            </w:r>
          </w:p>
        </w:tc>
        <w:tc>
          <w:tcPr>
            <w:tcW w:w="823" w:type="pct"/>
            <w:tcBorders>
              <w:top w:val="nil"/>
              <w:left w:val="nil"/>
              <w:bottom w:val="single" w:sz="4" w:space="0" w:color="auto"/>
              <w:right w:val="single" w:sz="4" w:space="0" w:color="auto"/>
            </w:tcBorders>
            <w:noWrap/>
            <w:vAlign w:val="center"/>
          </w:tcPr>
          <w:p w14:paraId="54967EA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w:t>
            </w:r>
          </w:p>
        </w:tc>
        <w:tc>
          <w:tcPr>
            <w:tcW w:w="823" w:type="pct"/>
            <w:tcBorders>
              <w:top w:val="nil"/>
              <w:left w:val="nil"/>
              <w:bottom w:val="single" w:sz="4" w:space="0" w:color="auto"/>
              <w:right w:val="single" w:sz="4" w:space="0" w:color="auto"/>
            </w:tcBorders>
            <w:noWrap/>
            <w:vAlign w:val="center"/>
          </w:tcPr>
          <w:p w14:paraId="2C869F7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73</w:t>
            </w:r>
          </w:p>
        </w:tc>
      </w:tr>
      <w:tr w:rsidR="00557981" w:rsidRPr="00CE5D9A" w14:paraId="26C2938B" w14:textId="77777777" w:rsidTr="00D26A09">
        <w:trPr>
          <w:trHeight w:val="369"/>
        </w:trPr>
        <w:tc>
          <w:tcPr>
            <w:tcW w:w="1708" w:type="pct"/>
            <w:tcBorders>
              <w:top w:val="nil"/>
              <w:left w:val="single" w:sz="4" w:space="0" w:color="auto"/>
              <w:bottom w:val="single" w:sz="4" w:space="0" w:color="auto"/>
              <w:right w:val="single" w:sz="4" w:space="0" w:color="auto"/>
            </w:tcBorders>
            <w:noWrap/>
            <w:vAlign w:val="center"/>
          </w:tcPr>
          <w:p w14:paraId="27B0C59F" w14:textId="77777777" w:rsidR="00D26A09" w:rsidRPr="00CE5D9A" w:rsidRDefault="00D26A09" w:rsidP="00D26A09">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823" w:type="pct"/>
            <w:tcBorders>
              <w:top w:val="nil"/>
              <w:left w:val="nil"/>
              <w:bottom w:val="single" w:sz="4" w:space="0" w:color="auto"/>
              <w:right w:val="single" w:sz="4" w:space="0" w:color="auto"/>
            </w:tcBorders>
            <w:noWrap/>
            <w:vAlign w:val="center"/>
          </w:tcPr>
          <w:p w14:paraId="439A1DEF" w14:textId="77777777" w:rsidR="00D26A09" w:rsidRPr="00CE5D9A" w:rsidRDefault="00D26A09" w:rsidP="00D26A09">
            <w:pPr>
              <w:spacing w:after="0"/>
              <w:jc w:val="center"/>
            </w:pPr>
            <w:r w:rsidRPr="00CE5D9A">
              <w:t>86</w:t>
            </w:r>
          </w:p>
        </w:tc>
        <w:tc>
          <w:tcPr>
            <w:tcW w:w="823" w:type="pct"/>
            <w:tcBorders>
              <w:top w:val="nil"/>
              <w:left w:val="nil"/>
              <w:bottom w:val="single" w:sz="4" w:space="0" w:color="auto"/>
              <w:right w:val="single" w:sz="4" w:space="0" w:color="auto"/>
            </w:tcBorders>
            <w:noWrap/>
            <w:vAlign w:val="center"/>
          </w:tcPr>
          <w:p w14:paraId="0A7B2402" w14:textId="77777777" w:rsidR="00D26A09" w:rsidRPr="00CE5D9A" w:rsidRDefault="00D26A09" w:rsidP="00D26A09">
            <w:pPr>
              <w:spacing w:after="0"/>
              <w:jc w:val="center"/>
            </w:pPr>
            <w:r w:rsidRPr="00CE5D9A">
              <w:t>69</w:t>
            </w:r>
          </w:p>
        </w:tc>
        <w:tc>
          <w:tcPr>
            <w:tcW w:w="823" w:type="pct"/>
            <w:tcBorders>
              <w:top w:val="nil"/>
              <w:left w:val="nil"/>
              <w:bottom w:val="single" w:sz="4" w:space="0" w:color="auto"/>
              <w:right w:val="single" w:sz="4" w:space="0" w:color="auto"/>
            </w:tcBorders>
            <w:noWrap/>
            <w:vAlign w:val="center"/>
          </w:tcPr>
          <w:p w14:paraId="31210D76" w14:textId="77777777" w:rsidR="00D26A09" w:rsidRPr="00CE5D9A" w:rsidRDefault="00D26A09" w:rsidP="00D26A09">
            <w:pPr>
              <w:spacing w:after="0"/>
              <w:jc w:val="center"/>
            </w:pPr>
            <w:r w:rsidRPr="00CE5D9A">
              <w:t>56</w:t>
            </w:r>
          </w:p>
        </w:tc>
        <w:tc>
          <w:tcPr>
            <w:tcW w:w="823" w:type="pct"/>
            <w:tcBorders>
              <w:top w:val="nil"/>
              <w:left w:val="nil"/>
              <w:bottom w:val="single" w:sz="4" w:space="0" w:color="auto"/>
              <w:right w:val="single" w:sz="4" w:space="0" w:color="auto"/>
            </w:tcBorders>
            <w:noWrap/>
            <w:vAlign w:val="center"/>
          </w:tcPr>
          <w:p w14:paraId="5C0E2C33" w14:textId="77777777" w:rsidR="00D26A09" w:rsidRPr="00CE5D9A" w:rsidRDefault="00D26A09" w:rsidP="00D26A09">
            <w:pPr>
              <w:spacing w:after="0"/>
              <w:jc w:val="center"/>
            </w:pPr>
            <w:r w:rsidRPr="00CE5D9A">
              <w:t>94</w:t>
            </w:r>
          </w:p>
        </w:tc>
      </w:tr>
      <w:tr w:rsidR="00557981" w:rsidRPr="00CE5D9A" w14:paraId="7E4F8F52"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11A30E5F"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823" w:type="pct"/>
            <w:tcBorders>
              <w:top w:val="nil"/>
              <w:left w:val="nil"/>
              <w:bottom w:val="single" w:sz="4" w:space="0" w:color="auto"/>
              <w:right w:val="single" w:sz="4" w:space="0" w:color="auto"/>
            </w:tcBorders>
            <w:noWrap/>
            <w:vAlign w:val="center"/>
          </w:tcPr>
          <w:p w14:paraId="376B01F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52</w:t>
            </w:r>
          </w:p>
        </w:tc>
        <w:tc>
          <w:tcPr>
            <w:tcW w:w="823" w:type="pct"/>
            <w:tcBorders>
              <w:top w:val="nil"/>
              <w:left w:val="nil"/>
              <w:bottom w:val="single" w:sz="4" w:space="0" w:color="auto"/>
              <w:right w:val="single" w:sz="4" w:space="0" w:color="auto"/>
            </w:tcBorders>
            <w:noWrap/>
            <w:vAlign w:val="center"/>
          </w:tcPr>
          <w:p w14:paraId="1F36539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48</w:t>
            </w:r>
          </w:p>
        </w:tc>
        <w:tc>
          <w:tcPr>
            <w:tcW w:w="823" w:type="pct"/>
            <w:tcBorders>
              <w:top w:val="nil"/>
              <w:left w:val="nil"/>
              <w:bottom w:val="single" w:sz="4" w:space="0" w:color="auto"/>
              <w:right w:val="single" w:sz="4" w:space="0" w:color="auto"/>
            </w:tcBorders>
            <w:noWrap/>
            <w:vAlign w:val="center"/>
          </w:tcPr>
          <w:p w14:paraId="0230B36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w:t>
            </w:r>
          </w:p>
        </w:tc>
        <w:tc>
          <w:tcPr>
            <w:tcW w:w="823" w:type="pct"/>
            <w:tcBorders>
              <w:top w:val="nil"/>
              <w:left w:val="nil"/>
              <w:bottom w:val="single" w:sz="4" w:space="0" w:color="auto"/>
              <w:right w:val="single" w:sz="4" w:space="0" w:color="auto"/>
            </w:tcBorders>
            <w:noWrap/>
            <w:vAlign w:val="center"/>
          </w:tcPr>
          <w:p w14:paraId="2160169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73</w:t>
            </w:r>
          </w:p>
        </w:tc>
      </w:tr>
      <w:tr w:rsidR="00557981" w:rsidRPr="00CE5D9A" w14:paraId="2BDE33EC"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4D3A464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823" w:type="pct"/>
            <w:tcBorders>
              <w:top w:val="nil"/>
              <w:left w:val="nil"/>
              <w:bottom w:val="single" w:sz="4" w:space="0" w:color="auto"/>
              <w:right w:val="single" w:sz="4" w:space="0" w:color="auto"/>
            </w:tcBorders>
            <w:noWrap/>
            <w:vAlign w:val="center"/>
          </w:tcPr>
          <w:p w14:paraId="4FA71DF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w:t>
            </w:r>
          </w:p>
        </w:tc>
        <w:tc>
          <w:tcPr>
            <w:tcW w:w="823" w:type="pct"/>
            <w:tcBorders>
              <w:top w:val="nil"/>
              <w:left w:val="nil"/>
              <w:bottom w:val="single" w:sz="4" w:space="0" w:color="auto"/>
              <w:right w:val="single" w:sz="4" w:space="0" w:color="auto"/>
            </w:tcBorders>
            <w:noWrap/>
            <w:vAlign w:val="center"/>
          </w:tcPr>
          <w:p w14:paraId="5936209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w:t>
            </w:r>
          </w:p>
        </w:tc>
        <w:tc>
          <w:tcPr>
            <w:tcW w:w="823" w:type="pct"/>
            <w:tcBorders>
              <w:top w:val="nil"/>
              <w:left w:val="nil"/>
              <w:bottom w:val="single" w:sz="4" w:space="0" w:color="auto"/>
              <w:right w:val="single" w:sz="4" w:space="0" w:color="auto"/>
            </w:tcBorders>
            <w:noWrap/>
            <w:vAlign w:val="center"/>
          </w:tcPr>
          <w:p w14:paraId="0C8E1F9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37</w:t>
            </w:r>
          </w:p>
        </w:tc>
        <w:tc>
          <w:tcPr>
            <w:tcW w:w="823" w:type="pct"/>
            <w:tcBorders>
              <w:top w:val="nil"/>
              <w:left w:val="nil"/>
              <w:bottom w:val="single" w:sz="4" w:space="0" w:color="auto"/>
              <w:right w:val="single" w:sz="4" w:space="0" w:color="auto"/>
            </w:tcBorders>
            <w:noWrap/>
            <w:vAlign w:val="center"/>
          </w:tcPr>
          <w:p w14:paraId="435EEE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58</w:t>
            </w:r>
          </w:p>
        </w:tc>
      </w:tr>
      <w:tr w:rsidR="00557981" w:rsidRPr="00CE5D9A" w14:paraId="16BE5A69"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067AB31D"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823" w:type="pct"/>
            <w:tcBorders>
              <w:top w:val="nil"/>
              <w:left w:val="nil"/>
              <w:bottom w:val="single" w:sz="4" w:space="0" w:color="auto"/>
              <w:right w:val="single" w:sz="4" w:space="0" w:color="auto"/>
            </w:tcBorders>
            <w:noWrap/>
            <w:vAlign w:val="center"/>
          </w:tcPr>
          <w:p w14:paraId="2C3612D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42</w:t>
            </w:r>
          </w:p>
        </w:tc>
        <w:tc>
          <w:tcPr>
            <w:tcW w:w="823" w:type="pct"/>
            <w:tcBorders>
              <w:top w:val="nil"/>
              <w:left w:val="nil"/>
              <w:bottom w:val="single" w:sz="4" w:space="0" w:color="auto"/>
              <w:right w:val="single" w:sz="4" w:space="0" w:color="auto"/>
            </w:tcBorders>
            <w:noWrap/>
            <w:vAlign w:val="center"/>
          </w:tcPr>
          <w:p w14:paraId="317E6C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w:t>
            </w:r>
          </w:p>
        </w:tc>
        <w:tc>
          <w:tcPr>
            <w:tcW w:w="823" w:type="pct"/>
            <w:tcBorders>
              <w:top w:val="nil"/>
              <w:left w:val="nil"/>
              <w:bottom w:val="single" w:sz="4" w:space="0" w:color="auto"/>
              <w:right w:val="single" w:sz="4" w:space="0" w:color="auto"/>
            </w:tcBorders>
            <w:noWrap/>
            <w:vAlign w:val="center"/>
          </w:tcPr>
          <w:p w14:paraId="5A02DD7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w:t>
            </w:r>
          </w:p>
        </w:tc>
        <w:tc>
          <w:tcPr>
            <w:tcW w:w="823" w:type="pct"/>
            <w:tcBorders>
              <w:top w:val="nil"/>
              <w:left w:val="nil"/>
              <w:bottom w:val="single" w:sz="4" w:space="0" w:color="auto"/>
              <w:right w:val="single" w:sz="4" w:space="0" w:color="auto"/>
            </w:tcBorders>
            <w:noWrap/>
            <w:vAlign w:val="center"/>
          </w:tcPr>
          <w:p w14:paraId="3AF6524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r>
      <w:tr w:rsidR="00557981" w:rsidRPr="00CE5D9A" w14:paraId="733E3E0D" w14:textId="77777777" w:rsidTr="00D26A09">
        <w:trPr>
          <w:trHeight w:val="369"/>
        </w:trPr>
        <w:tc>
          <w:tcPr>
            <w:tcW w:w="1708" w:type="pct"/>
            <w:tcBorders>
              <w:top w:val="nil"/>
              <w:left w:val="single" w:sz="4" w:space="0" w:color="auto"/>
              <w:bottom w:val="single" w:sz="4" w:space="0" w:color="auto"/>
              <w:right w:val="single" w:sz="4" w:space="0" w:color="auto"/>
            </w:tcBorders>
            <w:noWrap/>
            <w:vAlign w:val="center"/>
          </w:tcPr>
          <w:p w14:paraId="5EA02117" w14:textId="77777777" w:rsidR="00D26A09" w:rsidRPr="008F6A9A" w:rsidRDefault="00D26A09" w:rsidP="00D26A09">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1F9F3CF9" w14:textId="6425F967" w:rsidR="008F6A9A" w:rsidRPr="00CE5D9A" w:rsidRDefault="008F6A9A" w:rsidP="00D26A09">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823" w:type="pct"/>
            <w:tcBorders>
              <w:top w:val="nil"/>
              <w:left w:val="nil"/>
              <w:bottom w:val="single" w:sz="4" w:space="0" w:color="auto"/>
              <w:right w:val="single" w:sz="4" w:space="0" w:color="auto"/>
            </w:tcBorders>
            <w:noWrap/>
            <w:vAlign w:val="center"/>
          </w:tcPr>
          <w:p w14:paraId="3AF2D33B" w14:textId="77777777" w:rsidR="00D26A09" w:rsidRPr="00CE5D9A" w:rsidRDefault="00D26A09" w:rsidP="00D26A09">
            <w:pPr>
              <w:spacing w:after="0"/>
              <w:jc w:val="center"/>
            </w:pPr>
            <w:r w:rsidRPr="00CE5D9A">
              <w:t>49</w:t>
            </w:r>
          </w:p>
        </w:tc>
        <w:tc>
          <w:tcPr>
            <w:tcW w:w="823" w:type="pct"/>
            <w:tcBorders>
              <w:top w:val="nil"/>
              <w:left w:val="nil"/>
              <w:bottom w:val="single" w:sz="4" w:space="0" w:color="auto"/>
              <w:right w:val="single" w:sz="4" w:space="0" w:color="auto"/>
            </w:tcBorders>
            <w:noWrap/>
            <w:vAlign w:val="center"/>
          </w:tcPr>
          <w:p w14:paraId="109E4FCF" w14:textId="77777777" w:rsidR="00D26A09" w:rsidRPr="00CE5D9A" w:rsidRDefault="00D26A09" w:rsidP="00D26A09">
            <w:pPr>
              <w:spacing w:after="0"/>
              <w:jc w:val="center"/>
            </w:pPr>
            <w:r w:rsidRPr="00CE5D9A">
              <w:t>49</w:t>
            </w:r>
          </w:p>
        </w:tc>
        <w:tc>
          <w:tcPr>
            <w:tcW w:w="823" w:type="pct"/>
            <w:tcBorders>
              <w:top w:val="nil"/>
              <w:left w:val="nil"/>
              <w:bottom w:val="single" w:sz="4" w:space="0" w:color="auto"/>
              <w:right w:val="single" w:sz="4" w:space="0" w:color="auto"/>
            </w:tcBorders>
            <w:noWrap/>
            <w:vAlign w:val="center"/>
          </w:tcPr>
          <w:p w14:paraId="246875B8" w14:textId="77777777" w:rsidR="00D26A09" w:rsidRPr="00CE5D9A" w:rsidRDefault="00D26A09" w:rsidP="00D26A09">
            <w:pPr>
              <w:spacing w:after="0"/>
              <w:jc w:val="center"/>
            </w:pPr>
            <w:r w:rsidRPr="00CE5D9A">
              <w:t>48</w:t>
            </w:r>
          </w:p>
        </w:tc>
        <w:tc>
          <w:tcPr>
            <w:tcW w:w="823" w:type="pct"/>
            <w:tcBorders>
              <w:top w:val="nil"/>
              <w:left w:val="nil"/>
              <w:bottom w:val="single" w:sz="4" w:space="0" w:color="auto"/>
              <w:right w:val="single" w:sz="4" w:space="0" w:color="auto"/>
            </w:tcBorders>
            <w:noWrap/>
            <w:vAlign w:val="center"/>
          </w:tcPr>
          <w:p w14:paraId="5678CC30" w14:textId="77777777" w:rsidR="00D26A09" w:rsidRPr="00CE5D9A" w:rsidRDefault="00D26A09" w:rsidP="00D26A09">
            <w:pPr>
              <w:spacing w:after="0"/>
              <w:jc w:val="center"/>
            </w:pPr>
            <w:r w:rsidRPr="00CE5D9A">
              <w:t>60</w:t>
            </w:r>
          </w:p>
        </w:tc>
      </w:tr>
      <w:tr w:rsidR="00557981" w:rsidRPr="00CE5D9A" w14:paraId="1E976BE0"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35DF792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823" w:type="pct"/>
            <w:tcBorders>
              <w:top w:val="nil"/>
              <w:left w:val="nil"/>
              <w:bottom w:val="single" w:sz="4" w:space="0" w:color="auto"/>
              <w:right w:val="single" w:sz="4" w:space="0" w:color="auto"/>
            </w:tcBorders>
            <w:noWrap/>
            <w:vAlign w:val="center"/>
          </w:tcPr>
          <w:p w14:paraId="59378D8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31</w:t>
            </w:r>
          </w:p>
        </w:tc>
        <w:tc>
          <w:tcPr>
            <w:tcW w:w="823" w:type="pct"/>
            <w:tcBorders>
              <w:top w:val="nil"/>
              <w:left w:val="nil"/>
              <w:bottom w:val="single" w:sz="4" w:space="0" w:color="auto"/>
              <w:right w:val="single" w:sz="4" w:space="0" w:color="auto"/>
            </w:tcBorders>
            <w:noWrap/>
            <w:vAlign w:val="center"/>
          </w:tcPr>
          <w:p w14:paraId="433D755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32</w:t>
            </w:r>
          </w:p>
        </w:tc>
        <w:tc>
          <w:tcPr>
            <w:tcW w:w="823" w:type="pct"/>
            <w:tcBorders>
              <w:top w:val="nil"/>
              <w:left w:val="nil"/>
              <w:bottom w:val="single" w:sz="4" w:space="0" w:color="auto"/>
              <w:right w:val="single" w:sz="4" w:space="0" w:color="auto"/>
            </w:tcBorders>
            <w:noWrap/>
            <w:vAlign w:val="center"/>
          </w:tcPr>
          <w:p w14:paraId="27CC849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32</w:t>
            </w:r>
          </w:p>
        </w:tc>
        <w:tc>
          <w:tcPr>
            <w:tcW w:w="823" w:type="pct"/>
            <w:tcBorders>
              <w:top w:val="nil"/>
              <w:left w:val="nil"/>
              <w:bottom w:val="single" w:sz="4" w:space="0" w:color="auto"/>
              <w:right w:val="single" w:sz="4" w:space="0" w:color="auto"/>
            </w:tcBorders>
            <w:noWrap/>
            <w:vAlign w:val="center"/>
          </w:tcPr>
          <w:p w14:paraId="6C0889B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38</w:t>
            </w:r>
          </w:p>
        </w:tc>
      </w:tr>
      <w:tr w:rsidR="00557981" w:rsidRPr="00CE5D9A" w14:paraId="05A8275F" w14:textId="77777777">
        <w:trPr>
          <w:trHeight w:val="369"/>
        </w:trPr>
        <w:tc>
          <w:tcPr>
            <w:tcW w:w="1708" w:type="pct"/>
            <w:tcBorders>
              <w:top w:val="nil"/>
              <w:left w:val="single" w:sz="4" w:space="0" w:color="auto"/>
              <w:bottom w:val="single" w:sz="4" w:space="0" w:color="auto"/>
              <w:right w:val="single" w:sz="4" w:space="0" w:color="auto"/>
            </w:tcBorders>
            <w:noWrap/>
            <w:vAlign w:val="center"/>
          </w:tcPr>
          <w:p w14:paraId="32122DB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823" w:type="pct"/>
            <w:tcBorders>
              <w:top w:val="nil"/>
              <w:left w:val="nil"/>
              <w:bottom w:val="single" w:sz="4" w:space="0" w:color="auto"/>
              <w:right w:val="single" w:sz="4" w:space="0" w:color="auto"/>
            </w:tcBorders>
            <w:noWrap/>
            <w:vAlign w:val="center"/>
          </w:tcPr>
          <w:p w14:paraId="7E71A2C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w:t>
            </w:r>
          </w:p>
        </w:tc>
        <w:tc>
          <w:tcPr>
            <w:tcW w:w="823" w:type="pct"/>
            <w:tcBorders>
              <w:top w:val="nil"/>
              <w:left w:val="nil"/>
              <w:bottom w:val="single" w:sz="4" w:space="0" w:color="auto"/>
              <w:right w:val="single" w:sz="4" w:space="0" w:color="auto"/>
            </w:tcBorders>
            <w:noWrap/>
            <w:vAlign w:val="center"/>
          </w:tcPr>
          <w:p w14:paraId="687F3E9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26</w:t>
            </w:r>
          </w:p>
        </w:tc>
        <w:tc>
          <w:tcPr>
            <w:tcW w:w="823" w:type="pct"/>
            <w:tcBorders>
              <w:top w:val="nil"/>
              <w:left w:val="nil"/>
              <w:bottom w:val="single" w:sz="4" w:space="0" w:color="auto"/>
              <w:right w:val="single" w:sz="4" w:space="0" w:color="auto"/>
            </w:tcBorders>
            <w:noWrap/>
            <w:vAlign w:val="center"/>
          </w:tcPr>
          <w:p w14:paraId="749199B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28</w:t>
            </w:r>
          </w:p>
        </w:tc>
        <w:tc>
          <w:tcPr>
            <w:tcW w:w="823" w:type="pct"/>
            <w:tcBorders>
              <w:top w:val="nil"/>
              <w:left w:val="nil"/>
              <w:bottom w:val="single" w:sz="4" w:space="0" w:color="auto"/>
              <w:right w:val="single" w:sz="4" w:space="0" w:color="auto"/>
            </w:tcBorders>
            <w:noWrap/>
            <w:vAlign w:val="center"/>
          </w:tcPr>
          <w:p w14:paraId="10C2364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35</w:t>
            </w:r>
          </w:p>
        </w:tc>
      </w:tr>
    </w:tbl>
    <w:p w14:paraId="1EFB0D21" w14:textId="77777777" w:rsidR="00FA38C8" w:rsidRPr="00CE5D9A" w:rsidRDefault="00686DFE">
      <w:pPr>
        <w:spacing w:after="0" w:line="276" w:lineRule="auto"/>
        <w:jc w:val="center"/>
        <w:rPr>
          <w:rFonts w:ascii="Times New Roman" w:hAnsi="Times New Roman"/>
          <w:i/>
          <w:iCs/>
          <w:sz w:val="20"/>
          <w:szCs w:val="20"/>
        </w:rPr>
      </w:pPr>
      <w:r w:rsidRPr="00CE5D9A">
        <w:rPr>
          <w:rFonts w:ascii="Times New Roman" w:hAnsi="Times New Roman"/>
          <w:i/>
          <w:iCs/>
          <w:sz w:val="20"/>
          <w:szCs w:val="20"/>
        </w:rPr>
        <w:lastRenderedPageBreak/>
        <w:t>Źródło: opracowanie własne na podstawie danych GUS</w:t>
      </w:r>
    </w:p>
    <w:p w14:paraId="20336582" w14:textId="77777777" w:rsidR="00686DFE" w:rsidRPr="00CE5D9A" w:rsidRDefault="00686DFE">
      <w:pPr>
        <w:pStyle w:val="Akapitzlist"/>
        <w:numPr>
          <w:ilvl w:val="1"/>
          <w:numId w:val="15"/>
        </w:numPr>
        <w:spacing w:before="240"/>
        <w:rPr>
          <w:rFonts w:ascii="Times New Roman" w:hAnsi="Times New Roman"/>
          <w:b/>
          <w:bCs/>
        </w:rPr>
      </w:pPr>
      <w:r w:rsidRPr="00CE5D9A">
        <w:rPr>
          <w:rFonts w:ascii="Times New Roman" w:hAnsi="Times New Roman"/>
          <w:b/>
          <w:bCs/>
        </w:rPr>
        <w:t>Gospodarka, przedsiębiorczość i sektor społeczny</w:t>
      </w:r>
    </w:p>
    <w:p w14:paraId="6ECA00BE" w14:textId="6FFB8D14"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Sytuację gospodarczą obszaru LGD odzwierciedlają wskaźniki gospodarcze, tj. </w:t>
      </w:r>
      <w:r w:rsidRPr="00CE5D9A">
        <w:rPr>
          <w:rFonts w:ascii="Times New Roman" w:hAnsi="Times New Roman"/>
          <w:i/>
          <w:iCs/>
        </w:rPr>
        <w:t>podmioty wpisane do rejestru REGON na 10 tys. ludności</w:t>
      </w:r>
      <w:r w:rsidRPr="00CE5D9A">
        <w:rPr>
          <w:rFonts w:ascii="Times New Roman" w:hAnsi="Times New Roman"/>
        </w:rPr>
        <w:t xml:space="preserve"> oraz </w:t>
      </w:r>
      <w:r w:rsidRPr="00CE5D9A">
        <w:rPr>
          <w:rFonts w:ascii="Times New Roman" w:hAnsi="Times New Roman"/>
          <w:i/>
          <w:iCs/>
        </w:rPr>
        <w:t>podmioty nowo zarejestrowane w rejestrze REGON na 10 tys. ludności w wieku produkcyjnym</w:t>
      </w:r>
      <w:r w:rsidRPr="00CE5D9A">
        <w:rPr>
          <w:rFonts w:ascii="Times New Roman" w:hAnsi="Times New Roman"/>
        </w:rPr>
        <w:t xml:space="preserve">. W tabeli 5 przedstawiono wskaźniki gospodarcze dla </w:t>
      </w:r>
      <w:r w:rsidR="008F6A9A" w:rsidRPr="00EB66C4">
        <w:rPr>
          <w:rFonts w:ascii="Times New Roman" w:hAnsi="Times New Roman"/>
          <w:color w:val="FF0000"/>
        </w:rPr>
        <w:t>LGD Regionu Myślenickiego</w:t>
      </w:r>
      <w:r w:rsidR="008F6A9A" w:rsidRPr="00CE5D9A">
        <w:rPr>
          <w:rFonts w:ascii="Times New Roman" w:hAnsi="Times New Roman"/>
        </w:rPr>
        <w:t xml:space="preserve"> </w:t>
      </w:r>
      <w:r w:rsidRPr="008F6A9A">
        <w:rPr>
          <w:rFonts w:ascii="Times New Roman" w:hAnsi="Times New Roman"/>
          <w:strike/>
          <w:color w:val="FF0000"/>
        </w:rPr>
        <w:t>LGD Między Dalinem i Gościbią</w:t>
      </w:r>
      <w:r w:rsidRPr="008F6A9A">
        <w:rPr>
          <w:rFonts w:ascii="Times New Roman" w:hAnsi="Times New Roman"/>
          <w:color w:val="FF0000"/>
        </w:rPr>
        <w:t xml:space="preserve"> </w:t>
      </w:r>
      <w:r w:rsidRPr="00CE5D9A">
        <w:rPr>
          <w:rFonts w:ascii="Times New Roman" w:hAnsi="Times New Roman"/>
        </w:rPr>
        <w:t xml:space="preserve">oraz województwa małopolskiego i Polski w latach 2016–2021. </w:t>
      </w:r>
    </w:p>
    <w:p w14:paraId="568B7507" w14:textId="72984E3F" w:rsidR="00686DFE" w:rsidRPr="00CE5D9A" w:rsidRDefault="00686DFE">
      <w:pPr>
        <w:pStyle w:val="Legenda"/>
        <w:spacing w:after="0"/>
        <w:jc w:val="center"/>
        <w:rPr>
          <w:rFonts w:ascii="Times New Roman" w:hAnsi="Times New Roman"/>
          <w:color w:val="auto"/>
        </w:rPr>
      </w:pPr>
      <w:bookmarkStart w:id="56" w:name="_Toc112152404"/>
      <w:bookmarkStart w:id="57" w:name="_Toc134966354"/>
      <w:bookmarkStart w:id="58" w:name="_Toc194581429"/>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5</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Wskaźniki gospodarcze na obszarze LGD oraz porównanie do województwa i kraju w latach 2016–2021</w:t>
      </w:r>
      <w:bookmarkEnd w:id="56"/>
      <w:bookmarkEnd w:id="57"/>
      <w:bookmarkEnd w:id="58"/>
    </w:p>
    <w:tbl>
      <w:tblPr>
        <w:tblW w:w="5000" w:type="pct"/>
        <w:tblCellMar>
          <w:left w:w="70" w:type="dxa"/>
          <w:right w:w="70" w:type="dxa"/>
        </w:tblCellMar>
        <w:tblLook w:val="0000" w:firstRow="0" w:lastRow="0" w:firstColumn="0" w:lastColumn="0" w:noHBand="0" w:noVBand="0"/>
      </w:tblPr>
      <w:tblGrid>
        <w:gridCol w:w="3020"/>
        <w:gridCol w:w="591"/>
        <w:gridCol w:w="636"/>
        <w:gridCol w:w="636"/>
        <w:gridCol w:w="636"/>
        <w:gridCol w:w="636"/>
        <w:gridCol w:w="636"/>
        <w:gridCol w:w="591"/>
        <w:gridCol w:w="591"/>
        <w:gridCol w:w="591"/>
        <w:gridCol w:w="592"/>
        <w:gridCol w:w="592"/>
        <w:gridCol w:w="596"/>
      </w:tblGrid>
      <w:tr w:rsidR="00686DFE" w:rsidRPr="00CE5D9A" w14:paraId="2A55D097" w14:textId="77777777" w:rsidTr="00FA38C8">
        <w:trPr>
          <w:trHeight w:val="450"/>
        </w:trPr>
        <w:tc>
          <w:tcPr>
            <w:tcW w:w="1468" w:type="pct"/>
            <w:vMerge w:val="restart"/>
            <w:tcBorders>
              <w:top w:val="single" w:sz="4" w:space="0" w:color="auto"/>
              <w:left w:val="single" w:sz="4" w:space="0" w:color="auto"/>
              <w:bottom w:val="single" w:sz="4" w:space="0" w:color="auto"/>
              <w:right w:val="single" w:sz="4" w:space="0" w:color="auto"/>
            </w:tcBorders>
            <w:noWrap/>
            <w:vAlign w:val="center"/>
          </w:tcPr>
          <w:p w14:paraId="3F157F0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766" w:type="pct"/>
            <w:gridSpan w:val="6"/>
            <w:tcBorders>
              <w:top w:val="single" w:sz="4" w:space="0" w:color="auto"/>
              <w:left w:val="single" w:sz="4" w:space="0" w:color="auto"/>
              <w:bottom w:val="single" w:sz="4" w:space="0" w:color="auto"/>
              <w:right w:val="single" w:sz="4" w:space="0" w:color="auto"/>
            </w:tcBorders>
            <w:vAlign w:val="center"/>
          </w:tcPr>
          <w:p w14:paraId="36B8436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Podmioty wpisane do rejestru REGON na 10 tys. ludności </w:t>
            </w:r>
          </w:p>
        </w:tc>
        <w:tc>
          <w:tcPr>
            <w:tcW w:w="1765" w:type="pct"/>
            <w:gridSpan w:val="6"/>
            <w:tcBorders>
              <w:top w:val="single" w:sz="4" w:space="0" w:color="auto"/>
              <w:left w:val="single" w:sz="4" w:space="0" w:color="auto"/>
              <w:bottom w:val="single" w:sz="4" w:space="0" w:color="auto"/>
              <w:right w:val="single" w:sz="4" w:space="0" w:color="auto"/>
            </w:tcBorders>
            <w:vAlign w:val="center"/>
          </w:tcPr>
          <w:p w14:paraId="55FEC84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Podmioty nowo zarejestrowane </w:t>
            </w:r>
            <w:r w:rsidRPr="00CE5D9A">
              <w:rPr>
                <w:rFonts w:ascii="Times New Roman" w:eastAsia="Times New Roman" w:hAnsi="Times New Roman"/>
                <w:b/>
                <w:bCs/>
                <w:sz w:val="20"/>
                <w:szCs w:val="20"/>
                <w:lang w:eastAsia="pl-PL"/>
              </w:rPr>
              <w:br/>
              <w:t>w rejestrze REGON na 10 tys. ludności w wieku produkcyjnym</w:t>
            </w:r>
          </w:p>
        </w:tc>
      </w:tr>
      <w:tr w:rsidR="00686DFE" w:rsidRPr="00CE5D9A" w14:paraId="3BB7E2CD" w14:textId="77777777" w:rsidTr="00FA38C8">
        <w:trPr>
          <w:trHeight w:val="397"/>
        </w:trPr>
        <w:tc>
          <w:tcPr>
            <w:tcW w:w="1468" w:type="pct"/>
            <w:vMerge/>
            <w:tcBorders>
              <w:top w:val="single" w:sz="4" w:space="0" w:color="auto"/>
              <w:left w:val="single" w:sz="4" w:space="0" w:color="auto"/>
              <w:bottom w:val="single" w:sz="4" w:space="0" w:color="auto"/>
              <w:right w:val="single" w:sz="4" w:space="0" w:color="auto"/>
            </w:tcBorders>
            <w:vAlign w:val="center"/>
          </w:tcPr>
          <w:p w14:paraId="392FFC4F"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294" w:type="pct"/>
            <w:tcBorders>
              <w:top w:val="nil"/>
              <w:left w:val="nil"/>
              <w:bottom w:val="single" w:sz="4" w:space="0" w:color="auto"/>
              <w:right w:val="single" w:sz="4" w:space="0" w:color="auto"/>
            </w:tcBorders>
            <w:noWrap/>
            <w:vAlign w:val="center"/>
          </w:tcPr>
          <w:p w14:paraId="00EF392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94" w:type="pct"/>
            <w:tcBorders>
              <w:top w:val="nil"/>
              <w:left w:val="nil"/>
              <w:bottom w:val="single" w:sz="4" w:space="0" w:color="auto"/>
              <w:right w:val="single" w:sz="4" w:space="0" w:color="auto"/>
            </w:tcBorders>
            <w:noWrap/>
            <w:vAlign w:val="center"/>
          </w:tcPr>
          <w:p w14:paraId="7470F19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294" w:type="pct"/>
            <w:tcBorders>
              <w:top w:val="nil"/>
              <w:left w:val="nil"/>
              <w:bottom w:val="single" w:sz="4" w:space="0" w:color="auto"/>
              <w:right w:val="single" w:sz="4" w:space="0" w:color="auto"/>
            </w:tcBorders>
            <w:noWrap/>
            <w:vAlign w:val="center"/>
          </w:tcPr>
          <w:p w14:paraId="2BF25A2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294" w:type="pct"/>
            <w:tcBorders>
              <w:top w:val="nil"/>
              <w:left w:val="nil"/>
              <w:bottom w:val="single" w:sz="4" w:space="0" w:color="auto"/>
              <w:right w:val="single" w:sz="4" w:space="0" w:color="auto"/>
            </w:tcBorders>
            <w:noWrap/>
            <w:vAlign w:val="center"/>
          </w:tcPr>
          <w:p w14:paraId="0B792CB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94" w:type="pct"/>
            <w:tcBorders>
              <w:top w:val="nil"/>
              <w:left w:val="nil"/>
              <w:bottom w:val="single" w:sz="4" w:space="0" w:color="auto"/>
              <w:right w:val="single" w:sz="4" w:space="0" w:color="auto"/>
            </w:tcBorders>
            <w:noWrap/>
            <w:vAlign w:val="center"/>
          </w:tcPr>
          <w:p w14:paraId="42B511D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96" w:type="pct"/>
            <w:tcBorders>
              <w:top w:val="nil"/>
              <w:left w:val="nil"/>
              <w:bottom w:val="single" w:sz="4" w:space="0" w:color="auto"/>
              <w:right w:val="single" w:sz="4" w:space="0" w:color="auto"/>
            </w:tcBorders>
            <w:noWrap/>
            <w:vAlign w:val="center"/>
          </w:tcPr>
          <w:p w14:paraId="377A492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94" w:type="pct"/>
            <w:tcBorders>
              <w:top w:val="nil"/>
              <w:left w:val="nil"/>
              <w:bottom w:val="single" w:sz="4" w:space="0" w:color="auto"/>
              <w:right w:val="single" w:sz="4" w:space="0" w:color="auto"/>
            </w:tcBorders>
            <w:noWrap/>
            <w:vAlign w:val="center"/>
          </w:tcPr>
          <w:p w14:paraId="695489F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94" w:type="pct"/>
            <w:tcBorders>
              <w:top w:val="nil"/>
              <w:left w:val="nil"/>
              <w:bottom w:val="single" w:sz="4" w:space="0" w:color="auto"/>
              <w:right w:val="single" w:sz="4" w:space="0" w:color="auto"/>
            </w:tcBorders>
            <w:noWrap/>
            <w:vAlign w:val="center"/>
          </w:tcPr>
          <w:p w14:paraId="6B3EE40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294" w:type="pct"/>
            <w:tcBorders>
              <w:top w:val="nil"/>
              <w:left w:val="nil"/>
              <w:bottom w:val="single" w:sz="4" w:space="0" w:color="auto"/>
              <w:right w:val="single" w:sz="4" w:space="0" w:color="auto"/>
            </w:tcBorders>
            <w:noWrap/>
            <w:vAlign w:val="center"/>
          </w:tcPr>
          <w:p w14:paraId="66BE21E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294" w:type="pct"/>
            <w:tcBorders>
              <w:top w:val="nil"/>
              <w:left w:val="nil"/>
              <w:bottom w:val="single" w:sz="4" w:space="0" w:color="auto"/>
              <w:right w:val="single" w:sz="4" w:space="0" w:color="auto"/>
            </w:tcBorders>
            <w:noWrap/>
            <w:vAlign w:val="center"/>
          </w:tcPr>
          <w:p w14:paraId="27277A7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94" w:type="pct"/>
            <w:tcBorders>
              <w:top w:val="nil"/>
              <w:left w:val="nil"/>
              <w:bottom w:val="single" w:sz="4" w:space="0" w:color="auto"/>
              <w:right w:val="single" w:sz="4" w:space="0" w:color="auto"/>
            </w:tcBorders>
            <w:noWrap/>
            <w:vAlign w:val="center"/>
          </w:tcPr>
          <w:p w14:paraId="30917E5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96" w:type="pct"/>
            <w:tcBorders>
              <w:top w:val="nil"/>
              <w:left w:val="nil"/>
              <w:bottom w:val="single" w:sz="4" w:space="0" w:color="auto"/>
              <w:right w:val="single" w:sz="4" w:space="0" w:color="auto"/>
            </w:tcBorders>
            <w:noWrap/>
            <w:vAlign w:val="center"/>
          </w:tcPr>
          <w:p w14:paraId="58A7E2E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r>
      <w:tr w:rsidR="00557981" w:rsidRPr="00CE5D9A" w14:paraId="6B867A26" w14:textId="77777777" w:rsidTr="00FA38C8">
        <w:trPr>
          <w:trHeight w:val="397"/>
        </w:trPr>
        <w:tc>
          <w:tcPr>
            <w:tcW w:w="1468" w:type="pct"/>
            <w:tcBorders>
              <w:top w:val="nil"/>
              <w:left w:val="single" w:sz="4" w:space="0" w:color="auto"/>
              <w:bottom w:val="single" w:sz="4" w:space="0" w:color="auto"/>
              <w:right w:val="single" w:sz="4" w:space="0" w:color="auto"/>
            </w:tcBorders>
            <w:noWrap/>
            <w:vAlign w:val="center"/>
          </w:tcPr>
          <w:p w14:paraId="1D5296A9" w14:textId="77777777" w:rsidR="00FA38C8" w:rsidRPr="008F6A9A" w:rsidRDefault="00FA38C8" w:rsidP="00FA38C8">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18849F21" w14:textId="74761993" w:rsidR="008F6A9A" w:rsidRPr="00CE5D9A" w:rsidRDefault="008F6A9A" w:rsidP="00FA38C8">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294" w:type="pct"/>
            <w:tcBorders>
              <w:top w:val="nil"/>
              <w:left w:val="nil"/>
              <w:bottom w:val="single" w:sz="4" w:space="0" w:color="auto"/>
              <w:right w:val="single" w:sz="4" w:space="0" w:color="auto"/>
            </w:tcBorders>
            <w:noWrap/>
            <w:vAlign w:val="center"/>
          </w:tcPr>
          <w:p w14:paraId="32D9617F" w14:textId="77777777" w:rsidR="00FA38C8" w:rsidRPr="00CE5D9A" w:rsidRDefault="00FA38C8" w:rsidP="00FA38C8">
            <w:pPr>
              <w:spacing w:after="0"/>
              <w:jc w:val="center"/>
              <w:rPr>
                <w:b/>
              </w:rPr>
            </w:pPr>
            <w:r w:rsidRPr="00CE5D9A">
              <w:rPr>
                <w:b/>
              </w:rPr>
              <w:t>980</w:t>
            </w:r>
          </w:p>
        </w:tc>
        <w:tc>
          <w:tcPr>
            <w:tcW w:w="294" w:type="pct"/>
            <w:tcBorders>
              <w:top w:val="nil"/>
              <w:left w:val="nil"/>
              <w:bottom w:val="single" w:sz="4" w:space="0" w:color="auto"/>
              <w:right w:val="single" w:sz="4" w:space="0" w:color="auto"/>
            </w:tcBorders>
            <w:noWrap/>
            <w:vAlign w:val="center"/>
          </w:tcPr>
          <w:p w14:paraId="587E1AEE" w14:textId="77777777" w:rsidR="00FA38C8" w:rsidRPr="00CE5D9A" w:rsidRDefault="00FA38C8" w:rsidP="00FA38C8">
            <w:pPr>
              <w:spacing w:after="0"/>
              <w:jc w:val="center"/>
              <w:rPr>
                <w:b/>
              </w:rPr>
            </w:pPr>
            <w:r w:rsidRPr="00CE5D9A">
              <w:rPr>
                <w:b/>
              </w:rPr>
              <w:t>1 003</w:t>
            </w:r>
          </w:p>
        </w:tc>
        <w:tc>
          <w:tcPr>
            <w:tcW w:w="294" w:type="pct"/>
            <w:tcBorders>
              <w:top w:val="nil"/>
              <w:left w:val="nil"/>
              <w:bottom w:val="single" w:sz="4" w:space="0" w:color="auto"/>
              <w:right w:val="single" w:sz="4" w:space="0" w:color="auto"/>
            </w:tcBorders>
            <w:noWrap/>
            <w:vAlign w:val="center"/>
          </w:tcPr>
          <w:p w14:paraId="78DBF579" w14:textId="77777777" w:rsidR="00FA38C8" w:rsidRPr="00CE5D9A" w:rsidRDefault="00FA38C8" w:rsidP="00FA38C8">
            <w:pPr>
              <w:spacing w:after="0"/>
              <w:jc w:val="center"/>
              <w:rPr>
                <w:b/>
              </w:rPr>
            </w:pPr>
            <w:r w:rsidRPr="00CE5D9A">
              <w:rPr>
                <w:b/>
              </w:rPr>
              <w:t>1 043</w:t>
            </w:r>
          </w:p>
        </w:tc>
        <w:tc>
          <w:tcPr>
            <w:tcW w:w="294" w:type="pct"/>
            <w:tcBorders>
              <w:top w:val="nil"/>
              <w:left w:val="nil"/>
              <w:bottom w:val="single" w:sz="4" w:space="0" w:color="auto"/>
              <w:right w:val="single" w:sz="4" w:space="0" w:color="auto"/>
            </w:tcBorders>
            <w:noWrap/>
            <w:vAlign w:val="center"/>
          </w:tcPr>
          <w:p w14:paraId="29651B12" w14:textId="77777777" w:rsidR="00FA38C8" w:rsidRPr="00CE5D9A" w:rsidRDefault="00FA38C8" w:rsidP="00FA38C8">
            <w:pPr>
              <w:spacing w:after="0"/>
              <w:jc w:val="center"/>
              <w:rPr>
                <w:b/>
              </w:rPr>
            </w:pPr>
            <w:r w:rsidRPr="00CE5D9A">
              <w:rPr>
                <w:b/>
              </w:rPr>
              <w:t>1 098</w:t>
            </w:r>
          </w:p>
        </w:tc>
        <w:tc>
          <w:tcPr>
            <w:tcW w:w="294" w:type="pct"/>
            <w:tcBorders>
              <w:top w:val="nil"/>
              <w:left w:val="nil"/>
              <w:bottom w:val="single" w:sz="4" w:space="0" w:color="auto"/>
              <w:right w:val="single" w:sz="4" w:space="0" w:color="auto"/>
            </w:tcBorders>
            <w:noWrap/>
            <w:vAlign w:val="center"/>
          </w:tcPr>
          <w:p w14:paraId="26CC3B9C" w14:textId="77777777" w:rsidR="00FA38C8" w:rsidRPr="00CE5D9A" w:rsidRDefault="00FA38C8" w:rsidP="00FA38C8">
            <w:pPr>
              <w:spacing w:after="0"/>
              <w:jc w:val="center"/>
              <w:rPr>
                <w:b/>
              </w:rPr>
            </w:pPr>
            <w:r w:rsidRPr="00CE5D9A">
              <w:rPr>
                <w:b/>
              </w:rPr>
              <w:t>1 125</w:t>
            </w:r>
          </w:p>
        </w:tc>
        <w:tc>
          <w:tcPr>
            <w:tcW w:w="296" w:type="pct"/>
            <w:tcBorders>
              <w:top w:val="nil"/>
              <w:left w:val="nil"/>
              <w:bottom w:val="single" w:sz="4" w:space="0" w:color="auto"/>
              <w:right w:val="single" w:sz="4" w:space="0" w:color="auto"/>
            </w:tcBorders>
            <w:noWrap/>
            <w:vAlign w:val="center"/>
          </w:tcPr>
          <w:p w14:paraId="0417A0C0" w14:textId="77777777" w:rsidR="00FA38C8" w:rsidRPr="00CE5D9A" w:rsidRDefault="00FA38C8" w:rsidP="00FA38C8">
            <w:pPr>
              <w:spacing w:after="0"/>
              <w:jc w:val="center"/>
              <w:rPr>
                <w:b/>
              </w:rPr>
            </w:pPr>
            <w:r w:rsidRPr="00CE5D9A">
              <w:rPr>
                <w:b/>
              </w:rPr>
              <w:t>1 168</w:t>
            </w:r>
          </w:p>
        </w:tc>
        <w:tc>
          <w:tcPr>
            <w:tcW w:w="294" w:type="pct"/>
            <w:tcBorders>
              <w:top w:val="nil"/>
              <w:left w:val="nil"/>
              <w:bottom w:val="single" w:sz="4" w:space="0" w:color="auto"/>
              <w:right w:val="single" w:sz="4" w:space="0" w:color="auto"/>
            </w:tcBorders>
            <w:noWrap/>
            <w:vAlign w:val="center"/>
          </w:tcPr>
          <w:p w14:paraId="197E8765" w14:textId="77777777" w:rsidR="00FA38C8" w:rsidRPr="00CE5D9A" w:rsidRDefault="00FA38C8" w:rsidP="00FA38C8">
            <w:pPr>
              <w:spacing w:after="0"/>
              <w:jc w:val="center"/>
              <w:rPr>
                <w:b/>
              </w:rPr>
            </w:pPr>
            <w:r w:rsidRPr="00CE5D9A">
              <w:rPr>
                <w:b/>
              </w:rPr>
              <w:t>129</w:t>
            </w:r>
          </w:p>
        </w:tc>
        <w:tc>
          <w:tcPr>
            <w:tcW w:w="294" w:type="pct"/>
            <w:tcBorders>
              <w:top w:val="nil"/>
              <w:left w:val="nil"/>
              <w:bottom w:val="single" w:sz="4" w:space="0" w:color="auto"/>
              <w:right w:val="single" w:sz="4" w:space="0" w:color="auto"/>
            </w:tcBorders>
            <w:noWrap/>
            <w:vAlign w:val="center"/>
          </w:tcPr>
          <w:p w14:paraId="261CF686" w14:textId="77777777" w:rsidR="00FA38C8" w:rsidRPr="00CE5D9A" w:rsidRDefault="00FA38C8" w:rsidP="00FA38C8">
            <w:pPr>
              <w:spacing w:after="0"/>
              <w:jc w:val="center"/>
              <w:rPr>
                <w:b/>
              </w:rPr>
            </w:pPr>
            <w:r w:rsidRPr="00CE5D9A">
              <w:rPr>
                <w:b/>
              </w:rPr>
              <w:t>149</w:t>
            </w:r>
          </w:p>
        </w:tc>
        <w:tc>
          <w:tcPr>
            <w:tcW w:w="294" w:type="pct"/>
            <w:tcBorders>
              <w:top w:val="nil"/>
              <w:left w:val="nil"/>
              <w:bottom w:val="single" w:sz="4" w:space="0" w:color="auto"/>
              <w:right w:val="single" w:sz="4" w:space="0" w:color="auto"/>
            </w:tcBorders>
            <w:noWrap/>
            <w:vAlign w:val="center"/>
          </w:tcPr>
          <w:p w14:paraId="402A3B6F" w14:textId="77777777" w:rsidR="00FA38C8" w:rsidRPr="00CE5D9A" w:rsidRDefault="00FA38C8" w:rsidP="00FA38C8">
            <w:pPr>
              <w:spacing w:after="0"/>
              <w:jc w:val="center"/>
              <w:rPr>
                <w:b/>
              </w:rPr>
            </w:pPr>
            <w:r w:rsidRPr="00CE5D9A">
              <w:rPr>
                <w:b/>
              </w:rPr>
              <w:t>160</w:t>
            </w:r>
          </w:p>
        </w:tc>
        <w:tc>
          <w:tcPr>
            <w:tcW w:w="294" w:type="pct"/>
            <w:tcBorders>
              <w:top w:val="nil"/>
              <w:left w:val="nil"/>
              <w:bottom w:val="single" w:sz="4" w:space="0" w:color="auto"/>
              <w:right w:val="single" w:sz="4" w:space="0" w:color="auto"/>
            </w:tcBorders>
            <w:noWrap/>
            <w:vAlign w:val="center"/>
          </w:tcPr>
          <w:p w14:paraId="2F36F97A" w14:textId="77777777" w:rsidR="00FA38C8" w:rsidRPr="00CE5D9A" w:rsidRDefault="00FA38C8" w:rsidP="00FA38C8">
            <w:pPr>
              <w:spacing w:after="0"/>
              <w:jc w:val="center"/>
              <w:rPr>
                <w:b/>
              </w:rPr>
            </w:pPr>
            <w:r w:rsidRPr="00CE5D9A">
              <w:rPr>
                <w:b/>
              </w:rPr>
              <w:t>162</w:t>
            </w:r>
          </w:p>
        </w:tc>
        <w:tc>
          <w:tcPr>
            <w:tcW w:w="294" w:type="pct"/>
            <w:tcBorders>
              <w:top w:val="nil"/>
              <w:left w:val="nil"/>
              <w:bottom w:val="single" w:sz="4" w:space="0" w:color="auto"/>
              <w:right w:val="single" w:sz="4" w:space="0" w:color="auto"/>
            </w:tcBorders>
            <w:noWrap/>
            <w:vAlign w:val="center"/>
          </w:tcPr>
          <w:p w14:paraId="6B0D833A" w14:textId="77777777" w:rsidR="00FA38C8" w:rsidRPr="00CE5D9A" w:rsidRDefault="00FA38C8" w:rsidP="00FA38C8">
            <w:pPr>
              <w:spacing w:after="0"/>
              <w:jc w:val="center"/>
              <w:rPr>
                <w:b/>
              </w:rPr>
            </w:pPr>
            <w:r w:rsidRPr="00CE5D9A">
              <w:rPr>
                <w:b/>
              </w:rPr>
              <w:t>136</w:t>
            </w:r>
          </w:p>
        </w:tc>
        <w:tc>
          <w:tcPr>
            <w:tcW w:w="296" w:type="pct"/>
            <w:tcBorders>
              <w:top w:val="nil"/>
              <w:left w:val="nil"/>
              <w:bottom w:val="single" w:sz="4" w:space="0" w:color="auto"/>
              <w:right w:val="single" w:sz="4" w:space="0" w:color="auto"/>
            </w:tcBorders>
            <w:noWrap/>
            <w:vAlign w:val="center"/>
          </w:tcPr>
          <w:p w14:paraId="007033F9" w14:textId="77777777" w:rsidR="00FA38C8" w:rsidRPr="00CE5D9A" w:rsidRDefault="00FA38C8" w:rsidP="00FA38C8">
            <w:pPr>
              <w:spacing w:after="0"/>
              <w:jc w:val="center"/>
              <w:rPr>
                <w:b/>
              </w:rPr>
            </w:pPr>
            <w:r w:rsidRPr="00CE5D9A">
              <w:rPr>
                <w:b/>
              </w:rPr>
              <w:t>150</w:t>
            </w:r>
          </w:p>
        </w:tc>
      </w:tr>
      <w:tr w:rsidR="00686DFE" w:rsidRPr="00CE5D9A" w14:paraId="4B7AEC68" w14:textId="77777777" w:rsidTr="00FA38C8">
        <w:trPr>
          <w:trHeight w:val="397"/>
        </w:trPr>
        <w:tc>
          <w:tcPr>
            <w:tcW w:w="1468" w:type="pct"/>
            <w:tcBorders>
              <w:top w:val="nil"/>
              <w:left w:val="single" w:sz="4" w:space="0" w:color="auto"/>
              <w:bottom w:val="single" w:sz="4" w:space="0" w:color="auto"/>
              <w:right w:val="single" w:sz="4" w:space="0" w:color="auto"/>
            </w:tcBorders>
            <w:noWrap/>
            <w:vAlign w:val="center"/>
          </w:tcPr>
          <w:p w14:paraId="2108E17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294" w:type="pct"/>
            <w:tcBorders>
              <w:top w:val="nil"/>
              <w:left w:val="nil"/>
              <w:bottom w:val="single" w:sz="4" w:space="0" w:color="auto"/>
              <w:right w:val="single" w:sz="4" w:space="0" w:color="auto"/>
            </w:tcBorders>
            <w:noWrap/>
            <w:vAlign w:val="center"/>
          </w:tcPr>
          <w:p w14:paraId="6CBE798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1 097</w:t>
            </w:r>
          </w:p>
        </w:tc>
        <w:tc>
          <w:tcPr>
            <w:tcW w:w="294" w:type="pct"/>
            <w:tcBorders>
              <w:top w:val="nil"/>
              <w:left w:val="nil"/>
              <w:bottom w:val="single" w:sz="4" w:space="0" w:color="auto"/>
              <w:right w:val="single" w:sz="4" w:space="0" w:color="auto"/>
            </w:tcBorders>
            <w:noWrap/>
            <w:vAlign w:val="center"/>
          </w:tcPr>
          <w:p w14:paraId="624A28E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1 121</w:t>
            </w:r>
          </w:p>
        </w:tc>
        <w:tc>
          <w:tcPr>
            <w:tcW w:w="294" w:type="pct"/>
            <w:tcBorders>
              <w:top w:val="nil"/>
              <w:left w:val="nil"/>
              <w:bottom w:val="single" w:sz="4" w:space="0" w:color="auto"/>
              <w:right w:val="single" w:sz="4" w:space="0" w:color="auto"/>
            </w:tcBorders>
            <w:noWrap/>
            <w:vAlign w:val="center"/>
          </w:tcPr>
          <w:p w14:paraId="521125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1 151</w:t>
            </w:r>
          </w:p>
        </w:tc>
        <w:tc>
          <w:tcPr>
            <w:tcW w:w="294" w:type="pct"/>
            <w:tcBorders>
              <w:top w:val="nil"/>
              <w:left w:val="nil"/>
              <w:bottom w:val="single" w:sz="4" w:space="0" w:color="auto"/>
              <w:right w:val="single" w:sz="4" w:space="0" w:color="auto"/>
            </w:tcBorders>
            <w:noWrap/>
            <w:vAlign w:val="center"/>
          </w:tcPr>
          <w:p w14:paraId="76D78C3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1 202</w:t>
            </w:r>
          </w:p>
        </w:tc>
        <w:tc>
          <w:tcPr>
            <w:tcW w:w="294" w:type="pct"/>
            <w:tcBorders>
              <w:top w:val="nil"/>
              <w:left w:val="nil"/>
              <w:bottom w:val="single" w:sz="4" w:space="0" w:color="auto"/>
              <w:right w:val="single" w:sz="4" w:space="0" w:color="auto"/>
            </w:tcBorders>
            <w:noWrap/>
            <w:vAlign w:val="center"/>
          </w:tcPr>
          <w:p w14:paraId="462A099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1 242</w:t>
            </w:r>
          </w:p>
        </w:tc>
        <w:tc>
          <w:tcPr>
            <w:tcW w:w="296" w:type="pct"/>
            <w:tcBorders>
              <w:top w:val="nil"/>
              <w:left w:val="nil"/>
              <w:bottom w:val="single" w:sz="4" w:space="0" w:color="auto"/>
              <w:right w:val="single" w:sz="4" w:space="0" w:color="auto"/>
            </w:tcBorders>
            <w:noWrap/>
            <w:vAlign w:val="center"/>
          </w:tcPr>
          <w:p w14:paraId="55BEE54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1 298</w:t>
            </w:r>
          </w:p>
        </w:tc>
        <w:tc>
          <w:tcPr>
            <w:tcW w:w="294" w:type="pct"/>
            <w:tcBorders>
              <w:top w:val="nil"/>
              <w:left w:val="nil"/>
              <w:bottom w:val="single" w:sz="4" w:space="0" w:color="auto"/>
              <w:right w:val="single" w:sz="4" w:space="0" w:color="auto"/>
            </w:tcBorders>
            <w:noWrap/>
            <w:vAlign w:val="center"/>
          </w:tcPr>
          <w:p w14:paraId="176FE06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155</w:t>
            </w:r>
          </w:p>
        </w:tc>
        <w:tc>
          <w:tcPr>
            <w:tcW w:w="294" w:type="pct"/>
            <w:tcBorders>
              <w:top w:val="nil"/>
              <w:left w:val="nil"/>
              <w:bottom w:val="single" w:sz="4" w:space="0" w:color="auto"/>
              <w:right w:val="single" w:sz="4" w:space="0" w:color="auto"/>
            </w:tcBorders>
            <w:noWrap/>
            <w:vAlign w:val="center"/>
          </w:tcPr>
          <w:p w14:paraId="3A011EB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163</w:t>
            </w:r>
          </w:p>
        </w:tc>
        <w:tc>
          <w:tcPr>
            <w:tcW w:w="294" w:type="pct"/>
            <w:tcBorders>
              <w:top w:val="nil"/>
              <w:left w:val="nil"/>
              <w:bottom w:val="single" w:sz="4" w:space="0" w:color="auto"/>
              <w:right w:val="single" w:sz="4" w:space="0" w:color="auto"/>
            </w:tcBorders>
            <w:noWrap/>
            <w:vAlign w:val="center"/>
          </w:tcPr>
          <w:p w14:paraId="58054FD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179</w:t>
            </w:r>
          </w:p>
        </w:tc>
        <w:tc>
          <w:tcPr>
            <w:tcW w:w="294" w:type="pct"/>
            <w:tcBorders>
              <w:top w:val="nil"/>
              <w:left w:val="nil"/>
              <w:bottom w:val="single" w:sz="4" w:space="0" w:color="auto"/>
              <w:right w:val="single" w:sz="4" w:space="0" w:color="auto"/>
            </w:tcBorders>
            <w:noWrap/>
            <w:vAlign w:val="center"/>
          </w:tcPr>
          <w:p w14:paraId="5ED5C04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178</w:t>
            </w:r>
          </w:p>
        </w:tc>
        <w:tc>
          <w:tcPr>
            <w:tcW w:w="294" w:type="pct"/>
            <w:tcBorders>
              <w:top w:val="nil"/>
              <w:left w:val="nil"/>
              <w:bottom w:val="single" w:sz="4" w:space="0" w:color="auto"/>
              <w:right w:val="single" w:sz="4" w:space="0" w:color="auto"/>
            </w:tcBorders>
            <w:noWrap/>
            <w:vAlign w:val="center"/>
          </w:tcPr>
          <w:p w14:paraId="493D57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149</w:t>
            </w:r>
          </w:p>
        </w:tc>
        <w:tc>
          <w:tcPr>
            <w:tcW w:w="296" w:type="pct"/>
            <w:tcBorders>
              <w:top w:val="nil"/>
              <w:left w:val="nil"/>
              <w:bottom w:val="single" w:sz="4" w:space="0" w:color="auto"/>
              <w:right w:val="single" w:sz="4" w:space="0" w:color="auto"/>
            </w:tcBorders>
            <w:noWrap/>
            <w:vAlign w:val="center"/>
          </w:tcPr>
          <w:p w14:paraId="515F2E2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174</w:t>
            </w:r>
          </w:p>
        </w:tc>
      </w:tr>
      <w:tr w:rsidR="00686DFE" w:rsidRPr="00CE5D9A" w14:paraId="6F86D990" w14:textId="77777777" w:rsidTr="00FA38C8">
        <w:trPr>
          <w:trHeight w:val="397"/>
        </w:trPr>
        <w:tc>
          <w:tcPr>
            <w:tcW w:w="1468" w:type="pct"/>
            <w:tcBorders>
              <w:top w:val="nil"/>
              <w:left w:val="single" w:sz="4" w:space="0" w:color="auto"/>
              <w:bottom w:val="single" w:sz="4" w:space="0" w:color="auto"/>
              <w:right w:val="single" w:sz="4" w:space="0" w:color="auto"/>
            </w:tcBorders>
            <w:noWrap/>
            <w:vAlign w:val="center"/>
          </w:tcPr>
          <w:p w14:paraId="45CC21E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294" w:type="pct"/>
            <w:tcBorders>
              <w:top w:val="nil"/>
              <w:left w:val="nil"/>
              <w:bottom w:val="single" w:sz="4" w:space="0" w:color="auto"/>
              <w:right w:val="single" w:sz="4" w:space="0" w:color="auto"/>
            </w:tcBorders>
            <w:noWrap/>
            <w:vAlign w:val="center"/>
          </w:tcPr>
          <w:p w14:paraId="433C953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1 103</w:t>
            </w:r>
          </w:p>
        </w:tc>
        <w:tc>
          <w:tcPr>
            <w:tcW w:w="294" w:type="pct"/>
            <w:tcBorders>
              <w:top w:val="nil"/>
              <w:left w:val="nil"/>
              <w:bottom w:val="single" w:sz="4" w:space="0" w:color="auto"/>
              <w:right w:val="single" w:sz="4" w:space="0" w:color="auto"/>
            </w:tcBorders>
            <w:noWrap/>
            <w:vAlign w:val="center"/>
          </w:tcPr>
          <w:p w14:paraId="063669E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1 121</w:t>
            </w:r>
          </w:p>
        </w:tc>
        <w:tc>
          <w:tcPr>
            <w:tcW w:w="294" w:type="pct"/>
            <w:tcBorders>
              <w:top w:val="nil"/>
              <w:left w:val="nil"/>
              <w:bottom w:val="single" w:sz="4" w:space="0" w:color="auto"/>
              <w:right w:val="single" w:sz="4" w:space="0" w:color="auto"/>
            </w:tcBorders>
            <w:noWrap/>
            <w:vAlign w:val="center"/>
          </w:tcPr>
          <w:p w14:paraId="708A935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1 136</w:t>
            </w:r>
          </w:p>
        </w:tc>
        <w:tc>
          <w:tcPr>
            <w:tcW w:w="294" w:type="pct"/>
            <w:tcBorders>
              <w:top w:val="nil"/>
              <w:left w:val="nil"/>
              <w:bottom w:val="single" w:sz="4" w:space="0" w:color="auto"/>
              <w:right w:val="single" w:sz="4" w:space="0" w:color="auto"/>
            </w:tcBorders>
            <w:noWrap/>
            <w:vAlign w:val="center"/>
          </w:tcPr>
          <w:p w14:paraId="0F43868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1 175</w:t>
            </w:r>
          </w:p>
        </w:tc>
        <w:tc>
          <w:tcPr>
            <w:tcW w:w="294" w:type="pct"/>
            <w:tcBorders>
              <w:top w:val="nil"/>
              <w:left w:val="nil"/>
              <w:bottom w:val="single" w:sz="4" w:space="0" w:color="auto"/>
              <w:right w:val="single" w:sz="4" w:space="0" w:color="auto"/>
            </w:tcBorders>
            <w:noWrap/>
            <w:vAlign w:val="center"/>
          </w:tcPr>
          <w:p w14:paraId="2C8D217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1 224</w:t>
            </w:r>
          </w:p>
        </w:tc>
        <w:tc>
          <w:tcPr>
            <w:tcW w:w="296" w:type="pct"/>
            <w:tcBorders>
              <w:top w:val="nil"/>
              <w:left w:val="nil"/>
              <w:bottom w:val="single" w:sz="4" w:space="0" w:color="auto"/>
              <w:right w:val="single" w:sz="4" w:space="0" w:color="auto"/>
            </w:tcBorders>
            <w:noWrap/>
            <w:vAlign w:val="center"/>
          </w:tcPr>
          <w:p w14:paraId="3D48C69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1 276</w:t>
            </w:r>
          </w:p>
        </w:tc>
        <w:tc>
          <w:tcPr>
            <w:tcW w:w="294" w:type="pct"/>
            <w:tcBorders>
              <w:top w:val="nil"/>
              <w:left w:val="nil"/>
              <w:bottom w:val="single" w:sz="4" w:space="0" w:color="auto"/>
              <w:right w:val="single" w:sz="4" w:space="0" w:color="auto"/>
            </w:tcBorders>
            <w:noWrap/>
            <w:vAlign w:val="center"/>
          </w:tcPr>
          <w:p w14:paraId="2BF66C5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147</w:t>
            </w:r>
          </w:p>
        </w:tc>
        <w:tc>
          <w:tcPr>
            <w:tcW w:w="294" w:type="pct"/>
            <w:tcBorders>
              <w:top w:val="nil"/>
              <w:left w:val="nil"/>
              <w:bottom w:val="single" w:sz="4" w:space="0" w:color="auto"/>
              <w:right w:val="single" w:sz="4" w:space="0" w:color="auto"/>
            </w:tcBorders>
            <w:noWrap/>
            <w:vAlign w:val="center"/>
          </w:tcPr>
          <w:p w14:paraId="27A6F9E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154</w:t>
            </w:r>
          </w:p>
        </w:tc>
        <w:tc>
          <w:tcPr>
            <w:tcW w:w="294" w:type="pct"/>
            <w:tcBorders>
              <w:top w:val="nil"/>
              <w:left w:val="nil"/>
              <w:bottom w:val="single" w:sz="4" w:space="0" w:color="auto"/>
              <w:right w:val="single" w:sz="4" w:space="0" w:color="auto"/>
            </w:tcBorders>
            <w:noWrap/>
            <w:vAlign w:val="center"/>
          </w:tcPr>
          <w:p w14:paraId="4BCE0AE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169</w:t>
            </w:r>
          </w:p>
        </w:tc>
        <w:tc>
          <w:tcPr>
            <w:tcW w:w="294" w:type="pct"/>
            <w:tcBorders>
              <w:top w:val="nil"/>
              <w:left w:val="nil"/>
              <w:bottom w:val="single" w:sz="4" w:space="0" w:color="auto"/>
              <w:right w:val="single" w:sz="4" w:space="0" w:color="auto"/>
            </w:tcBorders>
            <w:noWrap/>
            <w:vAlign w:val="center"/>
          </w:tcPr>
          <w:p w14:paraId="3A842C2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165</w:t>
            </w:r>
          </w:p>
        </w:tc>
        <w:tc>
          <w:tcPr>
            <w:tcW w:w="294" w:type="pct"/>
            <w:tcBorders>
              <w:top w:val="nil"/>
              <w:left w:val="nil"/>
              <w:bottom w:val="single" w:sz="4" w:space="0" w:color="auto"/>
              <w:right w:val="single" w:sz="4" w:space="0" w:color="auto"/>
            </w:tcBorders>
            <w:noWrap/>
            <w:vAlign w:val="center"/>
          </w:tcPr>
          <w:p w14:paraId="7B9EF33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145</w:t>
            </w:r>
          </w:p>
        </w:tc>
        <w:tc>
          <w:tcPr>
            <w:tcW w:w="296" w:type="pct"/>
            <w:tcBorders>
              <w:top w:val="nil"/>
              <w:left w:val="nil"/>
              <w:bottom w:val="single" w:sz="4" w:space="0" w:color="auto"/>
              <w:right w:val="single" w:sz="4" w:space="0" w:color="auto"/>
            </w:tcBorders>
            <w:noWrap/>
            <w:vAlign w:val="center"/>
          </w:tcPr>
          <w:p w14:paraId="1BE65C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165</w:t>
            </w:r>
          </w:p>
        </w:tc>
      </w:tr>
    </w:tbl>
    <w:p w14:paraId="23556CBD"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1F395937" w14:textId="77777777" w:rsidR="00FA38C8" w:rsidRPr="00CE5D9A" w:rsidRDefault="00686DFE">
      <w:pPr>
        <w:spacing w:line="276" w:lineRule="auto"/>
        <w:ind w:firstLine="708"/>
        <w:jc w:val="both"/>
        <w:rPr>
          <w:rFonts w:ascii="Times New Roman" w:hAnsi="Times New Roman"/>
        </w:rPr>
      </w:pPr>
      <w:r w:rsidRPr="00CE5D9A">
        <w:rPr>
          <w:rFonts w:ascii="Times New Roman" w:hAnsi="Times New Roman"/>
        </w:rPr>
        <w:t xml:space="preserve">W przypadku obu wskaźników wartości dla obszaru LGD stale rosną. </w:t>
      </w:r>
      <w:bookmarkStart w:id="59" w:name="_Hlk134961846"/>
      <w:r w:rsidRPr="00CE5D9A">
        <w:rPr>
          <w:rFonts w:ascii="Times New Roman" w:hAnsi="Times New Roman"/>
        </w:rPr>
        <w:t xml:space="preserve">Jednak z powyższej tabeli wynika, iż w kwestii przedsiębiorczości mieszkańców na obszarze LGD, należy podjąć działania wpływające na jej rozwój. Średnie wyniki obszaru LGD we wszystkich przypadkach są niższe niż średnia w Polsce i województwie małopolskim. Warto jednak zwrócić uwagę, że dynamika wzrostu wartości obu wskaźników jest dla obszaru LGD znacznie wyższa niż dla tych jednostek (wykres 7). </w:t>
      </w:r>
    </w:p>
    <w:p w14:paraId="7620628D" w14:textId="440B784A" w:rsidR="00686DFE" w:rsidRPr="00CE5D9A" w:rsidRDefault="00686DFE">
      <w:pPr>
        <w:spacing w:after="0" w:line="276" w:lineRule="auto"/>
        <w:ind w:firstLine="708"/>
        <w:jc w:val="center"/>
        <w:rPr>
          <w:rFonts w:ascii="Times New Roman" w:hAnsi="Times New Roman"/>
          <w:b/>
          <w:bCs/>
          <w:sz w:val="20"/>
          <w:szCs w:val="20"/>
        </w:rPr>
      </w:pPr>
      <w:bookmarkStart w:id="60" w:name="_Toc134966319"/>
      <w:bookmarkStart w:id="61" w:name="_Toc194581416"/>
      <w:bookmarkEnd w:id="59"/>
      <w:r w:rsidRPr="00CE5D9A">
        <w:rPr>
          <w:rFonts w:ascii="Times New Roman" w:hAnsi="Times New Roman"/>
          <w:b/>
          <w:bCs/>
          <w:sz w:val="20"/>
          <w:szCs w:val="20"/>
        </w:rPr>
        <w:t xml:space="preserve">Wykres </w:t>
      </w:r>
      <w:r w:rsidRPr="00CE5D9A">
        <w:rPr>
          <w:rFonts w:ascii="Times New Roman" w:hAnsi="Times New Roman"/>
          <w:b/>
          <w:bCs/>
          <w:sz w:val="20"/>
          <w:szCs w:val="20"/>
        </w:rPr>
        <w:fldChar w:fldCharType="begin"/>
      </w:r>
      <w:r w:rsidRPr="00CE5D9A">
        <w:rPr>
          <w:rFonts w:ascii="Times New Roman" w:hAnsi="Times New Roman"/>
          <w:b/>
          <w:bCs/>
          <w:sz w:val="20"/>
          <w:szCs w:val="20"/>
        </w:rPr>
        <w:instrText xml:space="preserve"> SEQ Wykres \* ARABIC </w:instrText>
      </w:r>
      <w:r w:rsidRPr="00CE5D9A">
        <w:rPr>
          <w:rFonts w:ascii="Times New Roman" w:hAnsi="Times New Roman"/>
          <w:b/>
          <w:bCs/>
          <w:sz w:val="20"/>
          <w:szCs w:val="20"/>
        </w:rPr>
        <w:fldChar w:fldCharType="separate"/>
      </w:r>
      <w:r w:rsidR="00AD7096">
        <w:rPr>
          <w:rFonts w:ascii="Times New Roman" w:hAnsi="Times New Roman"/>
          <w:b/>
          <w:bCs/>
          <w:noProof/>
          <w:sz w:val="20"/>
          <w:szCs w:val="20"/>
        </w:rPr>
        <w:t>7</w:t>
      </w:r>
      <w:r w:rsidRPr="00CE5D9A">
        <w:rPr>
          <w:rFonts w:ascii="Times New Roman" w:hAnsi="Times New Roman"/>
          <w:b/>
          <w:bCs/>
          <w:sz w:val="20"/>
          <w:szCs w:val="20"/>
        </w:rPr>
        <w:fldChar w:fldCharType="end"/>
      </w:r>
      <w:r w:rsidRPr="00CE5D9A">
        <w:rPr>
          <w:rFonts w:ascii="Times New Roman" w:hAnsi="Times New Roman"/>
        </w:rPr>
        <w:t xml:space="preserve"> </w:t>
      </w:r>
      <w:r w:rsidRPr="00CE5D9A">
        <w:rPr>
          <w:rFonts w:ascii="Times New Roman" w:hAnsi="Times New Roman"/>
          <w:b/>
          <w:bCs/>
          <w:sz w:val="20"/>
          <w:szCs w:val="20"/>
        </w:rPr>
        <w:t>Dynamika wzrostu wartości wskaźników gospodarczych obszaru LGD, województwa i kraju – wzrost procentowy w 2021 r. w stosunku do 2016 r.</w:t>
      </w:r>
      <w:bookmarkEnd w:id="60"/>
      <w:bookmarkEnd w:id="61"/>
    </w:p>
    <w:p w14:paraId="5371B7AD" w14:textId="77777777" w:rsidR="00FA38C8" w:rsidRPr="00CE5D9A" w:rsidRDefault="00FA38C8">
      <w:pPr>
        <w:spacing w:after="0"/>
        <w:jc w:val="center"/>
        <w:rPr>
          <w:rFonts w:ascii="Times New Roman" w:hAnsi="Times New Roman"/>
          <w:i/>
          <w:iCs/>
          <w:sz w:val="20"/>
          <w:szCs w:val="20"/>
        </w:rPr>
      </w:pPr>
      <w:r w:rsidRPr="00CE5D9A">
        <w:rPr>
          <w:noProof/>
          <w:lang w:eastAsia="pl-PL"/>
        </w:rPr>
        <w:drawing>
          <wp:inline distT="0" distB="0" distL="0" distR="0" wp14:anchorId="1E9E0CD7" wp14:editId="305F6122">
            <wp:extent cx="5693229" cy="3048000"/>
            <wp:effectExtent l="0" t="0" r="3175" b="0"/>
            <wp:docPr id="1643526304" name="Wykres 1643526304">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A05CCF" w14:textId="77777777" w:rsidR="00686DFE" w:rsidRPr="00CE5D9A" w:rsidRDefault="00686DFE" w:rsidP="00FA38C8">
      <w:pPr>
        <w:jc w:val="center"/>
        <w:rPr>
          <w:rFonts w:ascii="Times New Roman" w:hAnsi="Times New Roman"/>
        </w:rPr>
      </w:pPr>
      <w:r w:rsidRPr="00CE5D9A">
        <w:rPr>
          <w:rFonts w:ascii="Times New Roman" w:hAnsi="Times New Roman"/>
          <w:i/>
          <w:iCs/>
          <w:sz w:val="20"/>
          <w:szCs w:val="20"/>
        </w:rPr>
        <w:t>Źródło: opracowanie własne na podstawie danych GUS</w:t>
      </w:r>
    </w:p>
    <w:p w14:paraId="3F155FCB" w14:textId="4364FD86"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Jest to pozytywne zjawisko, na które z pewnością miała wpływ realizacja Strategii Rozwoju Lokalnego Kierowanego przez Społeczność, w której jednym z czterech celów szczegółowych było </w:t>
      </w:r>
      <w:r w:rsidRPr="00CE5D9A">
        <w:rPr>
          <w:rFonts w:ascii="Times New Roman" w:hAnsi="Times New Roman"/>
          <w:i/>
          <w:iCs/>
        </w:rPr>
        <w:t xml:space="preserve">1.1 Wsparcie przedsiębiorców w tworzeniu i utrzymaniu miejsc pracy. </w:t>
      </w:r>
      <w:r w:rsidRPr="00CE5D9A">
        <w:rPr>
          <w:rFonts w:ascii="Times New Roman" w:hAnsi="Times New Roman"/>
        </w:rPr>
        <w:t xml:space="preserve">Największe zainteresowanie w historii naborów z tego okresu było na podejmowanie działalności. W latach 2017–2020 </w:t>
      </w:r>
      <w:r w:rsidR="008F6A9A" w:rsidRPr="00EB66C4">
        <w:rPr>
          <w:rFonts w:ascii="Times New Roman" w:hAnsi="Times New Roman"/>
          <w:color w:val="FF0000"/>
        </w:rPr>
        <w:t>LGD Regionu Myślenickiego</w:t>
      </w:r>
      <w:r w:rsidR="008F6A9A" w:rsidRPr="00CE5D9A">
        <w:rPr>
          <w:rFonts w:ascii="Times New Roman" w:hAnsi="Times New Roman"/>
        </w:rPr>
        <w:t xml:space="preserve"> </w:t>
      </w:r>
      <w:r w:rsidRPr="008F6A9A">
        <w:rPr>
          <w:rFonts w:ascii="Times New Roman" w:hAnsi="Times New Roman"/>
          <w:strike/>
          <w:color w:val="FF0000"/>
        </w:rPr>
        <w:t>LGD Między Dalinem i Gościbią</w:t>
      </w:r>
      <w:r w:rsidRPr="00CE5D9A">
        <w:rPr>
          <w:rFonts w:ascii="Times New Roman" w:hAnsi="Times New Roman"/>
        </w:rPr>
        <w:t xml:space="preserve"> przeprowadziła 5 naborów</w:t>
      </w:r>
      <w:r w:rsidRPr="00CE5D9A">
        <w:rPr>
          <w:rFonts w:ascii="Times New Roman" w:hAnsi="Times New Roman"/>
          <w:i/>
          <w:iCs/>
        </w:rPr>
        <w:t xml:space="preserve"> </w:t>
      </w:r>
      <w:r w:rsidRPr="00CE5D9A">
        <w:rPr>
          <w:rFonts w:ascii="Times New Roman" w:hAnsi="Times New Roman"/>
        </w:rPr>
        <w:t xml:space="preserve">na podejmowanie lub rozwój działalności gospodarczej, w ramach których wybrano do dofinansowania 32 wnioski. </w:t>
      </w:r>
    </w:p>
    <w:p w14:paraId="3208CC7C"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Ponadto w ankiecie diagnostycznej na potrzeby opracowania LSR jako jedną z kluczowych słabych stron mieszkańcy wskazali „mało atrakcyjny rynek pracy” (47%), co wskazuje na potrzebę dalszego rozwoju </w:t>
      </w:r>
      <w:r w:rsidRPr="00CE5D9A">
        <w:rPr>
          <w:rFonts w:ascii="Times New Roman" w:hAnsi="Times New Roman"/>
        </w:rPr>
        <w:lastRenderedPageBreak/>
        <w:t xml:space="preserve">funkcjonujących na obszarze przedsiębiorstw i tworzenia nowych miejsc pracy. Dlatego należy położyć nacisk na rozwój przedsiębiorczości, przeznaczając określone środki na tworzenie i rozwój przedsiębiorstw, ma ona bowiem wpływ na rynek pracy, aktywizację zawodową ludności, stymulowanie inicjatyw indywidualnych i społecznych, budowanie dobrych relacji osobistych i biznesowych, podejmowanie przedsięwzięć innowacyjnych, a w rezultacie na rozwój lokalny. </w:t>
      </w:r>
    </w:p>
    <w:p w14:paraId="16996D7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Mieszkańcy uznali również, że czynnikami sprzyjającymi rozwojowi obszaru może być „cyfryzacja życia codziennego, w tym rosnące możliwości pracy zdalnej” (41% odpowiedzi). Dlatego ważne jest, aby zapewnić odpowiednie warunki na rzecz rozwoju obszaru, w tym poprzez zapewnienie dostępności szybkiego Internetu, co umożliwi pracę i naukę zdalną. Nowoczesne drogi promocji i komunikacji również mogą pozytywnie wpłynąć na poziom przedsiębiorczości na obszarze LGD. Istotnym aspektem będzie także pobudzanie postaw przedsiębiorczych czy budowanie współpracy między podmiotami z sektora gospodarczego.</w:t>
      </w:r>
    </w:p>
    <w:p w14:paraId="17084AF7"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Kondycja lokalnych przedsiębiorstw jest stosunkowo dobra – średnia dla LGD odnośnie podmiotów wykreślonych z rejestru REGON na 10 tys. mieszkańców w latach 2017–2020 malała, natomiast w 2021 roku nastąpił wzrost wskaźnika. Taka sama tendencja wystąpiła dla średniej województwa i kraju, natomiast wartość wskaźnika dla obszaru LGD była niższa i wynosiła w 2021 r. 44, przy średniej dla województwa 49, zaś kraju – 50. Podobnie kształtował się stosunek podmiotów wykreślonych z rejestru REGON do podmiotów wpisanych ogółem, wartość na przestrzeni analizowanych lat malała, natomiast w roku 2021 wzrosła w stosunku do roku poprzedniego. W ostatnim badanym roku – 2021, wskaźnik dla średniej obszaru (3,8) był nieznacznie niższy niż wskaźnik dla Polski (3,9) oraz niewiele wyższy niż średnia dla województwa małopolskiego (3,7)</w:t>
      </w:r>
      <w:r w:rsidRPr="00CE5D9A">
        <w:rPr>
          <w:rStyle w:val="Odwoanieprzypisudolnego"/>
          <w:rFonts w:ascii="Times New Roman" w:hAnsi="Times New Roman"/>
        </w:rPr>
        <w:footnoteReference w:id="9"/>
      </w:r>
      <w:r w:rsidRPr="00CE5D9A">
        <w:rPr>
          <w:rFonts w:ascii="Times New Roman" w:hAnsi="Times New Roman"/>
        </w:rPr>
        <w:t xml:space="preserve">. </w:t>
      </w:r>
    </w:p>
    <w:p w14:paraId="3430A113"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W tabeli 6 przedstawiono wartość wskaźników </w:t>
      </w:r>
      <w:r w:rsidRPr="00CE5D9A">
        <w:rPr>
          <w:rFonts w:ascii="Times New Roman" w:hAnsi="Times New Roman"/>
          <w:i/>
          <w:iCs/>
        </w:rPr>
        <w:t>udział przedsiębiorstw zatrudniających mniej niż 50 pracowników w liczbie mieszkańców ogółem</w:t>
      </w:r>
      <w:r w:rsidRPr="00CE5D9A">
        <w:rPr>
          <w:rFonts w:ascii="Times New Roman" w:hAnsi="Times New Roman"/>
        </w:rPr>
        <w:t xml:space="preserve"> oraz </w:t>
      </w:r>
      <w:r w:rsidRPr="00CE5D9A">
        <w:rPr>
          <w:rFonts w:ascii="Times New Roman" w:hAnsi="Times New Roman"/>
          <w:i/>
          <w:iCs/>
        </w:rPr>
        <w:t>przedsiębiorstwa zatrudniające mniej niż 50 pracowników (0–9 i 10–49) ogółem</w:t>
      </w:r>
      <w:r w:rsidRPr="00CE5D9A">
        <w:rPr>
          <w:rFonts w:ascii="Times New Roman" w:hAnsi="Times New Roman"/>
        </w:rPr>
        <w:t xml:space="preserve"> dla poszczególnych gmin LGD, średnio w LGD oraz województwie i kraju w roku 2016 i 2020. Przedsiębiorstwa, które zatrudniają mniej niż 50 pracowników to tzw. mikro (do 9 pracowników) i małe firmy (do 49 pracowników). Stanowią one ok. 99% polskiego sektora przedsiębiorstw.</w:t>
      </w:r>
    </w:p>
    <w:p w14:paraId="48A02A59" w14:textId="57FA17C9" w:rsidR="00686DFE" w:rsidRPr="00CE5D9A" w:rsidRDefault="00686DFE">
      <w:pPr>
        <w:pStyle w:val="Legenda"/>
        <w:spacing w:after="0"/>
        <w:jc w:val="center"/>
        <w:rPr>
          <w:rFonts w:ascii="Times New Roman" w:hAnsi="Times New Roman"/>
          <w:b/>
          <w:bCs/>
          <w:i w:val="0"/>
          <w:iCs w:val="0"/>
          <w:color w:val="auto"/>
          <w:sz w:val="20"/>
          <w:szCs w:val="20"/>
        </w:rPr>
      </w:pPr>
      <w:bookmarkStart w:id="62" w:name="_Toc112152406"/>
      <w:bookmarkStart w:id="63" w:name="_Toc134966355"/>
      <w:bookmarkStart w:id="64" w:name="_Toc194581430"/>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6</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t>
      </w:r>
      <w:bookmarkStart w:id="65" w:name="_Hlk113306374"/>
      <w:bookmarkEnd w:id="62"/>
      <w:bookmarkEnd w:id="63"/>
      <w:r w:rsidRPr="00CE5D9A">
        <w:rPr>
          <w:rFonts w:ascii="Times New Roman" w:hAnsi="Times New Roman"/>
          <w:b/>
          <w:bCs/>
          <w:i w:val="0"/>
          <w:iCs w:val="0"/>
          <w:color w:val="auto"/>
          <w:sz w:val="20"/>
          <w:szCs w:val="20"/>
        </w:rPr>
        <w:t xml:space="preserve">Wskaźniki dotyczące przedsiębiorczości dla obszaru LGD w porównaniu do województwa i kraju </w:t>
      </w:r>
      <w:r w:rsidRPr="00CE5D9A">
        <w:rPr>
          <w:rFonts w:ascii="Times New Roman" w:hAnsi="Times New Roman"/>
          <w:b/>
          <w:bCs/>
          <w:i w:val="0"/>
          <w:iCs w:val="0"/>
          <w:color w:val="auto"/>
          <w:sz w:val="20"/>
          <w:szCs w:val="20"/>
        </w:rPr>
        <w:br/>
        <w:t xml:space="preserve">w </w:t>
      </w:r>
      <w:bookmarkEnd w:id="65"/>
      <w:r w:rsidRPr="00CE5D9A">
        <w:rPr>
          <w:rFonts w:ascii="Times New Roman" w:hAnsi="Times New Roman"/>
          <w:b/>
          <w:bCs/>
          <w:i w:val="0"/>
          <w:iCs w:val="0"/>
          <w:color w:val="auto"/>
          <w:sz w:val="20"/>
          <w:szCs w:val="20"/>
        </w:rPr>
        <w:t>roku 2016 i 2020</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1770"/>
        <w:gridCol w:w="1770"/>
        <w:gridCol w:w="1770"/>
        <w:gridCol w:w="1770"/>
      </w:tblGrid>
      <w:tr w:rsidR="00686DFE" w:rsidRPr="00CE5D9A" w14:paraId="27D42840" w14:textId="77777777">
        <w:trPr>
          <w:trHeight w:val="340"/>
        </w:trPr>
        <w:tc>
          <w:tcPr>
            <w:tcW w:w="3114" w:type="dxa"/>
            <w:vMerge w:val="restart"/>
            <w:vAlign w:val="center"/>
          </w:tcPr>
          <w:p w14:paraId="4385670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3540" w:type="dxa"/>
            <w:gridSpan w:val="2"/>
            <w:vAlign w:val="center"/>
          </w:tcPr>
          <w:p w14:paraId="6FCD86E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Przedsiębiorstwa zatrudniające </w:t>
            </w:r>
            <w:r w:rsidRPr="00CE5D9A">
              <w:rPr>
                <w:rFonts w:ascii="Times New Roman" w:eastAsia="Times New Roman" w:hAnsi="Times New Roman"/>
                <w:b/>
                <w:bCs/>
                <w:sz w:val="20"/>
                <w:szCs w:val="20"/>
                <w:lang w:eastAsia="pl-PL"/>
              </w:rPr>
              <w:br/>
              <w:t xml:space="preserve">mniej niż 50 pracowników </w:t>
            </w:r>
            <w:r w:rsidRPr="00CE5D9A">
              <w:rPr>
                <w:rFonts w:ascii="Times New Roman" w:eastAsia="Times New Roman" w:hAnsi="Times New Roman"/>
                <w:b/>
                <w:bCs/>
                <w:sz w:val="20"/>
                <w:szCs w:val="20"/>
                <w:lang w:eastAsia="pl-PL"/>
              </w:rPr>
              <w:br/>
              <w:t>(0–9 i 10–49) ogółem</w:t>
            </w:r>
          </w:p>
        </w:tc>
        <w:tc>
          <w:tcPr>
            <w:tcW w:w="3540" w:type="dxa"/>
            <w:gridSpan w:val="2"/>
            <w:vAlign w:val="center"/>
          </w:tcPr>
          <w:p w14:paraId="3ABE0BB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b/>
                <w:bCs/>
                <w:sz w:val="20"/>
                <w:szCs w:val="20"/>
              </w:rPr>
              <w:t>Udział przedsiębiorstw zatrudniających mniej niż 50 pracowników w liczbie mieszkańców ogółem</w:t>
            </w:r>
          </w:p>
        </w:tc>
      </w:tr>
      <w:tr w:rsidR="00686DFE" w:rsidRPr="00CE5D9A" w14:paraId="5B79A99F" w14:textId="77777777">
        <w:trPr>
          <w:trHeight w:val="340"/>
        </w:trPr>
        <w:tc>
          <w:tcPr>
            <w:tcW w:w="3114" w:type="dxa"/>
            <w:vMerge/>
            <w:vAlign w:val="center"/>
          </w:tcPr>
          <w:p w14:paraId="1118DEA4" w14:textId="77777777" w:rsidR="00686DFE" w:rsidRPr="00CE5D9A" w:rsidRDefault="00686DFE">
            <w:pPr>
              <w:spacing w:after="0" w:line="240" w:lineRule="auto"/>
              <w:jc w:val="center"/>
              <w:rPr>
                <w:rFonts w:ascii="Times New Roman" w:eastAsia="Times New Roman" w:hAnsi="Times New Roman"/>
                <w:b/>
                <w:bCs/>
                <w:sz w:val="20"/>
                <w:szCs w:val="20"/>
                <w:lang w:eastAsia="pl-PL"/>
              </w:rPr>
            </w:pPr>
          </w:p>
        </w:tc>
        <w:tc>
          <w:tcPr>
            <w:tcW w:w="1770" w:type="dxa"/>
            <w:vAlign w:val="center"/>
          </w:tcPr>
          <w:p w14:paraId="022206A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1770" w:type="dxa"/>
            <w:vAlign w:val="center"/>
          </w:tcPr>
          <w:p w14:paraId="6E67178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1770" w:type="dxa"/>
            <w:vAlign w:val="center"/>
          </w:tcPr>
          <w:p w14:paraId="03FE797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1770" w:type="dxa"/>
            <w:vAlign w:val="center"/>
          </w:tcPr>
          <w:p w14:paraId="5487093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r>
      <w:tr w:rsidR="00686DFE" w:rsidRPr="00CE5D9A" w14:paraId="15471713" w14:textId="77777777">
        <w:trPr>
          <w:trHeight w:val="340"/>
        </w:trPr>
        <w:tc>
          <w:tcPr>
            <w:tcW w:w="3114" w:type="dxa"/>
            <w:vAlign w:val="center"/>
          </w:tcPr>
          <w:p w14:paraId="656D1166"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Lubień</w:t>
            </w:r>
          </w:p>
        </w:tc>
        <w:tc>
          <w:tcPr>
            <w:tcW w:w="1770" w:type="dxa"/>
            <w:vAlign w:val="center"/>
          </w:tcPr>
          <w:p w14:paraId="244171B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700</w:t>
            </w:r>
          </w:p>
        </w:tc>
        <w:tc>
          <w:tcPr>
            <w:tcW w:w="1770" w:type="dxa"/>
            <w:vAlign w:val="center"/>
          </w:tcPr>
          <w:p w14:paraId="7DB33B8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871</w:t>
            </w:r>
          </w:p>
        </w:tc>
        <w:tc>
          <w:tcPr>
            <w:tcW w:w="1770" w:type="dxa"/>
            <w:vAlign w:val="center"/>
          </w:tcPr>
          <w:p w14:paraId="5FFFE55D"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7,0</w:t>
            </w:r>
          </w:p>
        </w:tc>
        <w:tc>
          <w:tcPr>
            <w:tcW w:w="1770" w:type="dxa"/>
            <w:vAlign w:val="center"/>
          </w:tcPr>
          <w:p w14:paraId="770EFE8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8,6</w:t>
            </w:r>
          </w:p>
        </w:tc>
      </w:tr>
      <w:tr w:rsidR="00686DFE" w:rsidRPr="00CE5D9A" w14:paraId="7D7DC257" w14:textId="77777777">
        <w:trPr>
          <w:trHeight w:val="340"/>
        </w:trPr>
        <w:tc>
          <w:tcPr>
            <w:tcW w:w="3114" w:type="dxa"/>
            <w:vAlign w:val="center"/>
          </w:tcPr>
          <w:p w14:paraId="634CF6F6"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Myślenice</w:t>
            </w:r>
          </w:p>
        </w:tc>
        <w:tc>
          <w:tcPr>
            <w:tcW w:w="1770" w:type="dxa"/>
            <w:vAlign w:val="center"/>
          </w:tcPr>
          <w:p w14:paraId="1AAB2B0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5 364</w:t>
            </w:r>
          </w:p>
        </w:tc>
        <w:tc>
          <w:tcPr>
            <w:tcW w:w="1770" w:type="dxa"/>
            <w:vAlign w:val="center"/>
          </w:tcPr>
          <w:p w14:paraId="339DDE4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6 128</w:t>
            </w:r>
          </w:p>
        </w:tc>
        <w:tc>
          <w:tcPr>
            <w:tcW w:w="1770" w:type="dxa"/>
            <w:vAlign w:val="center"/>
          </w:tcPr>
          <w:p w14:paraId="4A65B2A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12,3</w:t>
            </w:r>
          </w:p>
        </w:tc>
        <w:tc>
          <w:tcPr>
            <w:tcW w:w="1770" w:type="dxa"/>
            <w:vAlign w:val="center"/>
          </w:tcPr>
          <w:p w14:paraId="3A8438A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13,6</w:t>
            </w:r>
          </w:p>
        </w:tc>
      </w:tr>
      <w:tr w:rsidR="00686DFE" w:rsidRPr="00CE5D9A" w14:paraId="426750E2" w14:textId="77777777">
        <w:trPr>
          <w:trHeight w:val="340"/>
        </w:trPr>
        <w:tc>
          <w:tcPr>
            <w:tcW w:w="3114" w:type="dxa"/>
            <w:vAlign w:val="center"/>
          </w:tcPr>
          <w:p w14:paraId="5C9590D8"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Pcim</w:t>
            </w:r>
          </w:p>
        </w:tc>
        <w:tc>
          <w:tcPr>
            <w:tcW w:w="1770" w:type="dxa"/>
            <w:vAlign w:val="center"/>
          </w:tcPr>
          <w:p w14:paraId="70E2977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814</w:t>
            </w:r>
          </w:p>
        </w:tc>
        <w:tc>
          <w:tcPr>
            <w:tcW w:w="1770" w:type="dxa"/>
            <w:vAlign w:val="center"/>
          </w:tcPr>
          <w:p w14:paraId="3FD8B63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1 020</w:t>
            </w:r>
          </w:p>
        </w:tc>
        <w:tc>
          <w:tcPr>
            <w:tcW w:w="1770" w:type="dxa"/>
            <w:vAlign w:val="center"/>
          </w:tcPr>
          <w:p w14:paraId="77D473D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7,4</w:t>
            </w:r>
          </w:p>
        </w:tc>
        <w:tc>
          <w:tcPr>
            <w:tcW w:w="1770" w:type="dxa"/>
            <w:vAlign w:val="center"/>
          </w:tcPr>
          <w:p w14:paraId="2C6BE61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9,1</w:t>
            </w:r>
          </w:p>
        </w:tc>
      </w:tr>
      <w:tr w:rsidR="00686DFE" w:rsidRPr="00CE5D9A" w14:paraId="7F3F27E5" w14:textId="77777777">
        <w:trPr>
          <w:trHeight w:val="340"/>
        </w:trPr>
        <w:tc>
          <w:tcPr>
            <w:tcW w:w="3114" w:type="dxa"/>
            <w:vAlign w:val="center"/>
          </w:tcPr>
          <w:p w14:paraId="1096B4FD"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Raciechowice</w:t>
            </w:r>
          </w:p>
        </w:tc>
        <w:tc>
          <w:tcPr>
            <w:tcW w:w="1770" w:type="dxa"/>
            <w:vAlign w:val="center"/>
          </w:tcPr>
          <w:p w14:paraId="00A9FAF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453</w:t>
            </w:r>
          </w:p>
        </w:tc>
        <w:tc>
          <w:tcPr>
            <w:tcW w:w="1770" w:type="dxa"/>
            <w:vAlign w:val="center"/>
          </w:tcPr>
          <w:p w14:paraId="140CCFC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601</w:t>
            </w:r>
          </w:p>
        </w:tc>
        <w:tc>
          <w:tcPr>
            <w:tcW w:w="1770" w:type="dxa"/>
            <w:vAlign w:val="center"/>
          </w:tcPr>
          <w:p w14:paraId="4A8B280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7,2</w:t>
            </w:r>
          </w:p>
        </w:tc>
        <w:tc>
          <w:tcPr>
            <w:tcW w:w="1770" w:type="dxa"/>
            <w:vAlign w:val="center"/>
          </w:tcPr>
          <w:p w14:paraId="578AB49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9,4</w:t>
            </w:r>
          </w:p>
        </w:tc>
      </w:tr>
      <w:tr w:rsidR="00FA38C8" w:rsidRPr="00CE5D9A" w14:paraId="793675C5" w14:textId="77777777">
        <w:trPr>
          <w:trHeight w:val="340"/>
        </w:trPr>
        <w:tc>
          <w:tcPr>
            <w:tcW w:w="3114" w:type="dxa"/>
            <w:vAlign w:val="center"/>
          </w:tcPr>
          <w:p w14:paraId="34EA85FC" w14:textId="77777777" w:rsidR="00FA38C8" w:rsidRPr="00CE5D9A" w:rsidRDefault="00FA38C8">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1770" w:type="dxa"/>
            <w:vAlign w:val="center"/>
          </w:tcPr>
          <w:p w14:paraId="2422EFE3" w14:textId="77777777" w:rsidR="00FA38C8" w:rsidRPr="00CE5D9A" w:rsidRDefault="00927BAE">
            <w:pPr>
              <w:spacing w:after="0" w:line="240" w:lineRule="auto"/>
              <w:jc w:val="center"/>
              <w:rPr>
                <w:rFonts w:ascii="Times New Roman" w:hAnsi="Times New Roman"/>
                <w:sz w:val="20"/>
                <w:szCs w:val="20"/>
              </w:rPr>
            </w:pPr>
            <w:r w:rsidRPr="00CE5D9A">
              <w:rPr>
                <w:rFonts w:ascii="Times New Roman" w:hAnsi="Times New Roman"/>
                <w:sz w:val="20"/>
                <w:szCs w:val="20"/>
              </w:rPr>
              <w:t>942</w:t>
            </w:r>
          </w:p>
        </w:tc>
        <w:tc>
          <w:tcPr>
            <w:tcW w:w="1770" w:type="dxa"/>
            <w:vAlign w:val="center"/>
          </w:tcPr>
          <w:p w14:paraId="6B599B0C" w14:textId="77777777" w:rsidR="00FA38C8" w:rsidRPr="00CE5D9A" w:rsidRDefault="00927BAE">
            <w:pPr>
              <w:spacing w:after="0" w:line="240" w:lineRule="auto"/>
              <w:jc w:val="center"/>
              <w:rPr>
                <w:rFonts w:ascii="Times New Roman" w:hAnsi="Times New Roman"/>
                <w:sz w:val="20"/>
                <w:szCs w:val="20"/>
              </w:rPr>
            </w:pPr>
            <w:r w:rsidRPr="00CE5D9A">
              <w:rPr>
                <w:rFonts w:ascii="Times New Roman" w:hAnsi="Times New Roman"/>
                <w:sz w:val="20"/>
                <w:szCs w:val="20"/>
              </w:rPr>
              <w:t>1115</w:t>
            </w:r>
          </w:p>
        </w:tc>
        <w:tc>
          <w:tcPr>
            <w:tcW w:w="1770" w:type="dxa"/>
            <w:vAlign w:val="center"/>
          </w:tcPr>
          <w:p w14:paraId="679E156A" w14:textId="77777777" w:rsidR="00FA38C8" w:rsidRPr="00CE5D9A" w:rsidRDefault="00927BAE" w:rsidP="00927BA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10,8</w:t>
            </w:r>
          </w:p>
        </w:tc>
        <w:tc>
          <w:tcPr>
            <w:tcW w:w="1770" w:type="dxa"/>
            <w:vAlign w:val="center"/>
          </w:tcPr>
          <w:p w14:paraId="36A87FAA" w14:textId="77777777" w:rsidR="00FA38C8" w:rsidRPr="00CE5D9A" w:rsidRDefault="00927BA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11,9</w:t>
            </w:r>
          </w:p>
        </w:tc>
      </w:tr>
      <w:tr w:rsidR="00686DFE" w:rsidRPr="00CE5D9A" w14:paraId="654756A3" w14:textId="77777777">
        <w:trPr>
          <w:trHeight w:val="340"/>
        </w:trPr>
        <w:tc>
          <w:tcPr>
            <w:tcW w:w="3114" w:type="dxa"/>
            <w:vAlign w:val="center"/>
          </w:tcPr>
          <w:p w14:paraId="3950FEAD"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Sułkowice</w:t>
            </w:r>
          </w:p>
        </w:tc>
        <w:tc>
          <w:tcPr>
            <w:tcW w:w="1770" w:type="dxa"/>
            <w:vAlign w:val="center"/>
          </w:tcPr>
          <w:p w14:paraId="7347134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1 258</w:t>
            </w:r>
          </w:p>
        </w:tc>
        <w:tc>
          <w:tcPr>
            <w:tcW w:w="1770" w:type="dxa"/>
            <w:vAlign w:val="center"/>
          </w:tcPr>
          <w:p w14:paraId="08BB823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1 473</w:t>
            </w:r>
          </w:p>
        </w:tc>
        <w:tc>
          <w:tcPr>
            <w:tcW w:w="1770" w:type="dxa"/>
            <w:vAlign w:val="center"/>
          </w:tcPr>
          <w:p w14:paraId="1C7FD99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8,5</w:t>
            </w:r>
          </w:p>
        </w:tc>
        <w:tc>
          <w:tcPr>
            <w:tcW w:w="1770" w:type="dxa"/>
            <w:vAlign w:val="center"/>
          </w:tcPr>
          <w:p w14:paraId="6FCB4C9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9,8</w:t>
            </w:r>
          </w:p>
        </w:tc>
      </w:tr>
      <w:tr w:rsidR="00686DFE" w:rsidRPr="00CE5D9A" w14:paraId="61193624" w14:textId="77777777">
        <w:trPr>
          <w:trHeight w:val="340"/>
        </w:trPr>
        <w:tc>
          <w:tcPr>
            <w:tcW w:w="3114" w:type="dxa"/>
            <w:vAlign w:val="center"/>
          </w:tcPr>
          <w:p w14:paraId="7CD39430" w14:textId="77777777" w:rsidR="00686DFE" w:rsidRPr="00CE5D9A" w:rsidRDefault="00686DFE">
            <w:pPr>
              <w:spacing w:after="0" w:line="240" w:lineRule="auto"/>
              <w:rPr>
                <w:rFonts w:ascii="Times New Roman" w:hAnsi="Times New Roman"/>
                <w:sz w:val="20"/>
                <w:szCs w:val="20"/>
              </w:rPr>
            </w:pPr>
            <w:r w:rsidRPr="00CE5D9A">
              <w:rPr>
                <w:rFonts w:ascii="Times New Roman" w:eastAsia="Times New Roman" w:hAnsi="Times New Roman"/>
                <w:sz w:val="20"/>
                <w:szCs w:val="20"/>
                <w:lang w:eastAsia="pl-PL"/>
              </w:rPr>
              <w:t>Gmina Tokarnia</w:t>
            </w:r>
          </w:p>
        </w:tc>
        <w:tc>
          <w:tcPr>
            <w:tcW w:w="1770" w:type="dxa"/>
            <w:vAlign w:val="center"/>
          </w:tcPr>
          <w:p w14:paraId="5BE8E1A2" w14:textId="77777777" w:rsidR="00686DFE" w:rsidRPr="00CE5D9A" w:rsidRDefault="00686DFE">
            <w:pPr>
              <w:spacing w:after="0" w:line="240" w:lineRule="auto"/>
              <w:jc w:val="center"/>
              <w:rPr>
                <w:rFonts w:ascii="Times New Roman" w:hAnsi="Times New Roman"/>
                <w:sz w:val="20"/>
                <w:szCs w:val="20"/>
              </w:rPr>
            </w:pPr>
            <w:r w:rsidRPr="00CE5D9A">
              <w:rPr>
                <w:rFonts w:ascii="Times New Roman" w:hAnsi="Times New Roman"/>
                <w:sz w:val="20"/>
                <w:szCs w:val="20"/>
              </w:rPr>
              <w:t>587</w:t>
            </w:r>
          </w:p>
        </w:tc>
        <w:tc>
          <w:tcPr>
            <w:tcW w:w="1770" w:type="dxa"/>
            <w:vAlign w:val="center"/>
          </w:tcPr>
          <w:p w14:paraId="1024E8C9" w14:textId="77777777" w:rsidR="00686DFE" w:rsidRPr="00CE5D9A" w:rsidRDefault="00686DFE">
            <w:pPr>
              <w:spacing w:after="0" w:line="240" w:lineRule="auto"/>
              <w:jc w:val="center"/>
              <w:rPr>
                <w:rFonts w:ascii="Times New Roman" w:hAnsi="Times New Roman"/>
                <w:sz w:val="20"/>
                <w:szCs w:val="20"/>
              </w:rPr>
            </w:pPr>
            <w:r w:rsidRPr="00CE5D9A">
              <w:rPr>
                <w:rFonts w:ascii="Times New Roman" w:hAnsi="Times New Roman"/>
                <w:sz w:val="20"/>
                <w:szCs w:val="20"/>
              </w:rPr>
              <w:t>746</w:t>
            </w:r>
          </w:p>
        </w:tc>
        <w:tc>
          <w:tcPr>
            <w:tcW w:w="1770" w:type="dxa"/>
            <w:vAlign w:val="center"/>
          </w:tcPr>
          <w:p w14:paraId="73030D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w:t>
            </w:r>
          </w:p>
        </w:tc>
        <w:tc>
          <w:tcPr>
            <w:tcW w:w="1770" w:type="dxa"/>
            <w:vAlign w:val="center"/>
          </w:tcPr>
          <w:p w14:paraId="573681A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8,4</w:t>
            </w:r>
          </w:p>
        </w:tc>
      </w:tr>
      <w:tr w:rsidR="00686DFE" w:rsidRPr="00CE5D9A" w14:paraId="5E41A29E" w14:textId="77777777">
        <w:trPr>
          <w:trHeight w:val="340"/>
        </w:trPr>
        <w:tc>
          <w:tcPr>
            <w:tcW w:w="3114" w:type="dxa"/>
            <w:noWrap/>
            <w:vAlign w:val="center"/>
          </w:tcPr>
          <w:p w14:paraId="1F3EE5B0"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Wiśniowa</w:t>
            </w:r>
          </w:p>
        </w:tc>
        <w:tc>
          <w:tcPr>
            <w:tcW w:w="1770" w:type="dxa"/>
            <w:noWrap/>
            <w:vAlign w:val="center"/>
          </w:tcPr>
          <w:p w14:paraId="4AFE45E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647</w:t>
            </w:r>
          </w:p>
        </w:tc>
        <w:tc>
          <w:tcPr>
            <w:tcW w:w="1770" w:type="dxa"/>
            <w:noWrap/>
            <w:vAlign w:val="center"/>
          </w:tcPr>
          <w:p w14:paraId="17CCE59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hAnsi="Times New Roman"/>
                <w:sz w:val="20"/>
                <w:szCs w:val="20"/>
              </w:rPr>
              <w:t>778</w:t>
            </w:r>
          </w:p>
        </w:tc>
        <w:tc>
          <w:tcPr>
            <w:tcW w:w="1770" w:type="dxa"/>
            <w:noWrap/>
            <w:vAlign w:val="center"/>
          </w:tcPr>
          <w:p w14:paraId="2A90CBE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8,9</w:t>
            </w:r>
          </w:p>
        </w:tc>
        <w:tc>
          <w:tcPr>
            <w:tcW w:w="1770" w:type="dxa"/>
            <w:noWrap/>
            <w:vAlign w:val="center"/>
          </w:tcPr>
          <w:p w14:paraId="0FEBA5B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10,4</w:t>
            </w:r>
          </w:p>
        </w:tc>
      </w:tr>
      <w:tr w:rsidR="00686DFE" w:rsidRPr="00CE5D9A" w14:paraId="6ED0EC6F" w14:textId="77777777">
        <w:trPr>
          <w:trHeight w:val="340"/>
        </w:trPr>
        <w:tc>
          <w:tcPr>
            <w:tcW w:w="3114" w:type="dxa"/>
            <w:noWrap/>
            <w:vAlign w:val="center"/>
          </w:tcPr>
          <w:p w14:paraId="794D92FF" w14:textId="77777777" w:rsidR="00686DFE" w:rsidRPr="008F6A9A" w:rsidRDefault="00686DFE" w:rsidP="00927BAE">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17085D45" w14:textId="3C406370" w:rsidR="008F6A9A" w:rsidRPr="00CE5D9A" w:rsidRDefault="008F6A9A" w:rsidP="00927BAE">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1770" w:type="dxa"/>
            <w:noWrap/>
            <w:vAlign w:val="center"/>
          </w:tcPr>
          <w:p w14:paraId="36EED9B0" w14:textId="77777777" w:rsidR="00686DFE" w:rsidRPr="00CE5D9A" w:rsidRDefault="00927BAE" w:rsidP="00927BAE">
            <w:pPr>
              <w:spacing w:after="0"/>
              <w:jc w:val="center"/>
              <w:rPr>
                <w:rFonts w:ascii="Times New Roman" w:hAnsi="Times New Roman"/>
                <w:b/>
                <w:bCs/>
                <w:sz w:val="20"/>
                <w:szCs w:val="20"/>
              </w:rPr>
            </w:pPr>
            <w:r w:rsidRPr="00CE5D9A">
              <w:rPr>
                <w:rFonts w:ascii="Times New Roman" w:hAnsi="Times New Roman"/>
                <w:b/>
                <w:bCs/>
                <w:sz w:val="20"/>
                <w:szCs w:val="20"/>
              </w:rPr>
              <w:t>10 765</w:t>
            </w:r>
          </w:p>
        </w:tc>
        <w:tc>
          <w:tcPr>
            <w:tcW w:w="1770" w:type="dxa"/>
            <w:noWrap/>
            <w:vAlign w:val="center"/>
          </w:tcPr>
          <w:p w14:paraId="04220291" w14:textId="77777777" w:rsidR="00686DFE" w:rsidRPr="00CE5D9A" w:rsidRDefault="00686DFE" w:rsidP="00927BAE">
            <w:pPr>
              <w:spacing w:after="0" w:line="240" w:lineRule="auto"/>
              <w:jc w:val="center"/>
              <w:rPr>
                <w:rFonts w:ascii="Times New Roman" w:hAnsi="Times New Roman"/>
                <w:b/>
                <w:bCs/>
                <w:sz w:val="20"/>
                <w:szCs w:val="20"/>
              </w:rPr>
            </w:pPr>
            <w:r w:rsidRPr="00CE5D9A">
              <w:rPr>
                <w:rFonts w:ascii="Times New Roman" w:hAnsi="Times New Roman"/>
                <w:b/>
                <w:bCs/>
                <w:sz w:val="20"/>
                <w:szCs w:val="20"/>
              </w:rPr>
              <w:t>1</w:t>
            </w:r>
            <w:r w:rsidR="00927BAE" w:rsidRPr="00CE5D9A">
              <w:rPr>
                <w:rFonts w:ascii="Times New Roman" w:hAnsi="Times New Roman"/>
                <w:b/>
                <w:bCs/>
                <w:sz w:val="20"/>
                <w:szCs w:val="20"/>
              </w:rPr>
              <w:t>2</w:t>
            </w:r>
            <w:r w:rsidRPr="00CE5D9A">
              <w:rPr>
                <w:rFonts w:ascii="Times New Roman" w:hAnsi="Times New Roman"/>
                <w:b/>
                <w:bCs/>
                <w:sz w:val="20"/>
                <w:szCs w:val="20"/>
              </w:rPr>
              <w:t xml:space="preserve"> </w:t>
            </w:r>
            <w:r w:rsidR="00927BAE" w:rsidRPr="00CE5D9A">
              <w:rPr>
                <w:rFonts w:ascii="Times New Roman" w:hAnsi="Times New Roman"/>
                <w:b/>
                <w:bCs/>
                <w:sz w:val="20"/>
                <w:szCs w:val="20"/>
              </w:rPr>
              <w:t>732</w:t>
            </w:r>
          </w:p>
        </w:tc>
        <w:tc>
          <w:tcPr>
            <w:tcW w:w="1770" w:type="dxa"/>
            <w:noWrap/>
            <w:vAlign w:val="center"/>
          </w:tcPr>
          <w:p w14:paraId="27C92F0C" w14:textId="77777777" w:rsidR="00686DFE" w:rsidRPr="00CE5D9A" w:rsidRDefault="00686DFE" w:rsidP="00927BA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9,7</w:t>
            </w:r>
          </w:p>
        </w:tc>
        <w:tc>
          <w:tcPr>
            <w:tcW w:w="1770" w:type="dxa"/>
            <w:noWrap/>
            <w:vAlign w:val="center"/>
          </w:tcPr>
          <w:p w14:paraId="6C1EA5F1" w14:textId="77777777" w:rsidR="00686DFE" w:rsidRPr="00CE5D9A" w:rsidRDefault="00927BAE" w:rsidP="00927BA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11,2</w:t>
            </w:r>
          </w:p>
        </w:tc>
      </w:tr>
      <w:tr w:rsidR="00686DFE" w:rsidRPr="00CE5D9A" w14:paraId="6C669CA0" w14:textId="77777777" w:rsidTr="00557981">
        <w:trPr>
          <w:trHeight w:val="70"/>
        </w:trPr>
        <w:tc>
          <w:tcPr>
            <w:tcW w:w="3114" w:type="dxa"/>
            <w:noWrap/>
            <w:vAlign w:val="center"/>
          </w:tcPr>
          <w:p w14:paraId="600B4F1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1770" w:type="dxa"/>
            <w:noWrap/>
            <w:vAlign w:val="center"/>
          </w:tcPr>
          <w:p w14:paraId="2CE60D6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368 370</w:t>
            </w:r>
          </w:p>
        </w:tc>
        <w:tc>
          <w:tcPr>
            <w:tcW w:w="1770" w:type="dxa"/>
            <w:noWrap/>
            <w:vAlign w:val="center"/>
          </w:tcPr>
          <w:p w14:paraId="109E1A4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423 730</w:t>
            </w:r>
          </w:p>
        </w:tc>
        <w:tc>
          <w:tcPr>
            <w:tcW w:w="1770" w:type="dxa"/>
            <w:noWrap/>
            <w:vAlign w:val="center"/>
          </w:tcPr>
          <w:p w14:paraId="1C626C5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10,9</w:t>
            </w:r>
          </w:p>
        </w:tc>
        <w:tc>
          <w:tcPr>
            <w:tcW w:w="1770" w:type="dxa"/>
            <w:noWrap/>
            <w:vAlign w:val="center"/>
          </w:tcPr>
          <w:p w14:paraId="06E3CE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13,0</w:t>
            </w:r>
          </w:p>
        </w:tc>
      </w:tr>
      <w:tr w:rsidR="00686DFE" w:rsidRPr="00CE5D9A" w14:paraId="74017B82" w14:textId="77777777">
        <w:trPr>
          <w:trHeight w:val="340"/>
        </w:trPr>
        <w:tc>
          <w:tcPr>
            <w:tcW w:w="3114" w:type="dxa"/>
            <w:noWrap/>
            <w:vAlign w:val="center"/>
          </w:tcPr>
          <w:p w14:paraId="3793968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1770" w:type="dxa"/>
            <w:noWrap/>
            <w:vAlign w:val="center"/>
          </w:tcPr>
          <w:p w14:paraId="340231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4 203 948</w:t>
            </w:r>
          </w:p>
        </w:tc>
        <w:tc>
          <w:tcPr>
            <w:tcW w:w="1770" w:type="dxa"/>
            <w:noWrap/>
            <w:vAlign w:val="center"/>
          </w:tcPr>
          <w:p w14:paraId="5330E1E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4 631 699</w:t>
            </w:r>
          </w:p>
        </w:tc>
        <w:tc>
          <w:tcPr>
            <w:tcW w:w="1770" w:type="dxa"/>
            <w:noWrap/>
            <w:vAlign w:val="center"/>
          </w:tcPr>
          <w:p w14:paraId="1557007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10,9</w:t>
            </w:r>
          </w:p>
        </w:tc>
        <w:tc>
          <w:tcPr>
            <w:tcW w:w="1770" w:type="dxa"/>
            <w:noWrap/>
            <w:vAlign w:val="center"/>
          </w:tcPr>
          <w:p w14:paraId="45B9626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12,6</w:t>
            </w:r>
          </w:p>
        </w:tc>
      </w:tr>
    </w:tbl>
    <w:p w14:paraId="77EC25DB"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397537AC"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Udział przedsiębiorstw zatrudniających mniej niż 50 pracowników w liczbie mieszkańców ogółem </w:t>
      </w:r>
      <w:r w:rsidRPr="00CE5D9A">
        <w:rPr>
          <w:rFonts w:ascii="Times New Roman" w:hAnsi="Times New Roman"/>
        </w:rPr>
        <w:br/>
        <w:t xml:space="preserve">w analizowanych latach był na obszarze LGD niższy niż średnia dla kraju oraz średnia dla województwa małopolskiego, ale odnotował trend rosnący, natomiast tendencja ta dotyczyła także średniej dla województwa </w:t>
      </w:r>
      <w:r w:rsidRPr="00CE5D9A">
        <w:rPr>
          <w:rFonts w:ascii="Times New Roman" w:hAnsi="Times New Roman"/>
        </w:rPr>
        <w:br/>
        <w:t xml:space="preserve">i kraju. W badaniu ankietowym przeprowadzonym na etapie planistycznym na pytanie: „Jakie powinny być kierunki/obszary rozwoju LGD?” (możliwość zaznaczenia 3 odpowiedzi) – 63% ankietowanych wskazało </w:t>
      </w:r>
      <w:r w:rsidRPr="00CE5D9A">
        <w:rPr>
          <w:rFonts w:ascii="Times New Roman" w:hAnsi="Times New Roman"/>
        </w:rPr>
        <w:lastRenderedPageBreak/>
        <w:t>odpowiedź: „wspieranie rozwoju przedsiębiorczości mieszkańców”. Istotne będzie stworzenie odpowiednich warunków do rozwoju dla lokalnych przedsiębiorstw, w tym drobnego przemysłu. Szansą dla małych przedsiębiorstw jest pozyskanie zewnętrznych środków na rozwój, co umożliwi inwestycje w rozwiązania m.in. innowacyjne, które wpłyną na jakość świadczonych usług i wzrost konkurencyjności. Konieczne jest wspieranie liderów i inicjatyw oddolnych, które wpłyną na wzrost poczucia przynależności do regionu i wpłyną na odczucia mieszkańców, którzy zrozumieją jak ważny jest ich udział w rozwoju obszaru. Istotność inwestowania w wymienione branże uwidoczniła się również w wynikach badania ankietowego.</w:t>
      </w:r>
    </w:p>
    <w:p w14:paraId="60E597BA" w14:textId="77777777" w:rsidR="00686DFE" w:rsidRPr="00CE5D9A" w:rsidRDefault="00686DFE">
      <w:pPr>
        <w:pStyle w:val="Akapitzlist"/>
        <w:spacing w:before="240" w:line="360" w:lineRule="auto"/>
        <w:ind w:left="0"/>
        <w:jc w:val="center"/>
        <w:rPr>
          <w:rFonts w:ascii="Times New Roman" w:eastAsia="DengXian" w:hAnsi="Times New Roman"/>
          <w:b/>
          <w:bCs/>
        </w:rPr>
      </w:pPr>
      <w:r w:rsidRPr="00CE5D9A">
        <w:rPr>
          <w:rFonts w:ascii="Times New Roman" w:hAnsi="Times New Roman"/>
          <w:b/>
          <w:bCs/>
        </w:rPr>
        <w:t xml:space="preserve">Przy obliczeniu wskaźnika </w:t>
      </w:r>
      <w:r w:rsidRPr="00CE5D9A">
        <w:rPr>
          <w:rFonts w:ascii="Times New Roman" w:hAnsi="Times New Roman"/>
          <w:b/>
          <w:bCs/>
          <w:i/>
          <w:iCs/>
        </w:rPr>
        <w:t>udział przedsiębiorstw zatrudniających mniej niż 50 pracowników na obszarze LSR w liczbie mieszkańców LSR, według stanu na koniec 2020 r.</w:t>
      </w:r>
      <w:r w:rsidRPr="00CE5D9A">
        <w:rPr>
          <w:rFonts w:ascii="Times New Roman" w:hAnsi="Times New Roman"/>
          <w:b/>
          <w:bCs/>
        </w:rPr>
        <w:t xml:space="preserve"> ze wzoru:</w:t>
      </w:r>
      <w:r w:rsidRPr="00CE5D9A">
        <w:rPr>
          <w:rFonts w:ascii="Times New Roman" w:hAnsi="Times New Roman"/>
          <w:b/>
          <w:bCs/>
        </w:rPr>
        <w:br/>
      </w:r>
      <m:oMath>
        <m:r>
          <m:rPr>
            <m:sty m:val="bi"/>
          </m:rPr>
          <w:rPr>
            <w:rFonts w:ascii="Cambria Math" w:hAnsi="Cambria Math"/>
          </w:rPr>
          <m:t xml:space="preserve">5 x (1- </m:t>
        </m:r>
        <m:f>
          <m:fPr>
            <m:ctrlPr>
              <w:rPr>
                <w:rFonts w:ascii="Cambria Math" w:hAnsi="Cambria Math"/>
                <w:b/>
                <w:bCs/>
                <w:i/>
              </w:rPr>
            </m:ctrlPr>
          </m:fPr>
          <m:num>
            <m:r>
              <m:rPr>
                <m:sty m:val="bi"/>
              </m:rPr>
              <w:rPr>
                <w:rFonts w:ascii="Cambria Math" w:hAnsi="Cambria Math"/>
              </w:rPr>
              <m:t>0,015 x ludność w wieku produkcyjnym</m:t>
            </m:r>
          </m:num>
          <m:den>
            <m:r>
              <m:rPr>
                <m:sty m:val="bi"/>
              </m:rPr>
              <w:rPr>
                <w:rFonts w:ascii="Cambria Math" w:hAnsi="Cambria Math"/>
              </w:rPr>
              <m:t>liczba bezrobotnych</m:t>
            </m:r>
          </m:den>
        </m:f>
        <m:r>
          <m:rPr>
            <m:sty m:val="bi"/>
          </m:rPr>
          <w:rPr>
            <w:rFonts w:ascii="Cambria Math" w:hAnsi="Cambria Math"/>
          </w:rPr>
          <m:t>)</m:t>
        </m:r>
      </m:oMath>
      <w:r w:rsidR="00202153" w:rsidRPr="00CE5D9A">
        <w:rPr>
          <w:rFonts w:ascii="Times New Roman" w:eastAsiaTheme="minorEastAsia" w:hAnsi="Times New Roman"/>
          <w:b/>
          <w:bCs/>
        </w:rPr>
        <w:t xml:space="preserve"> obszar</w:t>
      </w:r>
      <w:r w:rsidRPr="00CE5D9A">
        <w:rPr>
          <w:rFonts w:ascii="Times New Roman" w:eastAsia="DengXian" w:hAnsi="Times New Roman"/>
          <w:b/>
          <w:bCs/>
        </w:rPr>
        <w:t xml:space="preserve"> LGD osiąga wartość 2,2</w:t>
      </w:r>
      <w:r w:rsidR="00202153" w:rsidRPr="00CE5D9A">
        <w:rPr>
          <w:rFonts w:ascii="Times New Roman" w:eastAsia="DengXian" w:hAnsi="Times New Roman"/>
          <w:b/>
          <w:bCs/>
        </w:rPr>
        <w:t>3</w:t>
      </w:r>
      <w:r w:rsidRPr="00CE5D9A">
        <w:rPr>
          <w:rFonts w:ascii="Times New Roman" w:eastAsia="DengXian" w:hAnsi="Times New Roman"/>
          <w:b/>
          <w:bCs/>
        </w:rPr>
        <w:t>.</w:t>
      </w:r>
    </w:p>
    <w:p w14:paraId="62FA9708" w14:textId="77777777" w:rsidR="00202153" w:rsidRPr="00CE5D9A" w:rsidRDefault="00686DFE">
      <w:pPr>
        <w:spacing w:before="240" w:line="276" w:lineRule="auto"/>
        <w:ind w:firstLine="709"/>
        <w:jc w:val="both"/>
        <w:rPr>
          <w:rFonts w:ascii="Times New Roman" w:hAnsi="Times New Roman"/>
        </w:rPr>
      </w:pPr>
      <w:bookmarkStart w:id="66" w:name="_Toc112152407"/>
      <w:r w:rsidRPr="00CE5D9A">
        <w:rPr>
          <w:rFonts w:ascii="Times New Roman" w:hAnsi="Times New Roman"/>
        </w:rPr>
        <w:t>W tabeli 7 przedstawiono udział podmiotów gospodarczych według grup rodzajów działalności (PKD 2007) w 2021 r. w poszczególnych gminach LGD, średnio na obszarze, w województwie i kraju. Średni udział grupy „rolnictwo, leśnictwo, łowiectwo i rybactwo” jest dla obszaru LGD identyczny jak średnia dla województwa oraz niższy niż średnia dla kraju. Wśród gmin obszaru, pod tym względem, najbardziej wyróżnia się Gmina Raciechowice – 2,3% – jest to wartość znacznie wyższa niż średnia w województwie (0,9%) oraz wyższa niż średnia dla kraju (1,5%).</w:t>
      </w:r>
    </w:p>
    <w:p w14:paraId="4280ED4A" w14:textId="41384D51" w:rsidR="00686DFE" w:rsidRPr="00CE5D9A" w:rsidRDefault="00686DFE">
      <w:pPr>
        <w:pStyle w:val="Legenda"/>
        <w:spacing w:after="0"/>
        <w:jc w:val="center"/>
        <w:rPr>
          <w:rFonts w:ascii="Times New Roman" w:hAnsi="Times New Roman"/>
          <w:b/>
          <w:bCs/>
          <w:i w:val="0"/>
          <w:iCs w:val="0"/>
          <w:color w:val="auto"/>
          <w:sz w:val="20"/>
          <w:szCs w:val="20"/>
        </w:rPr>
      </w:pPr>
      <w:bookmarkStart w:id="67" w:name="_Toc134966356"/>
      <w:bookmarkStart w:id="68" w:name="_Toc194581431"/>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7</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Udział podmiotów gospodarczych według grup rodzajów działalności (PKD 2007) w poszczególnych gminach LGD, średnio na obszarze, w województwie i kraju w 2021 r.</w:t>
      </w:r>
      <w:bookmarkEnd w:id="66"/>
      <w:bookmarkEnd w:id="67"/>
      <w:bookmarkEnd w:id="68"/>
    </w:p>
    <w:tbl>
      <w:tblPr>
        <w:tblW w:w="5000" w:type="pct"/>
        <w:tblCellMar>
          <w:left w:w="70" w:type="dxa"/>
          <w:right w:w="70" w:type="dxa"/>
        </w:tblCellMar>
        <w:tblLook w:val="0000" w:firstRow="0" w:lastRow="0" w:firstColumn="0" w:lastColumn="0" w:noHBand="0" w:noVBand="0"/>
      </w:tblPr>
      <w:tblGrid>
        <w:gridCol w:w="3184"/>
        <w:gridCol w:w="1305"/>
        <w:gridCol w:w="1618"/>
        <w:gridCol w:w="1310"/>
        <w:gridCol w:w="1620"/>
        <w:gridCol w:w="1307"/>
      </w:tblGrid>
      <w:tr w:rsidR="00557981" w:rsidRPr="00CE5D9A" w14:paraId="3F0F1D62" w14:textId="77777777">
        <w:trPr>
          <w:trHeight w:val="340"/>
        </w:trPr>
        <w:tc>
          <w:tcPr>
            <w:tcW w:w="1539" w:type="pct"/>
            <w:tcBorders>
              <w:top w:val="single" w:sz="4" w:space="0" w:color="auto"/>
              <w:left w:val="single" w:sz="4" w:space="0" w:color="auto"/>
              <w:bottom w:val="single" w:sz="4" w:space="0" w:color="auto"/>
              <w:right w:val="single" w:sz="4" w:space="0" w:color="auto"/>
            </w:tcBorders>
            <w:vAlign w:val="center"/>
          </w:tcPr>
          <w:p w14:paraId="671C127D"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631" w:type="pct"/>
            <w:tcBorders>
              <w:top w:val="single" w:sz="4" w:space="0" w:color="auto"/>
              <w:left w:val="nil"/>
              <w:bottom w:val="single" w:sz="4" w:space="0" w:color="auto"/>
              <w:right w:val="single" w:sz="4" w:space="0" w:color="auto"/>
            </w:tcBorders>
            <w:vAlign w:val="center"/>
          </w:tcPr>
          <w:p w14:paraId="3AFE20C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Rolnictwo, leśnictwo, łowiectwo i rybactwo</w:t>
            </w:r>
          </w:p>
        </w:tc>
        <w:tc>
          <w:tcPr>
            <w:tcW w:w="782" w:type="pct"/>
            <w:tcBorders>
              <w:top w:val="single" w:sz="4" w:space="0" w:color="auto"/>
              <w:left w:val="nil"/>
              <w:bottom w:val="single" w:sz="4" w:space="0" w:color="auto"/>
              <w:right w:val="single" w:sz="4" w:space="0" w:color="auto"/>
            </w:tcBorders>
            <w:vAlign w:val="center"/>
          </w:tcPr>
          <w:p w14:paraId="423B295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Przemysł i budownictwo</w:t>
            </w:r>
          </w:p>
        </w:tc>
        <w:tc>
          <w:tcPr>
            <w:tcW w:w="633" w:type="pct"/>
            <w:tcBorders>
              <w:top w:val="single" w:sz="4" w:space="0" w:color="auto"/>
              <w:left w:val="nil"/>
              <w:bottom w:val="single" w:sz="4" w:space="0" w:color="auto"/>
              <w:right w:val="single" w:sz="4" w:space="0" w:color="auto"/>
            </w:tcBorders>
            <w:vAlign w:val="center"/>
          </w:tcPr>
          <w:p w14:paraId="72AD9BE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Handel hurtowy i detaliczny</w:t>
            </w:r>
          </w:p>
        </w:tc>
        <w:tc>
          <w:tcPr>
            <w:tcW w:w="783" w:type="pct"/>
            <w:tcBorders>
              <w:top w:val="single" w:sz="4" w:space="0" w:color="auto"/>
              <w:left w:val="nil"/>
              <w:bottom w:val="single" w:sz="4" w:space="0" w:color="auto"/>
              <w:right w:val="single" w:sz="4" w:space="0" w:color="auto"/>
            </w:tcBorders>
            <w:vAlign w:val="center"/>
          </w:tcPr>
          <w:p w14:paraId="09441BE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Zakwaterowanie i usługi gastronomiczne</w:t>
            </w:r>
          </w:p>
        </w:tc>
        <w:tc>
          <w:tcPr>
            <w:tcW w:w="632" w:type="pct"/>
            <w:tcBorders>
              <w:top w:val="single" w:sz="4" w:space="0" w:color="auto"/>
              <w:left w:val="nil"/>
              <w:bottom w:val="single" w:sz="4" w:space="0" w:color="auto"/>
              <w:right w:val="single" w:sz="4" w:space="0" w:color="auto"/>
            </w:tcBorders>
            <w:vAlign w:val="center"/>
          </w:tcPr>
          <w:p w14:paraId="14EF655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Pozostała działalność</w:t>
            </w:r>
          </w:p>
        </w:tc>
      </w:tr>
      <w:tr w:rsidR="00557981" w:rsidRPr="00CE5D9A" w14:paraId="444705BA"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41E71896"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631" w:type="pct"/>
            <w:tcBorders>
              <w:top w:val="nil"/>
              <w:left w:val="nil"/>
              <w:bottom w:val="single" w:sz="4" w:space="0" w:color="auto"/>
              <w:right w:val="single" w:sz="4" w:space="0" w:color="auto"/>
            </w:tcBorders>
            <w:noWrap/>
            <w:vAlign w:val="center"/>
          </w:tcPr>
          <w:p w14:paraId="59A700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w:t>
            </w:r>
          </w:p>
        </w:tc>
        <w:tc>
          <w:tcPr>
            <w:tcW w:w="782" w:type="pct"/>
            <w:tcBorders>
              <w:top w:val="nil"/>
              <w:left w:val="nil"/>
              <w:bottom w:val="single" w:sz="4" w:space="0" w:color="auto"/>
              <w:right w:val="single" w:sz="4" w:space="0" w:color="auto"/>
            </w:tcBorders>
            <w:noWrap/>
            <w:vAlign w:val="center"/>
          </w:tcPr>
          <w:p w14:paraId="76BC5FA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43,8</w:t>
            </w:r>
          </w:p>
        </w:tc>
        <w:tc>
          <w:tcPr>
            <w:tcW w:w="633" w:type="pct"/>
            <w:tcBorders>
              <w:top w:val="nil"/>
              <w:left w:val="nil"/>
              <w:bottom w:val="single" w:sz="4" w:space="0" w:color="auto"/>
              <w:right w:val="single" w:sz="4" w:space="0" w:color="auto"/>
            </w:tcBorders>
            <w:noWrap/>
            <w:vAlign w:val="center"/>
          </w:tcPr>
          <w:p w14:paraId="33AD906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16,9</w:t>
            </w:r>
          </w:p>
        </w:tc>
        <w:tc>
          <w:tcPr>
            <w:tcW w:w="783" w:type="pct"/>
            <w:tcBorders>
              <w:top w:val="nil"/>
              <w:left w:val="nil"/>
              <w:bottom w:val="single" w:sz="4" w:space="0" w:color="auto"/>
              <w:right w:val="single" w:sz="4" w:space="0" w:color="auto"/>
            </w:tcBorders>
            <w:noWrap/>
            <w:vAlign w:val="center"/>
          </w:tcPr>
          <w:p w14:paraId="248AD05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3,4</w:t>
            </w:r>
          </w:p>
        </w:tc>
        <w:tc>
          <w:tcPr>
            <w:tcW w:w="632" w:type="pct"/>
            <w:tcBorders>
              <w:top w:val="nil"/>
              <w:left w:val="nil"/>
              <w:bottom w:val="single" w:sz="4" w:space="0" w:color="auto"/>
              <w:right w:val="single" w:sz="4" w:space="0" w:color="auto"/>
            </w:tcBorders>
            <w:noWrap/>
            <w:vAlign w:val="center"/>
          </w:tcPr>
          <w:p w14:paraId="7C6831A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34,7</w:t>
            </w:r>
          </w:p>
        </w:tc>
      </w:tr>
      <w:tr w:rsidR="00557981" w:rsidRPr="00CE5D9A" w14:paraId="01974FE9"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73B393D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631" w:type="pct"/>
            <w:tcBorders>
              <w:top w:val="nil"/>
              <w:left w:val="nil"/>
              <w:bottom w:val="single" w:sz="4" w:space="0" w:color="auto"/>
              <w:right w:val="single" w:sz="4" w:space="0" w:color="auto"/>
            </w:tcBorders>
            <w:noWrap/>
            <w:vAlign w:val="center"/>
          </w:tcPr>
          <w:p w14:paraId="4B3BDF8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0,7</w:t>
            </w:r>
          </w:p>
        </w:tc>
        <w:tc>
          <w:tcPr>
            <w:tcW w:w="782" w:type="pct"/>
            <w:tcBorders>
              <w:top w:val="nil"/>
              <w:left w:val="nil"/>
              <w:bottom w:val="single" w:sz="4" w:space="0" w:color="auto"/>
              <w:right w:val="single" w:sz="4" w:space="0" w:color="auto"/>
            </w:tcBorders>
            <w:noWrap/>
            <w:vAlign w:val="center"/>
          </w:tcPr>
          <w:p w14:paraId="52FADC8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29,4</w:t>
            </w:r>
          </w:p>
        </w:tc>
        <w:tc>
          <w:tcPr>
            <w:tcW w:w="633" w:type="pct"/>
            <w:tcBorders>
              <w:top w:val="nil"/>
              <w:left w:val="nil"/>
              <w:bottom w:val="single" w:sz="4" w:space="0" w:color="auto"/>
              <w:right w:val="single" w:sz="4" w:space="0" w:color="auto"/>
            </w:tcBorders>
            <w:noWrap/>
            <w:vAlign w:val="center"/>
          </w:tcPr>
          <w:p w14:paraId="7CEB713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22,6</w:t>
            </w:r>
          </w:p>
        </w:tc>
        <w:tc>
          <w:tcPr>
            <w:tcW w:w="783" w:type="pct"/>
            <w:tcBorders>
              <w:top w:val="nil"/>
              <w:left w:val="nil"/>
              <w:bottom w:val="single" w:sz="4" w:space="0" w:color="auto"/>
              <w:right w:val="single" w:sz="4" w:space="0" w:color="auto"/>
            </w:tcBorders>
            <w:noWrap/>
            <w:vAlign w:val="center"/>
          </w:tcPr>
          <w:p w14:paraId="6F628DE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3,7</w:t>
            </w:r>
          </w:p>
        </w:tc>
        <w:tc>
          <w:tcPr>
            <w:tcW w:w="632" w:type="pct"/>
            <w:tcBorders>
              <w:top w:val="nil"/>
              <w:left w:val="nil"/>
              <w:bottom w:val="single" w:sz="4" w:space="0" w:color="auto"/>
              <w:right w:val="single" w:sz="4" w:space="0" w:color="auto"/>
            </w:tcBorders>
            <w:noWrap/>
            <w:vAlign w:val="center"/>
          </w:tcPr>
          <w:p w14:paraId="32EB228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43,6</w:t>
            </w:r>
          </w:p>
        </w:tc>
      </w:tr>
      <w:tr w:rsidR="00557981" w:rsidRPr="00CE5D9A" w14:paraId="673B37C6"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24E1551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631" w:type="pct"/>
            <w:tcBorders>
              <w:top w:val="nil"/>
              <w:left w:val="nil"/>
              <w:bottom w:val="single" w:sz="4" w:space="0" w:color="auto"/>
              <w:right w:val="single" w:sz="4" w:space="0" w:color="auto"/>
            </w:tcBorders>
            <w:noWrap/>
            <w:vAlign w:val="center"/>
          </w:tcPr>
          <w:p w14:paraId="738A3D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0,6</w:t>
            </w:r>
          </w:p>
        </w:tc>
        <w:tc>
          <w:tcPr>
            <w:tcW w:w="782" w:type="pct"/>
            <w:tcBorders>
              <w:top w:val="nil"/>
              <w:left w:val="nil"/>
              <w:bottom w:val="single" w:sz="4" w:space="0" w:color="auto"/>
              <w:right w:val="single" w:sz="4" w:space="0" w:color="auto"/>
            </w:tcBorders>
            <w:noWrap/>
            <w:vAlign w:val="center"/>
          </w:tcPr>
          <w:p w14:paraId="195618E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46,1</w:t>
            </w:r>
          </w:p>
        </w:tc>
        <w:tc>
          <w:tcPr>
            <w:tcW w:w="633" w:type="pct"/>
            <w:tcBorders>
              <w:top w:val="nil"/>
              <w:left w:val="nil"/>
              <w:bottom w:val="single" w:sz="4" w:space="0" w:color="auto"/>
              <w:right w:val="single" w:sz="4" w:space="0" w:color="auto"/>
            </w:tcBorders>
            <w:noWrap/>
            <w:vAlign w:val="center"/>
          </w:tcPr>
          <w:p w14:paraId="1706E02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22,3</w:t>
            </w:r>
          </w:p>
        </w:tc>
        <w:tc>
          <w:tcPr>
            <w:tcW w:w="783" w:type="pct"/>
            <w:tcBorders>
              <w:top w:val="nil"/>
              <w:left w:val="nil"/>
              <w:bottom w:val="single" w:sz="4" w:space="0" w:color="auto"/>
              <w:right w:val="single" w:sz="4" w:space="0" w:color="auto"/>
            </w:tcBorders>
            <w:noWrap/>
            <w:vAlign w:val="center"/>
          </w:tcPr>
          <w:p w14:paraId="7DD186B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w:t>
            </w:r>
          </w:p>
        </w:tc>
        <w:tc>
          <w:tcPr>
            <w:tcW w:w="632" w:type="pct"/>
            <w:tcBorders>
              <w:top w:val="nil"/>
              <w:left w:val="nil"/>
              <w:bottom w:val="single" w:sz="4" w:space="0" w:color="auto"/>
              <w:right w:val="single" w:sz="4" w:space="0" w:color="auto"/>
            </w:tcBorders>
            <w:noWrap/>
            <w:vAlign w:val="center"/>
          </w:tcPr>
          <w:p w14:paraId="6A29F8D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28,8</w:t>
            </w:r>
          </w:p>
        </w:tc>
      </w:tr>
      <w:tr w:rsidR="00557981" w:rsidRPr="00CE5D9A" w14:paraId="77EA24C9"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65D79C9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631" w:type="pct"/>
            <w:tcBorders>
              <w:top w:val="nil"/>
              <w:left w:val="nil"/>
              <w:bottom w:val="single" w:sz="4" w:space="0" w:color="auto"/>
              <w:right w:val="single" w:sz="4" w:space="0" w:color="auto"/>
            </w:tcBorders>
            <w:noWrap/>
            <w:vAlign w:val="center"/>
          </w:tcPr>
          <w:p w14:paraId="1B9E47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2,3</w:t>
            </w:r>
          </w:p>
        </w:tc>
        <w:tc>
          <w:tcPr>
            <w:tcW w:w="782" w:type="pct"/>
            <w:tcBorders>
              <w:top w:val="nil"/>
              <w:left w:val="nil"/>
              <w:bottom w:val="single" w:sz="4" w:space="0" w:color="auto"/>
              <w:right w:val="single" w:sz="4" w:space="0" w:color="auto"/>
            </w:tcBorders>
            <w:noWrap/>
            <w:vAlign w:val="center"/>
          </w:tcPr>
          <w:p w14:paraId="22208DF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43,1</w:t>
            </w:r>
          </w:p>
        </w:tc>
        <w:tc>
          <w:tcPr>
            <w:tcW w:w="633" w:type="pct"/>
            <w:tcBorders>
              <w:top w:val="nil"/>
              <w:left w:val="nil"/>
              <w:bottom w:val="single" w:sz="4" w:space="0" w:color="auto"/>
              <w:right w:val="single" w:sz="4" w:space="0" w:color="auto"/>
            </w:tcBorders>
            <w:noWrap/>
            <w:vAlign w:val="center"/>
          </w:tcPr>
          <w:p w14:paraId="55F3E2A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17,9</w:t>
            </w:r>
          </w:p>
        </w:tc>
        <w:tc>
          <w:tcPr>
            <w:tcW w:w="783" w:type="pct"/>
            <w:tcBorders>
              <w:top w:val="nil"/>
              <w:left w:val="nil"/>
              <w:bottom w:val="single" w:sz="4" w:space="0" w:color="auto"/>
              <w:right w:val="single" w:sz="4" w:space="0" w:color="auto"/>
            </w:tcBorders>
            <w:noWrap/>
            <w:vAlign w:val="center"/>
          </w:tcPr>
          <w:p w14:paraId="084BD06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w:t>
            </w:r>
          </w:p>
        </w:tc>
        <w:tc>
          <w:tcPr>
            <w:tcW w:w="632" w:type="pct"/>
            <w:tcBorders>
              <w:top w:val="nil"/>
              <w:left w:val="nil"/>
              <w:bottom w:val="single" w:sz="4" w:space="0" w:color="auto"/>
              <w:right w:val="single" w:sz="4" w:space="0" w:color="auto"/>
            </w:tcBorders>
            <w:noWrap/>
            <w:vAlign w:val="center"/>
          </w:tcPr>
          <w:p w14:paraId="5F87CDA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35,3</w:t>
            </w:r>
          </w:p>
        </w:tc>
      </w:tr>
      <w:tr w:rsidR="00557981" w:rsidRPr="00CE5D9A" w14:paraId="0DDA51BA" w14:textId="77777777" w:rsidTr="00FB4F8A">
        <w:trPr>
          <w:trHeight w:val="340"/>
        </w:trPr>
        <w:tc>
          <w:tcPr>
            <w:tcW w:w="1539" w:type="pct"/>
            <w:tcBorders>
              <w:top w:val="nil"/>
              <w:left w:val="single" w:sz="4" w:space="0" w:color="auto"/>
              <w:bottom w:val="single" w:sz="4" w:space="0" w:color="auto"/>
              <w:right w:val="single" w:sz="4" w:space="0" w:color="auto"/>
            </w:tcBorders>
            <w:noWrap/>
            <w:vAlign w:val="center"/>
          </w:tcPr>
          <w:p w14:paraId="6C922309" w14:textId="77777777" w:rsidR="00FB4F8A" w:rsidRPr="00CE5D9A" w:rsidRDefault="00FB4F8A" w:rsidP="00FB4F8A">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631" w:type="pct"/>
            <w:tcBorders>
              <w:top w:val="nil"/>
              <w:left w:val="nil"/>
              <w:bottom w:val="single" w:sz="4" w:space="0" w:color="auto"/>
              <w:right w:val="single" w:sz="4" w:space="0" w:color="auto"/>
            </w:tcBorders>
            <w:noWrap/>
            <w:vAlign w:val="center"/>
          </w:tcPr>
          <w:p w14:paraId="3D56FF64" w14:textId="77777777" w:rsidR="00FB4F8A" w:rsidRPr="00CE5D9A" w:rsidRDefault="00FB4F8A" w:rsidP="00FB4F8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w:t>
            </w:r>
          </w:p>
        </w:tc>
        <w:tc>
          <w:tcPr>
            <w:tcW w:w="782" w:type="pct"/>
            <w:tcBorders>
              <w:top w:val="nil"/>
              <w:left w:val="nil"/>
              <w:bottom w:val="single" w:sz="4" w:space="0" w:color="auto"/>
              <w:right w:val="single" w:sz="4" w:space="0" w:color="auto"/>
            </w:tcBorders>
            <w:noWrap/>
            <w:vAlign w:val="center"/>
          </w:tcPr>
          <w:p w14:paraId="4D906131" w14:textId="77777777" w:rsidR="00FB4F8A" w:rsidRPr="00CE5D9A" w:rsidRDefault="00FB4F8A" w:rsidP="00FB4F8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41,1</w:t>
            </w:r>
          </w:p>
        </w:tc>
        <w:tc>
          <w:tcPr>
            <w:tcW w:w="633" w:type="pct"/>
            <w:tcBorders>
              <w:top w:val="nil"/>
              <w:left w:val="nil"/>
              <w:bottom w:val="single" w:sz="4" w:space="0" w:color="auto"/>
              <w:right w:val="single" w:sz="4" w:space="0" w:color="auto"/>
            </w:tcBorders>
            <w:noWrap/>
            <w:vAlign w:val="center"/>
          </w:tcPr>
          <w:p w14:paraId="36ED61AE" w14:textId="77777777" w:rsidR="00FB4F8A" w:rsidRPr="00CE5D9A" w:rsidRDefault="00FB4F8A" w:rsidP="00FB4F8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25,4</w:t>
            </w:r>
          </w:p>
        </w:tc>
        <w:tc>
          <w:tcPr>
            <w:tcW w:w="783" w:type="pct"/>
            <w:tcBorders>
              <w:top w:val="nil"/>
              <w:left w:val="nil"/>
              <w:bottom w:val="single" w:sz="4" w:space="0" w:color="auto"/>
              <w:right w:val="single" w:sz="4" w:space="0" w:color="auto"/>
            </w:tcBorders>
            <w:noWrap/>
            <w:vAlign w:val="center"/>
          </w:tcPr>
          <w:p w14:paraId="4BC9119F" w14:textId="77777777" w:rsidR="00FB4F8A" w:rsidRPr="00CE5D9A" w:rsidRDefault="00FB4F8A" w:rsidP="00FB4F8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w:t>
            </w:r>
          </w:p>
        </w:tc>
        <w:tc>
          <w:tcPr>
            <w:tcW w:w="632" w:type="pct"/>
            <w:tcBorders>
              <w:top w:val="nil"/>
              <w:left w:val="nil"/>
              <w:bottom w:val="single" w:sz="4" w:space="0" w:color="auto"/>
              <w:right w:val="single" w:sz="4" w:space="0" w:color="auto"/>
            </w:tcBorders>
            <w:noWrap/>
            <w:vAlign w:val="center"/>
          </w:tcPr>
          <w:p w14:paraId="7BB5F08D" w14:textId="77777777" w:rsidR="00FB4F8A" w:rsidRPr="00CE5D9A" w:rsidRDefault="00FB4F8A" w:rsidP="00FB4F8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30,3</w:t>
            </w:r>
          </w:p>
        </w:tc>
      </w:tr>
      <w:tr w:rsidR="00557981" w:rsidRPr="00CE5D9A" w14:paraId="321950C9"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0B7E13D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631" w:type="pct"/>
            <w:tcBorders>
              <w:top w:val="nil"/>
              <w:left w:val="nil"/>
              <w:bottom w:val="single" w:sz="4" w:space="0" w:color="auto"/>
              <w:right w:val="single" w:sz="4" w:space="0" w:color="auto"/>
            </w:tcBorders>
            <w:noWrap/>
            <w:vAlign w:val="center"/>
          </w:tcPr>
          <w:p w14:paraId="7ECB7BE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0,8</w:t>
            </w:r>
          </w:p>
        </w:tc>
        <w:tc>
          <w:tcPr>
            <w:tcW w:w="782" w:type="pct"/>
            <w:tcBorders>
              <w:top w:val="nil"/>
              <w:left w:val="nil"/>
              <w:bottom w:val="single" w:sz="4" w:space="0" w:color="auto"/>
              <w:right w:val="single" w:sz="4" w:space="0" w:color="auto"/>
            </w:tcBorders>
            <w:noWrap/>
            <w:vAlign w:val="center"/>
          </w:tcPr>
          <w:p w14:paraId="5F5CA56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41,1</w:t>
            </w:r>
          </w:p>
        </w:tc>
        <w:tc>
          <w:tcPr>
            <w:tcW w:w="633" w:type="pct"/>
            <w:tcBorders>
              <w:top w:val="nil"/>
              <w:left w:val="nil"/>
              <w:bottom w:val="single" w:sz="4" w:space="0" w:color="auto"/>
              <w:right w:val="single" w:sz="4" w:space="0" w:color="auto"/>
            </w:tcBorders>
            <w:noWrap/>
            <w:vAlign w:val="center"/>
          </w:tcPr>
          <w:p w14:paraId="0043517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22,3</w:t>
            </w:r>
          </w:p>
        </w:tc>
        <w:tc>
          <w:tcPr>
            <w:tcW w:w="783" w:type="pct"/>
            <w:tcBorders>
              <w:top w:val="nil"/>
              <w:left w:val="nil"/>
              <w:bottom w:val="single" w:sz="4" w:space="0" w:color="auto"/>
              <w:right w:val="single" w:sz="4" w:space="0" w:color="auto"/>
            </w:tcBorders>
            <w:noWrap/>
            <w:vAlign w:val="center"/>
          </w:tcPr>
          <w:p w14:paraId="319825C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w:t>
            </w:r>
          </w:p>
        </w:tc>
        <w:tc>
          <w:tcPr>
            <w:tcW w:w="632" w:type="pct"/>
            <w:tcBorders>
              <w:top w:val="nil"/>
              <w:left w:val="nil"/>
              <w:bottom w:val="single" w:sz="4" w:space="0" w:color="auto"/>
              <w:right w:val="single" w:sz="4" w:space="0" w:color="auto"/>
            </w:tcBorders>
            <w:noWrap/>
            <w:vAlign w:val="center"/>
          </w:tcPr>
          <w:p w14:paraId="34EE394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33,9</w:t>
            </w:r>
          </w:p>
        </w:tc>
      </w:tr>
      <w:tr w:rsidR="00557981" w:rsidRPr="00CE5D9A" w14:paraId="7367DBE5"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103CF4A2"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631" w:type="pct"/>
            <w:tcBorders>
              <w:top w:val="nil"/>
              <w:left w:val="nil"/>
              <w:bottom w:val="single" w:sz="4" w:space="0" w:color="auto"/>
              <w:right w:val="single" w:sz="4" w:space="0" w:color="auto"/>
            </w:tcBorders>
            <w:noWrap/>
            <w:vAlign w:val="center"/>
          </w:tcPr>
          <w:p w14:paraId="0D81948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w:t>
            </w:r>
          </w:p>
        </w:tc>
        <w:tc>
          <w:tcPr>
            <w:tcW w:w="782" w:type="pct"/>
            <w:tcBorders>
              <w:top w:val="nil"/>
              <w:left w:val="nil"/>
              <w:bottom w:val="single" w:sz="4" w:space="0" w:color="auto"/>
              <w:right w:val="single" w:sz="4" w:space="0" w:color="auto"/>
            </w:tcBorders>
            <w:noWrap/>
            <w:vAlign w:val="center"/>
          </w:tcPr>
          <w:p w14:paraId="3F2B3F2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49,2</w:t>
            </w:r>
          </w:p>
        </w:tc>
        <w:tc>
          <w:tcPr>
            <w:tcW w:w="633" w:type="pct"/>
            <w:tcBorders>
              <w:top w:val="nil"/>
              <w:left w:val="nil"/>
              <w:bottom w:val="single" w:sz="4" w:space="0" w:color="auto"/>
              <w:right w:val="single" w:sz="4" w:space="0" w:color="auto"/>
            </w:tcBorders>
            <w:noWrap/>
            <w:vAlign w:val="center"/>
          </w:tcPr>
          <w:p w14:paraId="7921B12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13,3</w:t>
            </w:r>
          </w:p>
        </w:tc>
        <w:tc>
          <w:tcPr>
            <w:tcW w:w="783" w:type="pct"/>
            <w:tcBorders>
              <w:top w:val="nil"/>
              <w:left w:val="nil"/>
              <w:bottom w:val="single" w:sz="4" w:space="0" w:color="auto"/>
              <w:right w:val="single" w:sz="4" w:space="0" w:color="auto"/>
            </w:tcBorders>
            <w:noWrap/>
            <w:vAlign w:val="center"/>
          </w:tcPr>
          <w:p w14:paraId="1C95E8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w:t>
            </w:r>
          </w:p>
        </w:tc>
        <w:tc>
          <w:tcPr>
            <w:tcW w:w="632" w:type="pct"/>
            <w:tcBorders>
              <w:top w:val="nil"/>
              <w:left w:val="nil"/>
              <w:bottom w:val="single" w:sz="4" w:space="0" w:color="auto"/>
              <w:right w:val="single" w:sz="4" w:space="0" w:color="auto"/>
            </w:tcBorders>
            <w:noWrap/>
            <w:vAlign w:val="center"/>
          </w:tcPr>
          <w:p w14:paraId="3E0C280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33,9</w:t>
            </w:r>
          </w:p>
        </w:tc>
      </w:tr>
      <w:tr w:rsidR="00557981" w:rsidRPr="00CE5D9A" w14:paraId="04E3030F"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726BD41A"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631" w:type="pct"/>
            <w:tcBorders>
              <w:top w:val="nil"/>
              <w:left w:val="nil"/>
              <w:bottom w:val="single" w:sz="4" w:space="0" w:color="auto"/>
              <w:right w:val="single" w:sz="4" w:space="0" w:color="auto"/>
            </w:tcBorders>
            <w:noWrap/>
            <w:vAlign w:val="center"/>
          </w:tcPr>
          <w:p w14:paraId="2DB4E9A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w:t>
            </w:r>
          </w:p>
        </w:tc>
        <w:tc>
          <w:tcPr>
            <w:tcW w:w="782" w:type="pct"/>
            <w:tcBorders>
              <w:top w:val="nil"/>
              <w:left w:val="nil"/>
              <w:bottom w:val="single" w:sz="4" w:space="0" w:color="auto"/>
              <w:right w:val="single" w:sz="4" w:space="0" w:color="auto"/>
            </w:tcBorders>
            <w:noWrap/>
            <w:vAlign w:val="center"/>
          </w:tcPr>
          <w:p w14:paraId="1074570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44,8</w:t>
            </w:r>
          </w:p>
        </w:tc>
        <w:tc>
          <w:tcPr>
            <w:tcW w:w="633" w:type="pct"/>
            <w:tcBorders>
              <w:top w:val="nil"/>
              <w:left w:val="nil"/>
              <w:bottom w:val="single" w:sz="4" w:space="0" w:color="auto"/>
              <w:right w:val="single" w:sz="4" w:space="0" w:color="auto"/>
            </w:tcBorders>
            <w:noWrap/>
            <w:vAlign w:val="center"/>
          </w:tcPr>
          <w:p w14:paraId="5A3C6E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20,6</w:t>
            </w:r>
          </w:p>
        </w:tc>
        <w:tc>
          <w:tcPr>
            <w:tcW w:w="783" w:type="pct"/>
            <w:tcBorders>
              <w:top w:val="nil"/>
              <w:left w:val="nil"/>
              <w:bottom w:val="single" w:sz="4" w:space="0" w:color="auto"/>
              <w:right w:val="single" w:sz="4" w:space="0" w:color="auto"/>
            </w:tcBorders>
            <w:noWrap/>
            <w:vAlign w:val="center"/>
          </w:tcPr>
          <w:p w14:paraId="5B57E5B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w:t>
            </w:r>
          </w:p>
        </w:tc>
        <w:tc>
          <w:tcPr>
            <w:tcW w:w="632" w:type="pct"/>
            <w:tcBorders>
              <w:top w:val="nil"/>
              <w:left w:val="nil"/>
              <w:bottom w:val="single" w:sz="4" w:space="0" w:color="auto"/>
              <w:right w:val="single" w:sz="4" w:space="0" w:color="auto"/>
            </w:tcBorders>
            <w:noWrap/>
            <w:vAlign w:val="center"/>
          </w:tcPr>
          <w:p w14:paraId="5615296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31,4</w:t>
            </w:r>
          </w:p>
        </w:tc>
      </w:tr>
      <w:tr w:rsidR="00557981" w:rsidRPr="00CE5D9A" w14:paraId="63F11E52"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615011F3" w14:textId="77777777" w:rsidR="00686DFE" w:rsidRDefault="00686DFE">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13F8FC5E" w14:textId="40413907" w:rsidR="008F6A9A" w:rsidRPr="008F6A9A" w:rsidRDefault="008F6A9A">
            <w:pPr>
              <w:spacing w:after="0" w:line="240" w:lineRule="auto"/>
              <w:rPr>
                <w:rFonts w:ascii="Times New Roman" w:eastAsia="Times New Roman" w:hAnsi="Times New Roman"/>
                <w:b/>
                <w:bCs/>
                <w:strike/>
                <w:color w:val="FF0000"/>
                <w:sz w:val="20"/>
                <w:szCs w:val="20"/>
                <w:lang w:eastAsia="pl-PL"/>
              </w:rPr>
            </w:pPr>
            <w:r w:rsidRPr="00EB66C4">
              <w:rPr>
                <w:rFonts w:ascii="Times New Roman" w:hAnsi="Times New Roman"/>
                <w:color w:val="FF0000"/>
              </w:rPr>
              <w:t>LGD Regionu Myślenickiego</w:t>
            </w:r>
          </w:p>
        </w:tc>
        <w:tc>
          <w:tcPr>
            <w:tcW w:w="631" w:type="pct"/>
            <w:tcBorders>
              <w:top w:val="nil"/>
              <w:left w:val="nil"/>
              <w:bottom w:val="single" w:sz="4" w:space="0" w:color="auto"/>
              <w:right w:val="single" w:sz="4" w:space="0" w:color="auto"/>
            </w:tcBorders>
            <w:noWrap/>
            <w:vAlign w:val="center"/>
          </w:tcPr>
          <w:p w14:paraId="51F6522D"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0,9</w:t>
            </w:r>
          </w:p>
        </w:tc>
        <w:tc>
          <w:tcPr>
            <w:tcW w:w="782" w:type="pct"/>
            <w:tcBorders>
              <w:top w:val="nil"/>
              <w:left w:val="nil"/>
              <w:bottom w:val="single" w:sz="4" w:space="0" w:color="auto"/>
              <w:right w:val="single" w:sz="4" w:space="0" w:color="auto"/>
            </w:tcBorders>
            <w:noWrap/>
            <w:vAlign w:val="center"/>
          </w:tcPr>
          <w:p w14:paraId="71BB72BE" w14:textId="77777777" w:rsidR="00686DFE" w:rsidRPr="00CE5D9A" w:rsidRDefault="00686DFE" w:rsidP="00FB4F8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36,</w:t>
            </w:r>
            <w:r w:rsidR="00FB4F8A" w:rsidRPr="00CE5D9A">
              <w:rPr>
                <w:rFonts w:ascii="Times New Roman" w:eastAsia="Times New Roman" w:hAnsi="Times New Roman"/>
                <w:b/>
                <w:bCs/>
                <w:sz w:val="20"/>
                <w:szCs w:val="20"/>
                <w:lang w:eastAsia="pl-PL"/>
              </w:rPr>
              <w:t>9</w:t>
            </w:r>
          </w:p>
        </w:tc>
        <w:tc>
          <w:tcPr>
            <w:tcW w:w="633" w:type="pct"/>
            <w:tcBorders>
              <w:top w:val="nil"/>
              <w:left w:val="nil"/>
              <w:bottom w:val="single" w:sz="4" w:space="0" w:color="auto"/>
              <w:right w:val="single" w:sz="4" w:space="0" w:color="auto"/>
            </w:tcBorders>
            <w:noWrap/>
            <w:vAlign w:val="center"/>
          </w:tcPr>
          <w:p w14:paraId="3F2DE087" w14:textId="77777777" w:rsidR="00686DFE" w:rsidRPr="00CE5D9A" w:rsidRDefault="00FB4F8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21,5</w:t>
            </w:r>
          </w:p>
        </w:tc>
        <w:tc>
          <w:tcPr>
            <w:tcW w:w="783" w:type="pct"/>
            <w:tcBorders>
              <w:top w:val="nil"/>
              <w:left w:val="nil"/>
              <w:bottom w:val="single" w:sz="4" w:space="0" w:color="auto"/>
              <w:right w:val="single" w:sz="4" w:space="0" w:color="auto"/>
            </w:tcBorders>
            <w:noWrap/>
            <w:vAlign w:val="center"/>
          </w:tcPr>
          <w:p w14:paraId="5E0B7E79" w14:textId="77777777" w:rsidR="00686DFE" w:rsidRPr="00CE5D9A" w:rsidRDefault="00FB4F8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2,9</w:t>
            </w:r>
          </w:p>
        </w:tc>
        <w:tc>
          <w:tcPr>
            <w:tcW w:w="632" w:type="pct"/>
            <w:tcBorders>
              <w:top w:val="nil"/>
              <w:left w:val="nil"/>
              <w:bottom w:val="single" w:sz="4" w:space="0" w:color="auto"/>
              <w:right w:val="single" w:sz="4" w:space="0" w:color="auto"/>
            </w:tcBorders>
            <w:noWrap/>
            <w:vAlign w:val="center"/>
          </w:tcPr>
          <w:p w14:paraId="79FFC337" w14:textId="77777777" w:rsidR="00686DFE" w:rsidRPr="00CE5D9A" w:rsidRDefault="00686DFE" w:rsidP="00FB4F8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w:t>
            </w:r>
            <w:r w:rsidR="00FB4F8A" w:rsidRPr="00CE5D9A">
              <w:rPr>
                <w:rFonts w:ascii="Times New Roman" w:eastAsia="Times New Roman" w:hAnsi="Times New Roman"/>
                <w:b/>
                <w:bCs/>
                <w:sz w:val="20"/>
                <w:szCs w:val="20"/>
                <w:lang w:eastAsia="pl-PL"/>
              </w:rPr>
              <w:t>7,8</w:t>
            </w:r>
          </w:p>
        </w:tc>
      </w:tr>
      <w:tr w:rsidR="00557981" w:rsidRPr="00CE5D9A" w14:paraId="514D9409"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34252E0B"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631" w:type="pct"/>
            <w:tcBorders>
              <w:top w:val="nil"/>
              <w:left w:val="nil"/>
              <w:bottom w:val="single" w:sz="4" w:space="0" w:color="auto"/>
              <w:right w:val="single" w:sz="4" w:space="0" w:color="auto"/>
            </w:tcBorders>
            <w:noWrap/>
            <w:vAlign w:val="center"/>
          </w:tcPr>
          <w:p w14:paraId="1164385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0,9</w:t>
            </w:r>
          </w:p>
        </w:tc>
        <w:tc>
          <w:tcPr>
            <w:tcW w:w="782" w:type="pct"/>
            <w:tcBorders>
              <w:top w:val="nil"/>
              <w:left w:val="nil"/>
              <w:bottom w:val="single" w:sz="4" w:space="0" w:color="auto"/>
              <w:right w:val="single" w:sz="4" w:space="0" w:color="auto"/>
            </w:tcBorders>
            <w:noWrap/>
            <w:vAlign w:val="center"/>
          </w:tcPr>
          <w:p w14:paraId="4CD1002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25,1</w:t>
            </w:r>
          </w:p>
        </w:tc>
        <w:tc>
          <w:tcPr>
            <w:tcW w:w="633" w:type="pct"/>
            <w:tcBorders>
              <w:top w:val="nil"/>
              <w:left w:val="nil"/>
              <w:bottom w:val="single" w:sz="4" w:space="0" w:color="auto"/>
              <w:right w:val="single" w:sz="4" w:space="0" w:color="auto"/>
            </w:tcBorders>
            <w:noWrap/>
            <w:vAlign w:val="center"/>
          </w:tcPr>
          <w:p w14:paraId="08FF764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19,9</w:t>
            </w:r>
          </w:p>
        </w:tc>
        <w:tc>
          <w:tcPr>
            <w:tcW w:w="783" w:type="pct"/>
            <w:tcBorders>
              <w:top w:val="nil"/>
              <w:left w:val="nil"/>
              <w:bottom w:val="single" w:sz="4" w:space="0" w:color="auto"/>
              <w:right w:val="single" w:sz="4" w:space="0" w:color="auto"/>
            </w:tcBorders>
            <w:noWrap/>
            <w:vAlign w:val="center"/>
          </w:tcPr>
          <w:p w14:paraId="4B69CF7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4,1</w:t>
            </w:r>
          </w:p>
        </w:tc>
        <w:tc>
          <w:tcPr>
            <w:tcW w:w="632" w:type="pct"/>
            <w:tcBorders>
              <w:top w:val="nil"/>
              <w:left w:val="nil"/>
              <w:bottom w:val="single" w:sz="4" w:space="0" w:color="auto"/>
              <w:right w:val="single" w:sz="4" w:space="0" w:color="auto"/>
            </w:tcBorders>
            <w:noWrap/>
            <w:vAlign w:val="center"/>
          </w:tcPr>
          <w:p w14:paraId="35491F9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50,0</w:t>
            </w:r>
          </w:p>
        </w:tc>
      </w:tr>
      <w:tr w:rsidR="00557981" w:rsidRPr="00CE5D9A" w14:paraId="57CF19C3" w14:textId="77777777">
        <w:trPr>
          <w:trHeight w:val="340"/>
        </w:trPr>
        <w:tc>
          <w:tcPr>
            <w:tcW w:w="1539" w:type="pct"/>
            <w:tcBorders>
              <w:top w:val="nil"/>
              <w:left w:val="single" w:sz="4" w:space="0" w:color="auto"/>
              <w:bottom w:val="single" w:sz="4" w:space="0" w:color="auto"/>
              <w:right w:val="single" w:sz="4" w:space="0" w:color="auto"/>
            </w:tcBorders>
            <w:noWrap/>
            <w:vAlign w:val="center"/>
          </w:tcPr>
          <w:p w14:paraId="2834EF3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631" w:type="pct"/>
            <w:tcBorders>
              <w:top w:val="nil"/>
              <w:left w:val="nil"/>
              <w:bottom w:val="single" w:sz="4" w:space="0" w:color="auto"/>
              <w:right w:val="single" w:sz="4" w:space="0" w:color="auto"/>
            </w:tcBorders>
            <w:noWrap/>
            <w:vAlign w:val="center"/>
          </w:tcPr>
          <w:p w14:paraId="11CAEC6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w:t>
            </w:r>
          </w:p>
        </w:tc>
        <w:tc>
          <w:tcPr>
            <w:tcW w:w="782" w:type="pct"/>
            <w:tcBorders>
              <w:top w:val="nil"/>
              <w:left w:val="nil"/>
              <w:bottom w:val="single" w:sz="4" w:space="0" w:color="auto"/>
              <w:right w:val="single" w:sz="4" w:space="0" w:color="auto"/>
            </w:tcBorders>
            <w:noWrap/>
            <w:vAlign w:val="center"/>
          </w:tcPr>
          <w:p w14:paraId="30DCCF5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22,6</w:t>
            </w:r>
          </w:p>
        </w:tc>
        <w:tc>
          <w:tcPr>
            <w:tcW w:w="633" w:type="pct"/>
            <w:tcBorders>
              <w:top w:val="nil"/>
              <w:left w:val="nil"/>
              <w:bottom w:val="single" w:sz="4" w:space="0" w:color="auto"/>
              <w:right w:val="single" w:sz="4" w:space="0" w:color="auto"/>
            </w:tcBorders>
            <w:noWrap/>
            <w:vAlign w:val="center"/>
          </w:tcPr>
          <w:p w14:paraId="220B09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20,8</w:t>
            </w:r>
          </w:p>
        </w:tc>
        <w:tc>
          <w:tcPr>
            <w:tcW w:w="783" w:type="pct"/>
            <w:tcBorders>
              <w:top w:val="nil"/>
              <w:left w:val="nil"/>
              <w:bottom w:val="single" w:sz="4" w:space="0" w:color="auto"/>
              <w:right w:val="single" w:sz="4" w:space="0" w:color="auto"/>
            </w:tcBorders>
            <w:noWrap/>
            <w:vAlign w:val="center"/>
          </w:tcPr>
          <w:p w14:paraId="1C85FAD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w:t>
            </w:r>
          </w:p>
        </w:tc>
        <w:tc>
          <w:tcPr>
            <w:tcW w:w="632" w:type="pct"/>
            <w:tcBorders>
              <w:top w:val="nil"/>
              <w:left w:val="nil"/>
              <w:bottom w:val="single" w:sz="4" w:space="0" w:color="auto"/>
              <w:right w:val="single" w:sz="4" w:space="0" w:color="auto"/>
            </w:tcBorders>
            <w:noWrap/>
            <w:vAlign w:val="center"/>
          </w:tcPr>
          <w:p w14:paraId="5AF3D8C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51,9</w:t>
            </w:r>
          </w:p>
        </w:tc>
      </w:tr>
    </w:tbl>
    <w:p w14:paraId="3F1C29C7"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367B8C4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Jak wynika z danych statystycznych klasyfikacji podmiotów gospodarczych według sekcji PKD 2007, największa liczba, spośród wszystkich 1</w:t>
      </w:r>
      <w:r w:rsidR="00FB4F8A" w:rsidRPr="00CE5D9A">
        <w:rPr>
          <w:rFonts w:ascii="Times New Roman" w:hAnsi="Times New Roman"/>
        </w:rPr>
        <w:t>3 302</w:t>
      </w:r>
      <w:r w:rsidRPr="00CE5D9A">
        <w:rPr>
          <w:rFonts w:ascii="Times New Roman" w:hAnsi="Times New Roman"/>
        </w:rPr>
        <w:t xml:space="preserve"> podmiotów gospodarczych na obszarze w 2021 r., była zarejestrowana w sekcjach: F „Budownictwo” – </w:t>
      </w:r>
      <w:r w:rsidR="00FB4F8A" w:rsidRPr="00CE5D9A">
        <w:rPr>
          <w:rFonts w:ascii="Times New Roman" w:hAnsi="Times New Roman"/>
        </w:rPr>
        <w:t>3</w:t>
      </w:r>
      <w:r w:rsidRPr="00CE5D9A">
        <w:rPr>
          <w:rFonts w:ascii="Times New Roman" w:hAnsi="Times New Roman"/>
        </w:rPr>
        <w:t xml:space="preserve"> </w:t>
      </w:r>
      <w:r w:rsidR="00FB4F8A" w:rsidRPr="00CE5D9A">
        <w:rPr>
          <w:rFonts w:ascii="Times New Roman" w:hAnsi="Times New Roman"/>
        </w:rPr>
        <w:t>00</w:t>
      </w:r>
      <w:r w:rsidRPr="00CE5D9A">
        <w:rPr>
          <w:rFonts w:ascii="Times New Roman" w:hAnsi="Times New Roman"/>
        </w:rPr>
        <w:t>0 podmiotów (2</w:t>
      </w:r>
      <w:r w:rsidR="00FB4F8A" w:rsidRPr="00CE5D9A">
        <w:rPr>
          <w:rFonts w:ascii="Times New Roman" w:hAnsi="Times New Roman"/>
        </w:rPr>
        <w:t>2</w:t>
      </w:r>
      <w:r w:rsidRPr="00CE5D9A">
        <w:rPr>
          <w:rFonts w:ascii="Times New Roman" w:hAnsi="Times New Roman"/>
        </w:rPr>
        <w:t>,</w:t>
      </w:r>
      <w:r w:rsidR="00FB4F8A" w:rsidRPr="00CE5D9A">
        <w:rPr>
          <w:rFonts w:ascii="Times New Roman" w:hAnsi="Times New Roman"/>
        </w:rPr>
        <w:t>6</w:t>
      </w:r>
      <w:r w:rsidRPr="00CE5D9A">
        <w:rPr>
          <w:rFonts w:ascii="Times New Roman" w:hAnsi="Times New Roman"/>
        </w:rPr>
        <w:t xml:space="preserve">%), G „Handel hurtowy i detaliczny; naprawa pojazdów samochodowych, włączając motocykle” – 2 </w:t>
      </w:r>
      <w:r w:rsidR="00784A8F" w:rsidRPr="00CE5D9A">
        <w:rPr>
          <w:rFonts w:ascii="Times New Roman" w:hAnsi="Times New Roman"/>
        </w:rPr>
        <w:t>857</w:t>
      </w:r>
      <w:r w:rsidRPr="00CE5D9A">
        <w:rPr>
          <w:rFonts w:ascii="Times New Roman" w:hAnsi="Times New Roman"/>
        </w:rPr>
        <w:t xml:space="preserve"> </w:t>
      </w:r>
      <w:r w:rsidR="00784A8F" w:rsidRPr="00CE5D9A">
        <w:rPr>
          <w:rFonts w:ascii="Times New Roman" w:hAnsi="Times New Roman"/>
        </w:rPr>
        <w:t>podmiotów</w:t>
      </w:r>
      <w:r w:rsidRPr="00CE5D9A">
        <w:rPr>
          <w:rFonts w:ascii="Times New Roman" w:hAnsi="Times New Roman"/>
        </w:rPr>
        <w:t xml:space="preserve"> (21,</w:t>
      </w:r>
      <w:r w:rsidR="00784A8F" w:rsidRPr="00CE5D9A">
        <w:rPr>
          <w:rFonts w:ascii="Times New Roman" w:hAnsi="Times New Roman"/>
        </w:rPr>
        <w:t>5</w:t>
      </w:r>
      <w:r w:rsidRPr="00CE5D9A">
        <w:rPr>
          <w:rFonts w:ascii="Times New Roman" w:hAnsi="Times New Roman"/>
        </w:rPr>
        <w:t xml:space="preserve">%), oraz C „Przetwórstwo przemysłowe” – 1 </w:t>
      </w:r>
      <w:r w:rsidR="00784A8F" w:rsidRPr="00CE5D9A">
        <w:rPr>
          <w:rFonts w:ascii="Times New Roman" w:hAnsi="Times New Roman"/>
        </w:rPr>
        <w:t>86</w:t>
      </w:r>
      <w:r w:rsidRPr="00CE5D9A">
        <w:rPr>
          <w:rFonts w:ascii="Times New Roman" w:hAnsi="Times New Roman"/>
        </w:rPr>
        <w:t xml:space="preserve">5 </w:t>
      </w:r>
      <w:r w:rsidR="00784A8F" w:rsidRPr="00CE5D9A">
        <w:rPr>
          <w:rFonts w:ascii="Times New Roman" w:hAnsi="Times New Roman"/>
        </w:rPr>
        <w:t>podmiotów</w:t>
      </w:r>
      <w:r w:rsidRPr="00CE5D9A">
        <w:rPr>
          <w:rFonts w:ascii="Times New Roman" w:hAnsi="Times New Roman"/>
        </w:rPr>
        <w:t xml:space="preserve"> (</w:t>
      </w:r>
      <w:r w:rsidR="00784A8F" w:rsidRPr="00CE5D9A">
        <w:rPr>
          <w:rFonts w:ascii="Times New Roman" w:hAnsi="Times New Roman"/>
        </w:rPr>
        <w:t>14</w:t>
      </w:r>
      <w:r w:rsidRPr="00CE5D9A">
        <w:rPr>
          <w:rFonts w:ascii="Times New Roman" w:hAnsi="Times New Roman"/>
        </w:rPr>
        <w:t>,</w:t>
      </w:r>
      <w:r w:rsidR="00784A8F" w:rsidRPr="00CE5D9A">
        <w:rPr>
          <w:rFonts w:ascii="Times New Roman" w:hAnsi="Times New Roman"/>
        </w:rPr>
        <w:t>0</w:t>
      </w:r>
      <w:r w:rsidRPr="00CE5D9A">
        <w:rPr>
          <w:rFonts w:ascii="Times New Roman" w:hAnsi="Times New Roman"/>
        </w:rPr>
        <w:t>%).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 Warto zwrócić uwagę na branże, które są jednymi z determinantów rozwoju regionu – sekcja I „Działalność związana z zakwaterowaniem i usługami gastronomicznymi” oraz sekcja R „Działalność związana z kulturą, rozrywką i rekreacją”. W sekcjach tych w 2021 r. zarejestrowanych było odpowiednio 3</w:t>
      </w:r>
      <w:r w:rsidR="00784A8F" w:rsidRPr="00CE5D9A">
        <w:rPr>
          <w:rFonts w:ascii="Times New Roman" w:hAnsi="Times New Roman"/>
        </w:rPr>
        <w:t>92</w:t>
      </w:r>
      <w:r w:rsidRPr="00CE5D9A">
        <w:rPr>
          <w:rFonts w:ascii="Times New Roman" w:hAnsi="Times New Roman"/>
        </w:rPr>
        <w:t xml:space="preserve"> </w:t>
      </w:r>
      <w:r w:rsidR="00784A8F" w:rsidRPr="00CE5D9A">
        <w:rPr>
          <w:rFonts w:ascii="Times New Roman" w:hAnsi="Times New Roman"/>
        </w:rPr>
        <w:t>(2</w:t>
      </w:r>
      <w:r w:rsidRPr="00CE5D9A">
        <w:rPr>
          <w:rFonts w:ascii="Times New Roman" w:hAnsi="Times New Roman"/>
        </w:rPr>
        <w:t>,</w:t>
      </w:r>
      <w:r w:rsidR="00784A8F" w:rsidRPr="00CE5D9A">
        <w:rPr>
          <w:rFonts w:ascii="Times New Roman" w:hAnsi="Times New Roman"/>
        </w:rPr>
        <w:t>9</w:t>
      </w:r>
      <w:r w:rsidRPr="00CE5D9A">
        <w:rPr>
          <w:rFonts w:ascii="Times New Roman" w:hAnsi="Times New Roman"/>
        </w:rPr>
        <w:t>%) oraz 24</w:t>
      </w:r>
      <w:r w:rsidR="00784A8F" w:rsidRPr="00CE5D9A">
        <w:rPr>
          <w:rFonts w:ascii="Times New Roman" w:hAnsi="Times New Roman"/>
        </w:rPr>
        <w:t>7</w:t>
      </w:r>
      <w:r w:rsidRPr="00CE5D9A">
        <w:rPr>
          <w:rFonts w:ascii="Times New Roman" w:hAnsi="Times New Roman"/>
        </w:rPr>
        <w:t xml:space="preserve"> (</w:t>
      </w:r>
      <w:r w:rsidR="00784A8F" w:rsidRPr="00CE5D9A">
        <w:rPr>
          <w:rFonts w:ascii="Times New Roman" w:hAnsi="Times New Roman"/>
        </w:rPr>
        <w:t>1,86</w:t>
      </w:r>
      <w:r w:rsidRPr="00CE5D9A">
        <w:rPr>
          <w:rFonts w:ascii="Times New Roman" w:hAnsi="Times New Roman"/>
        </w:rPr>
        <w:t xml:space="preserve">%) podmioty. Działalności kulturalne, rozrywkowe i rekreacyjne związane </w:t>
      </w:r>
      <w:r w:rsidRPr="00CE5D9A">
        <w:rPr>
          <w:rFonts w:ascii="Times New Roman" w:hAnsi="Times New Roman"/>
        </w:rPr>
        <w:lastRenderedPageBreak/>
        <w:t xml:space="preserve">z różnymi zainteresowaniami ogółu społeczeństwa, z racji szerokiego oddziaływania na wiele sfer gospodarki narodowej, są niezwykle istotnym czynnikiem aktywizacji gospodarczej, wzrostu dochodów budżetów lokalnych </w:t>
      </w:r>
      <w:r w:rsidR="00FB4F8A" w:rsidRPr="00CE5D9A">
        <w:rPr>
          <w:rFonts w:ascii="Times New Roman" w:hAnsi="Times New Roman"/>
        </w:rPr>
        <w:t xml:space="preserve">oraz zatrudnienia mieszkańców, </w:t>
      </w:r>
      <w:r w:rsidRPr="00CE5D9A">
        <w:rPr>
          <w:rFonts w:ascii="Times New Roman" w:hAnsi="Times New Roman"/>
        </w:rPr>
        <w:t>a</w:t>
      </w:r>
      <w:r w:rsidR="00FB4F8A" w:rsidRPr="00CE5D9A">
        <w:rPr>
          <w:rFonts w:ascii="Times New Roman" w:hAnsi="Times New Roman"/>
        </w:rPr>
        <w:t> </w:t>
      </w:r>
      <w:r w:rsidRPr="00CE5D9A">
        <w:rPr>
          <w:rFonts w:ascii="Times New Roman" w:hAnsi="Times New Roman"/>
        </w:rPr>
        <w:t xml:space="preserve">także stymulatorem rozwoju gospodarczego. Ponadto wpłyną na rozwój szeroko pojętej oferty spędzania czasu wolnego mieszkańców. </w:t>
      </w:r>
    </w:p>
    <w:p w14:paraId="3CC0BF6E"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O przedsiębiorczości na ogół mówi się w kontekście gospodarczym, natomiast istotna jest również przedsiębiorczość społeczna, rozumiana jako sfera aktywności obywatelskiej, która łączy działalność ekonomiczną z działalnością pożytku publicznego, przyczyniając się m.in. do integracji zawodowej i społecznej osób zagrożonych marginalizacją społeczną, do tworzenia miejsc pracy oraz rozwoju lokalnego. W całym powiecie myślenickim – także na obszarze LGD – nie było zarejestrowane żadne przedsiębiorstwo społeczne. </w:t>
      </w:r>
    </w:p>
    <w:p w14:paraId="497CB7AD" w14:textId="77777777" w:rsidR="00784A8F" w:rsidRPr="00CE5D9A" w:rsidRDefault="00686DFE">
      <w:pPr>
        <w:spacing w:line="276" w:lineRule="auto"/>
        <w:ind w:firstLine="708"/>
        <w:jc w:val="both"/>
        <w:rPr>
          <w:rFonts w:ascii="Times New Roman" w:hAnsi="Times New Roman"/>
        </w:rPr>
      </w:pPr>
      <w:bookmarkStart w:id="69" w:name="_Hlk111038292"/>
      <w:r w:rsidRPr="00CE5D9A">
        <w:rPr>
          <w:rFonts w:ascii="Times New Roman" w:hAnsi="Times New Roman"/>
        </w:rPr>
        <w:t xml:space="preserve">Ludzie przedsiębiorczy to ludzie aktywni zawodowo i/lub społecznie. Istotna w tym zakresie jest analiza kapitału społecznego. Organizacje pozarządowe są partnerem do prowadzenia projektów prorozwojowych i płaszczyzną dla wzmacniania się kapitału społecznego, a ich powstawanie jest wynikiem oddolnych inicjatyw, wskazujących na zaangażowanie mieszkańców w życie lokalnej społeczności. Jednym z głównych mierników kapitału społecznego jest wskaźnik </w:t>
      </w:r>
      <w:r w:rsidRPr="00CE5D9A">
        <w:rPr>
          <w:rFonts w:ascii="Times New Roman" w:hAnsi="Times New Roman"/>
          <w:i/>
          <w:iCs/>
        </w:rPr>
        <w:t>liczba fundacji, stowarzyszeń, organizacji społecznych na 10 tys. mieszkańców</w:t>
      </w:r>
      <w:r w:rsidRPr="00CE5D9A">
        <w:rPr>
          <w:rFonts w:ascii="Times New Roman" w:hAnsi="Times New Roman"/>
        </w:rPr>
        <w:t xml:space="preserve"> (wykres 8). </w:t>
      </w:r>
      <w:bookmarkEnd w:id="69"/>
    </w:p>
    <w:p w14:paraId="509F4415" w14:textId="2379DD36" w:rsidR="00686DFE" w:rsidRPr="00CE5D9A" w:rsidRDefault="00686DFE">
      <w:pPr>
        <w:pStyle w:val="Legenda"/>
        <w:spacing w:after="0"/>
        <w:jc w:val="center"/>
        <w:rPr>
          <w:rFonts w:ascii="Times New Roman" w:hAnsi="Times New Roman"/>
          <w:b/>
          <w:bCs/>
          <w:i w:val="0"/>
          <w:iCs w:val="0"/>
          <w:color w:val="auto"/>
          <w:sz w:val="20"/>
          <w:szCs w:val="20"/>
        </w:rPr>
      </w:pPr>
      <w:bookmarkStart w:id="70" w:name="_Toc112838968"/>
      <w:bookmarkStart w:id="71" w:name="_Toc134966320"/>
      <w:bookmarkStart w:id="72" w:name="_Toc194581417"/>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8</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Liczba fundacji, stowarzyszeń, organizacji społecznych na 10 tys. mieszkańców na obszarze LGD </w:t>
      </w:r>
      <w:r w:rsidRPr="00CE5D9A">
        <w:rPr>
          <w:rFonts w:ascii="Times New Roman" w:hAnsi="Times New Roman"/>
          <w:b/>
          <w:bCs/>
          <w:i w:val="0"/>
          <w:iCs w:val="0"/>
          <w:color w:val="auto"/>
          <w:sz w:val="20"/>
          <w:szCs w:val="20"/>
        </w:rPr>
        <w:br/>
        <w:t>w porównaniu do województwa i kraju w 2021 r.</w:t>
      </w:r>
      <w:bookmarkEnd w:id="70"/>
      <w:bookmarkEnd w:id="71"/>
      <w:bookmarkEnd w:id="72"/>
    </w:p>
    <w:p w14:paraId="0903CA79" w14:textId="77777777" w:rsidR="00784A8F" w:rsidRPr="00CE5D9A" w:rsidRDefault="00784A8F" w:rsidP="00784A8F">
      <w:pPr>
        <w:spacing w:after="0" w:line="276" w:lineRule="auto"/>
        <w:jc w:val="center"/>
        <w:rPr>
          <w:rFonts w:ascii="Times New Roman" w:hAnsi="Times New Roman"/>
          <w:i/>
          <w:iCs/>
          <w:sz w:val="20"/>
          <w:szCs w:val="20"/>
        </w:rPr>
      </w:pPr>
      <w:r w:rsidRPr="00CE5D9A">
        <w:rPr>
          <w:noProof/>
          <w:lang w:eastAsia="pl-PL"/>
        </w:rPr>
        <w:drawing>
          <wp:inline distT="0" distB="0" distL="0" distR="0" wp14:anchorId="561E24B3" wp14:editId="5D72CE94">
            <wp:extent cx="5501640" cy="2727960"/>
            <wp:effectExtent l="0" t="0" r="3810" b="0"/>
            <wp:docPr id="6" name="Wykres 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7B4C8F"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22350A87"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szCs w:val="20"/>
        </w:rPr>
        <w:t xml:space="preserve">Wewnątrz obszaru LGD najwyższą wartością wskaźnika w całym analizowanym okresie charakteryzowała się Gmina Raciechowice, jednocześnie każdorazowo w latach 2019–2021 osiągała wartość niższą niż średnia dla województwa i kraju. Także średnia dla obszaru LGD w 2021 r. oraz wyniki osiągnięte przez pozostałe gminy były niższe niż średnia dla województwa i kraju (dane GUS). </w:t>
      </w:r>
      <w:r w:rsidRPr="00CE5D9A">
        <w:rPr>
          <w:rFonts w:ascii="Times New Roman" w:hAnsi="Times New Roman"/>
        </w:rPr>
        <w:t xml:space="preserve">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Ponadto na spotkaniach z Zespołem ds. LSR oraz mieszkańcami zwrócono uwagę na potrzebę wzmacniania potencjału organizacji pozarządowych na rzecz budowania oferty czasu wolnego. </w:t>
      </w:r>
      <w:r w:rsidR="00784A8F" w:rsidRPr="00CE5D9A">
        <w:rPr>
          <w:rFonts w:ascii="Times New Roman" w:hAnsi="Times New Roman"/>
          <w:szCs w:val="20"/>
        </w:rPr>
        <w:t>Z </w:t>
      </w:r>
      <w:r w:rsidRPr="00CE5D9A">
        <w:rPr>
          <w:rFonts w:ascii="Times New Roman" w:hAnsi="Times New Roman"/>
          <w:szCs w:val="20"/>
        </w:rPr>
        <w:t xml:space="preserve">zebranych danych wynika, że należy </w:t>
      </w:r>
      <w:bookmarkStart w:id="73" w:name="_Hlk134962297"/>
      <w:r w:rsidRPr="00CE5D9A">
        <w:rPr>
          <w:rFonts w:ascii="Times New Roman" w:hAnsi="Times New Roman"/>
          <w:szCs w:val="20"/>
        </w:rPr>
        <w:t xml:space="preserve">podjąć działania w kwestii przedsiębiorczości społecznej mieszkańców na obszarze LGD. Należy wzmacniać ich potencjał </w:t>
      </w:r>
      <w:r w:rsidRPr="00CE5D9A">
        <w:rPr>
          <w:rFonts w:ascii="Times New Roman" w:hAnsi="Times New Roman"/>
        </w:rPr>
        <w:t xml:space="preserve">poprzez ogłaszanie konkursów kierowanych do trzeciego sektora. </w:t>
      </w:r>
      <w:bookmarkEnd w:id="73"/>
      <w:r w:rsidRPr="00CE5D9A">
        <w:rPr>
          <w:rFonts w:ascii="Times New Roman" w:hAnsi="Times New Roman"/>
        </w:rPr>
        <w:t>Będą oni beneficjentami dział</w:t>
      </w:r>
      <w:r w:rsidR="00784A8F" w:rsidRPr="00CE5D9A">
        <w:rPr>
          <w:rFonts w:ascii="Times New Roman" w:hAnsi="Times New Roman"/>
        </w:rPr>
        <w:t xml:space="preserve">ań zarówno inwestycyjnych jak i </w:t>
      </w:r>
      <w:r w:rsidRPr="00CE5D9A">
        <w:rPr>
          <w:rFonts w:ascii="Times New Roman" w:hAnsi="Times New Roman"/>
        </w:rPr>
        <w:t xml:space="preserve">„miękkich”: warsztatów, szkoleń itp. prowadzenia projektów prorozwojowych i płaszczyzną dla wzmacniania się kapitału społecznego. Pomocne w tym zakresie mogą być również przedsięwzięcia realizowane w partnerstwie. </w:t>
      </w:r>
    </w:p>
    <w:p w14:paraId="67E1AB3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Przewiduje się również operacje realizowane w formie projektów grantowych na przygotowanie koncepcji inteligentnych wsi (smart villages), działanie to wymaga zaangażowania społeczności lokalnych w ich rozwój i wdrażanie koncepcji, niezbędne jest zdobywanie nowych kompetencji i wiedzy przez mieszkańców LGD. W rozwiązaniach smart na obszarach wiejskich szczególne znaczenie ma kapitał społeczny odgrywający kluczową rolę jako kreator (inicjator) zachodzących zmian w rozwoju wsi. Ważne jest również dobre zarządzanie </w:t>
      </w:r>
      <w:r w:rsidRPr="00CE5D9A">
        <w:rPr>
          <w:rFonts w:ascii="Times New Roman" w:hAnsi="Times New Roman"/>
        </w:rPr>
        <w:lastRenderedPageBreak/>
        <w:t>i zaangażowanie obywateli. W koncepcji Smart Village zwraca się uwagę na: korzystanie z e-umiejętności, dostęp do e-usług zdrowotnych i innych podstawowych usług, innowacyjne rozwiązania w zakresie ochrony środowiska, oraz promocję lokalnych produktów wspieranych przez technologię.</w:t>
      </w:r>
    </w:p>
    <w:p w14:paraId="577161F2" w14:textId="77777777" w:rsidR="00686DFE" w:rsidRPr="00CE5D9A" w:rsidRDefault="00686DFE">
      <w:pPr>
        <w:pStyle w:val="Akapitzlist"/>
        <w:numPr>
          <w:ilvl w:val="1"/>
          <w:numId w:val="15"/>
        </w:numPr>
        <w:spacing w:before="240"/>
        <w:ind w:left="1701" w:hanging="567"/>
        <w:rPr>
          <w:rFonts w:ascii="Times New Roman" w:hAnsi="Times New Roman"/>
          <w:b/>
          <w:bCs/>
        </w:rPr>
      </w:pPr>
      <w:r w:rsidRPr="00CE5D9A">
        <w:rPr>
          <w:rFonts w:ascii="Times New Roman" w:hAnsi="Times New Roman"/>
          <w:b/>
          <w:bCs/>
        </w:rPr>
        <w:t>Rynek pracy</w:t>
      </w:r>
    </w:p>
    <w:p w14:paraId="33C77760" w14:textId="77777777" w:rsidR="00686DFE" w:rsidRPr="00CE5D9A" w:rsidRDefault="00686DFE" w:rsidP="00784A8F">
      <w:pPr>
        <w:spacing w:line="276" w:lineRule="auto"/>
        <w:ind w:firstLine="708"/>
        <w:jc w:val="both"/>
        <w:rPr>
          <w:rFonts w:ascii="Times New Roman" w:hAnsi="Times New Roman"/>
        </w:rPr>
      </w:pPr>
      <w:r w:rsidRPr="00CE5D9A">
        <w:rPr>
          <w:rFonts w:ascii="Times New Roman" w:hAnsi="Times New Roman"/>
        </w:rPr>
        <w:t>Sytuację panującą na rynku pracy odzwierciedlają wskaźniki dotyczące zatrudnienia oraz bezrobocia. Zatrudnienie jest parametrem, który wskazuje trendy na rynku pracy. Im wyższy wskaźnik zatrudnienia, tym lepiej rozwinięty rynek pracy. W 2020 r. według danych GUS na obszarze LGD łączna liczba pracujących wynosiła 1</w:t>
      </w:r>
      <w:r w:rsidR="00CB5181" w:rsidRPr="00CE5D9A">
        <w:rPr>
          <w:rFonts w:ascii="Times New Roman" w:hAnsi="Times New Roman"/>
        </w:rPr>
        <w:t>7 514</w:t>
      </w:r>
      <w:r w:rsidRPr="00CE5D9A">
        <w:rPr>
          <w:rFonts w:ascii="Times New Roman" w:hAnsi="Times New Roman"/>
        </w:rPr>
        <w:t xml:space="preserve"> osób, w tym 7 </w:t>
      </w:r>
      <w:r w:rsidR="00CB5181" w:rsidRPr="00CE5D9A">
        <w:rPr>
          <w:rFonts w:ascii="Times New Roman" w:hAnsi="Times New Roman"/>
        </w:rPr>
        <w:t>738</w:t>
      </w:r>
      <w:r w:rsidRPr="00CE5D9A">
        <w:rPr>
          <w:rFonts w:ascii="Times New Roman" w:hAnsi="Times New Roman"/>
        </w:rPr>
        <w:t xml:space="preserve"> mężczyzn (44,</w:t>
      </w:r>
      <w:r w:rsidR="00CB5181" w:rsidRPr="00CE5D9A">
        <w:rPr>
          <w:rFonts w:ascii="Times New Roman" w:hAnsi="Times New Roman"/>
        </w:rPr>
        <w:t>2</w:t>
      </w:r>
      <w:r w:rsidRPr="00CE5D9A">
        <w:rPr>
          <w:rFonts w:ascii="Times New Roman" w:hAnsi="Times New Roman"/>
        </w:rPr>
        <w:t>%) oraz 9 </w:t>
      </w:r>
      <w:r w:rsidR="00CB5181" w:rsidRPr="00CE5D9A">
        <w:rPr>
          <w:rFonts w:ascii="Times New Roman" w:hAnsi="Times New Roman"/>
        </w:rPr>
        <w:t>776</w:t>
      </w:r>
      <w:r w:rsidRPr="00CE5D9A">
        <w:rPr>
          <w:rFonts w:ascii="Times New Roman" w:hAnsi="Times New Roman"/>
        </w:rPr>
        <w:t xml:space="preserve"> kobiet (55,</w:t>
      </w:r>
      <w:r w:rsidR="00CB5181" w:rsidRPr="00CE5D9A">
        <w:rPr>
          <w:rFonts w:ascii="Times New Roman" w:hAnsi="Times New Roman"/>
        </w:rPr>
        <w:t>8</w:t>
      </w:r>
      <w:r w:rsidRPr="00CE5D9A">
        <w:rPr>
          <w:rFonts w:ascii="Times New Roman" w:hAnsi="Times New Roman"/>
        </w:rPr>
        <w:t>%). Wartość wskaźnika liczba pracujących na 1 000 ludności w 2020 r. dla obszaru LGD (</w:t>
      </w:r>
      <w:r w:rsidR="00CB5181" w:rsidRPr="00CE5D9A">
        <w:rPr>
          <w:rFonts w:ascii="Times New Roman" w:hAnsi="Times New Roman"/>
        </w:rPr>
        <w:t>154</w:t>
      </w:r>
      <w:r w:rsidRPr="00CE5D9A">
        <w:rPr>
          <w:rFonts w:ascii="Times New Roman" w:hAnsi="Times New Roman"/>
        </w:rPr>
        <w:t xml:space="preserve">) była znacznie </w:t>
      </w:r>
      <w:r w:rsidR="00E2727A" w:rsidRPr="00CE5D9A">
        <w:rPr>
          <w:rFonts w:ascii="Times New Roman" w:hAnsi="Times New Roman"/>
        </w:rPr>
        <w:t>niższa</w:t>
      </w:r>
      <w:r w:rsidRPr="00CE5D9A">
        <w:rPr>
          <w:rFonts w:ascii="Times New Roman" w:hAnsi="Times New Roman"/>
        </w:rPr>
        <w:t xml:space="preserve"> od wartości dla województwa (248) oraz kraju (254). Najistotniejszymi wskaźnikami w zakresie bezrobocia są: </w:t>
      </w:r>
      <w:bookmarkStart w:id="74" w:name="_Hlk110600972"/>
      <w:r w:rsidRPr="00CE5D9A">
        <w:rPr>
          <w:rFonts w:ascii="Times New Roman" w:hAnsi="Times New Roman"/>
          <w:i/>
          <w:iCs/>
        </w:rPr>
        <w:t>udział bezrobotnych zarejestrowanych w liczbie ludności w wieku produkcyjnym</w:t>
      </w:r>
      <w:bookmarkEnd w:id="74"/>
      <w:r w:rsidRPr="00CE5D9A">
        <w:rPr>
          <w:rFonts w:ascii="Times New Roman" w:hAnsi="Times New Roman"/>
          <w:i/>
          <w:iCs/>
        </w:rPr>
        <w:t xml:space="preserve"> </w:t>
      </w:r>
      <w:r w:rsidRPr="00CE5D9A">
        <w:rPr>
          <w:rFonts w:ascii="Times New Roman" w:hAnsi="Times New Roman"/>
        </w:rPr>
        <w:t xml:space="preserve">oraz </w:t>
      </w:r>
      <w:r w:rsidRPr="00CE5D9A">
        <w:rPr>
          <w:rFonts w:ascii="Times New Roman" w:hAnsi="Times New Roman"/>
          <w:i/>
          <w:iCs/>
        </w:rPr>
        <w:t>udział długotrwale bezrobotnych w liczbie bezrobotnych ogółem</w:t>
      </w:r>
      <w:r w:rsidRPr="00CE5D9A">
        <w:rPr>
          <w:rFonts w:ascii="Times New Roman" w:hAnsi="Times New Roman"/>
        </w:rPr>
        <w:t xml:space="preserve"> (tabela 8).</w:t>
      </w:r>
    </w:p>
    <w:p w14:paraId="063B7E63" w14:textId="56E8E2F9" w:rsidR="00686DFE" w:rsidRPr="00CE5D9A" w:rsidRDefault="00686DFE">
      <w:pPr>
        <w:pStyle w:val="Legenda"/>
        <w:spacing w:after="0"/>
        <w:jc w:val="center"/>
        <w:rPr>
          <w:rFonts w:ascii="Times New Roman" w:hAnsi="Times New Roman"/>
          <w:b/>
          <w:bCs/>
          <w:i w:val="0"/>
          <w:iCs w:val="0"/>
          <w:color w:val="auto"/>
          <w:sz w:val="20"/>
          <w:szCs w:val="20"/>
        </w:rPr>
      </w:pPr>
      <w:bookmarkStart w:id="75" w:name="_Toc134966357"/>
      <w:bookmarkStart w:id="76" w:name="_Toc112152408"/>
      <w:bookmarkStart w:id="77" w:name="_Toc194581432"/>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8</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Wskaźniki bezrobocia na obszarze LGD, średnio w województwie i kraju w latach 2016–2021</w:t>
      </w:r>
      <w:bookmarkEnd w:id="75"/>
      <w:bookmarkEnd w:id="76"/>
      <w:bookmarkEnd w:id="77"/>
    </w:p>
    <w:tbl>
      <w:tblPr>
        <w:tblW w:w="4928" w:type="pct"/>
        <w:tblLayout w:type="fixed"/>
        <w:tblCellMar>
          <w:left w:w="70" w:type="dxa"/>
          <w:right w:w="70" w:type="dxa"/>
        </w:tblCellMar>
        <w:tblLook w:val="0000" w:firstRow="0" w:lastRow="0" w:firstColumn="0" w:lastColumn="0" w:noHBand="0" w:noVBand="0"/>
      </w:tblPr>
      <w:tblGrid>
        <w:gridCol w:w="2974"/>
        <w:gridCol w:w="711"/>
        <w:gridCol w:w="581"/>
        <w:gridCol w:w="620"/>
        <w:gridCol w:w="620"/>
        <w:gridCol w:w="673"/>
        <w:gridCol w:w="622"/>
        <w:gridCol w:w="565"/>
        <w:gridCol w:w="565"/>
        <w:gridCol w:w="565"/>
        <w:gridCol w:w="565"/>
        <w:gridCol w:w="565"/>
        <w:gridCol w:w="569"/>
      </w:tblGrid>
      <w:tr w:rsidR="00557981" w:rsidRPr="00CE5D9A" w14:paraId="6C568BF0" w14:textId="77777777">
        <w:trPr>
          <w:trHeight w:val="450"/>
        </w:trPr>
        <w:tc>
          <w:tcPr>
            <w:tcW w:w="1459" w:type="pct"/>
            <w:vMerge w:val="restart"/>
            <w:tcBorders>
              <w:top w:val="single" w:sz="4" w:space="0" w:color="auto"/>
              <w:left w:val="single" w:sz="4" w:space="0" w:color="auto"/>
              <w:bottom w:val="single" w:sz="4" w:space="0" w:color="auto"/>
              <w:right w:val="single" w:sz="4" w:space="0" w:color="auto"/>
            </w:tcBorders>
            <w:vAlign w:val="center"/>
          </w:tcPr>
          <w:p w14:paraId="336C4DA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876" w:type="pct"/>
            <w:gridSpan w:val="6"/>
            <w:vMerge w:val="restart"/>
            <w:tcBorders>
              <w:top w:val="single" w:sz="4" w:space="0" w:color="auto"/>
              <w:left w:val="single" w:sz="4" w:space="0" w:color="auto"/>
              <w:bottom w:val="single" w:sz="4" w:space="0" w:color="auto"/>
              <w:right w:val="single" w:sz="4" w:space="0" w:color="auto"/>
            </w:tcBorders>
            <w:vAlign w:val="center"/>
          </w:tcPr>
          <w:p w14:paraId="5CEB76D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Udział bezrobotnych zarejestrowanych w liczbie ludności w wieku produkcyjnym (%)</w:t>
            </w:r>
          </w:p>
        </w:tc>
        <w:tc>
          <w:tcPr>
            <w:tcW w:w="1665" w:type="pct"/>
            <w:gridSpan w:val="6"/>
            <w:vMerge w:val="restart"/>
            <w:tcBorders>
              <w:top w:val="single" w:sz="4" w:space="0" w:color="auto"/>
              <w:left w:val="single" w:sz="4" w:space="0" w:color="auto"/>
              <w:bottom w:val="single" w:sz="4" w:space="0" w:color="000000"/>
              <w:right w:val="single" w:sz="4" w:space="0" w:color="000000"/>
            </w:tcBorders>
            <w:vAlign w:val="center"/>
          </w:tcPr>
          <w:p w14:paraId="503A6C3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Udział długotrwale bezrobotnych </w:t>
            </w:r>
            <w:r w:rsidRPr="00CE5D9A">
              <w:rPr>
                <w:rFonts w:ascii="Times New Roman" w:eastAsia="Times New Roman" w:hAnsi="Times New Roman"/>
                <w:b/>
                <w:bCs/>
                <w:sz w:val="20"/>
                <w:szCs w:val="20"/>
                <w:lang w:eastAsia="pl-PL"/>
              </w:rPr>
              <w:br/>
              <w:t>w liczbie bezrobotnych ogółem (%)</w:t>
            </w:r>
          </w:p>
        </w:tc>
      </w:tr>
      <w:tr w:rsidR="00557981" w:rsidRPr="00CE5D9A" w14:paraId="34A4C46A" w14:textId="77777777">
        <w:trPr>
          <w:trHeight w:val="450"/>
        </w:trPr>
        <w:tc>
          <w:tcPr>
            <w:tcW w:w="1459" w:type="pct"/>
            <w:vMerge/>
            <w:tcBorders>
              <w:top w:val="single" w:sz="4" w:space="0" w:color="auto"/>
              <w:left w:val="single" w:sz="4" w:space="0" w:color="auto"/>
              <w:bottom w:val="single" w:sz="4" w:space="0" w:color="auto"/>
              <w:right w:val="single" w:sz="4" w:space="0" w:color="auto"/>
            </w:tcBorders>
            <w:vAlign w:val="center"/>
          </w:tcPr>
          <w:p w14:paraId="4F437018"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1876" w:type="pct"/>
            <w:gridSpan w:val="6"/>
            <w:vMerge/>
            <w:tcBorders>
              <w:top w:val="single" w:sz="4" w:space="0" w:color="auto"/>
              <w:left w:val="single" w:sz="4" w:space="0" w:color="auto"/>
              <w:bottom w:val="single" w:sz="4" w:space="0" w:color="auto"/>
              <w:right w:val="single" w:sz="4" w:space="0" w:color="auto"/>
            </w:tcBorders>
            <w:vAlign w:val="center"/>
          </w:tcPr>
          <w:p w14:paraId="693036F0"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1665" w:type="pct"/>
            <w:gridSpan w:val="6"/>
            <w:vMerge/>
            <w:tcBorders>
              <w:top w:val="single" w:sz="4" w:space="0" w:color="auto"/>
              <w:left w:val="single" w:sz="4" w:space="0" w:color="auto"/>
              <w:bottom w:val="single" w:sz="4" w:space="0" w:color="000000"/>
              <w:right w:val="single" w:sz="4" w:space="0" w:color="000000"/>
            </w:tcBorders>
            <w:vAlign w:val="center"/>
          </w:tcPr>
          <w:p w14:paraId="79B87671" w14:textId="77777777" w:rsidR="00686DFE" w:rsidRPr="00CE5D9A" w:rsidRDefault="00686DFE">
            <w:pPr>
              <w:spacing w:after="0" w:line="240" w:lineRule="auto"/>
              <w:rPr>
                <w:rFonts w:ascii="Times New Roman" w:eastAsia="Times New Roman" w:hAnsi="Times New Roman"/>
                <w:b/>
                <w:bCs/>
                <w:sz w:val="20"/>
                <w:szCs w:val="20"/>
                <w:lang w:eastAsia="pl-PL"/>
              </w:rPr>
            </w:pPr>
          </w:p>
        </w:tc>
      </w:tr>
      <w:tr w:rsidR="00557981" w:rsidRPr="00CE5D9A" w14:paraId="75DDA235" w14:textId="77777777">
        <w:trPr>
          <w:trHeight w:val="340"/>
        </w:trPr>
        <w:tc>
          <w:tcPr>
            <w:tcW w:w="1459" w:type="pct"/>
            <w:vMerge/>
            <w:tcBorders>
              <w:top w:val="single" w:sz="4" w:space="0" w:color="auto"/>
              <w:left w:val="single" w:sz="4" w:space="0" w:color="auto"/>
              <w:bottom w:val="single" w:sz="4" w:space="0" w:color="auto"/>
              <w:right w:val="single" w:sz="4" w:space="0" w:color="auto"/>
            </w:tcBorders>
            <w:vAlign w:val="center"/>
          </w:tcPr>
          <w:p w14:paraId="300FD79F"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349" w:type="pct"/>
            <w:tcBorders>
              <w:top w:val="nil"/>
              <w:left w:val="nil"/>
              <w:bottom w:val="single" w:sz="4" w:space="0" w:color="auto"/>
              <w:right w:val="single" w:sz="4" w:space="0" w:color="auto"/>
            </w:tcBorders>
            <w:vAlign w:val="center"/>
          </w:tcPr>
          <w:p w14:paraId="6ACFC2A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85" w:type="pct"/>
            <w:tcBorders>
              <w:top w:val="nil"/>
              <w:left w:val="nil"/>
              <w:bottom w:val="single" w:sz="4" w:space="0" w:color="auto"/>
              <w:right w:val="single" w:sz="4" w:space="0" w:color="auto"/>
            </w:tcBorders>
            <w:vAlign w:val="center"/>
          </w:tcPr>
          <w:p w14:paraId="3F6C77D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304" w:type="pct"/>
            <w:tcBorders>
              <w:top w:val="nil"/>
              <w:left w:val="nil"/>
              <w:bottom w:val="single" w:sz="4" w:space="0" w:color="auto"/>
              <w:right w:val="single" w:sz="4" w:space="0" w:color="auto"/>
            </w:tcBorders>
            <w:vAlign w:val="center"/>
          </w:tcPr>
          <w:p w14:paraId="3F3E128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304" w:type="pct"/>
            <w:tcBorders>
              <w:top w:val="nil"/>
              <w:left w:val="nil"/>
              <w:bottom w:val="single" w:sz="4" w:space="0" w:color="auto"/>
              <w:right w:val="single" w:sz="4" w:space="0" w:color="auto"/>
            </w:tcBorders>
            <w:vAlign w:val="center"/>
          </w:tcPr>
          <w:p w14:paraId="4B58967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330" w:type="pct"/>
            <w:tcBorders>
              <w:top w:val="nil"/>
              <w:left w:val="nil"/>
              <w:bottom w:val="single" w:sz="4" w:space="0" w:color="auto"/>
              <w:right w:val="single" w:sz="4" w:space="0" w:color="auto"/>
            </w:tcBorders>
            <w:vAlign w:val="center"/>
          </w:tcPr>
          <w:p w14:paraId="2090FE2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305" w:type="pct"/>
            <w:tcBorders>
              <w:top w:val="nil"/>
              <w:left w:val="nil"/>
              <w:bottom w:val="single" w:sz="4" w:space="0" w:color="auto"/>
              <w:right w:val="single" w:sz="4" w:space="0" w:color="auto"/>
            </w:tcBorders>
            <w:vAlign w:val="center"/>
          </w:tcPr>
          <w:p w14:paraId="75736E2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77" w:type="pct"/>
            <w:tcBorders>
              <w:top w:val="nil"/>
              <w:left w:val="nil"/>
              <w:bottom w:val="single" w:sz="4" w:space="0" w:color="auto"/>
              <w:right w:val="single" w:sz="4" w:space="0" w:color="auto"/>
            </w:tcBorders>
            <w:vAlign w:val="center"/>
          </w:tcPr>
          <w:p w14:paraId="68564A7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77" w:type="pct"/>
            <w:tcBorders>
              <w:top w:val="nil"/>
              <w:left w:val="nil"/>
              <w:bottom w:val="single" w:sz="4" w:space="0" w:color="auto"/>
              <w:right w:val="single" w:sz="4" w:space="0" w:color="auto"/>
            </w:tcBorders>
            <w:vAlign w:val="center"/>
          </w:tcPr>
          <w:p w14:paraId="51730E1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277" w:type="pct"/>
            <w:tcBorders>
              <w:top w:val="nil"/>
              <w:left w:val="nil"/>
              <w:bottom w:val="single" w:sz="4" w:space="0" w:color="auto"/>
              <w:right w:val="single" w:sz="4" w:space="0" w:color="auto"/>
            </w:tcBorders>
            <w:vAlign w:val="center"/>
          </w:tcPr>
          <w:p w14:paraId="45F0934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277" w:type="pct"/>
            <w:tcBorders>
              <w:top w:val="nil"/>
              <w:left w:val="nil"/>
              <w:bottom w:val="single" w:sz="4" w:space="0" w:color="auto"/>
              <w:right w:val="single" w:sz="4" w:space="0" w:color="auto"/>
            </w:tcBorders>
            <w:vAlign w:val="center"/>
          </w:tcPr>
          <w:p w14:paraId="394EB52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77" w:type="pct"/>
            <w:tcBorders>
              <w:top w:val="nil"/>
              <w:left w:val="nil"/>
              <w:bottom w:val="single" w:sz="4" w:space="0" w:color="auto"/>
              <w:right w:val="single" w:sz="4" w:space="0" w:color="auto"/>
            </w:tcBorders>
            <w:vAlign w:val="center"/>
          </w:tcPr>
          <w:p w14:paraId="1B877E8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79" w:type="pct"/>
            <w:tcBorders>
              <w:top w:val="nil"/>
              <w:left w:val="nil"/>
              <w:bottom w:val="single" w:sz="4" w:space="0" w:color="auto"/>
              <w:right w:val="single" w:sz="4" w:space="0" w:color="auto"/>
            </w:tcBorders>
            <w:vAlign w:val="center"/>
          </w:tcPr>
          <w:p w14:paraId="380D6B6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r>
      <w:tr w:rsidR="00557981" w:rsidRPr="00CE5D9A" w14:paraId="4906D08C" w14:textId="77777777">
        <w:trPr>
          <w:trHeight w:val="340"/>
        </w:trPr>
        <w:tc>
          <w:tcPr>
            <w:tcW w:w="1459" w:type="pct"/>
            <w:tcBorders>
              <w:top w:val="nil"/>
              <w:left w:val="single" w:sz="4" w:space="0" w:color="auto"/>
              <w:bottom w:val="single" w:sz="4" w:space="0" w:color="auto"/>
              <w:right w:val="single" w:sz="4" w:space="0" w:color="auto"/>
            </w:tcBorders>
            <w:noWrap/>
            <w:vAlign w:val="center"/>
          </w:tcPr>
          <w:p w14:paraId="6A72B2FD" w14:textId="77777777" w:rsidR="00686DFE" w:rsidRPr="008F6A9A" w:rsidRDefault="00686DFE">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52A4C503" w14:textId="305EA3E2" w:rsidR="008F6A9A" w:rsidRPr="00CE5D9A" w:rsidRDefault="008F6A9A">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349" w:type="pct"/>
            <w:tcBorders>
              <w:top w:val="nil"/>
              <w:left w:val="nil"/>
              <w:bottom w:val="single" w:sz="4" w:space="0" w:color="auto"/>
              <w:right w:val="single" w:sz="4" w:space="0" w:color="auto"/>
            </w:tcBorders>
            <w:noWrap/>
            <w:vAlign w:val="center"/>
          </w:tcPr>
          <w:p w14:paraId="1626E46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3,0</w:t>
            </w:r>
          </w:p>
        </w:tc>
        <w:tc>
          <w:tcPr>
            <w:tcW w:w="285" w:type="pct"/>
            <w:tcBorders>
              <w:top w:val="nil"/>
              <w:left w:val="nil"/>
              <w:bottom w:val="single" w:sz="4" w:space="0" w:color="auto"/>
              <w:right w:val="single" w:sz="4" w:space="0" w:color="auto"/>
            </w:tcBorders>
            <w:noWrap/>
            <w:vAlign w:val="center"/>
          </w:tcPr>
          <w:p w14:paraId="6D13FA02" w14:textId="77777777" w:rsidR="00686DFE" w:rsidRPr="00CE5D9A" w:rsidRDefault="00686DFE"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w:t>
            </w:r>
            <w:r w:rsidR="00E2727A" w:rsidRPr="00CE5D9A">
              <w:rPr>
                <w:rFonts w:ascii="Times New Roman" w:eastAsia="Times New Roman" w:hAnsi="Times New Roman"/>
                <w:b/>
                <w:bCs/>
                <w:sz w:val="20"/>
                <w:szCs w:val="20"/>
                <w:lang w:eastAsia="pl-PL"/>
              </w:rPr>
              <w:t>9</w:t>
            </w:r>
          </w:p>
        </w:tc>
        <w:tc>
          <w:tcPr>
            <w:tcW w:w="304" w:type="pct"/>
            <w:tcBorders>
              <w:top w:val="nil"/>
              <w:left w:val="nil"/>
              <w:bottom w:val="single" w:sz="4" w:space="0" w:color="auto"/>
              <w:right w:val="single" w:sz="4" w:space="0" w:color="auto"/>
            </w:tcBorders>
            <w:noWrap/>
            <w:vAlign w:val="center"/>
          </w:tcPr>
          <w:p w14:paraId="326B155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1,7</w:t>
            </w:r>
          </w:p>
        </w:tc>
        <w:tc>
          <w:tcPr>
            <w:tcW w:w="304" w:type="pct"/>
            <w:tcBorders>
              <w:top w:val="nil"/>
              <w:left w:val="nil"/>
              <w:bottom w:val="single" w:sz="4" w:space="0" w:color="auto"/>
              <w:right w:val="single" w:sz="4" w:space="0" w:color="auto"/>
            </w:tcBorders>
            <w:noWrap/>
            <w:vAlign w:val="center"/>
          </w:tcPr>
          <w:p w14:paraId="511E72C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1,5</w:t>
            </w:r>
          </w:p>
        </w:tc>
        <w:tc>
          <w:tcPr>
            <w:tcW w:w="330" w:type="pct"/>
            <w:tcBorders>
              <w:top w:val="nil"/>
              <w:left w:val="nil"/>
              <w:bottom w:val="single" w:sz="4" w:space="0" w:color="auto"/>
              <w:right w:val="single" w:sz="4" w:space="0" w:color="auto"/>
            </w:tcBorders>
            <w:noWrap/>
            <w:vAlign w:val="center"/>
          </w:tcPr>
          <w:p w14:paraId="1825799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2,5</w:t>
            </w:r>
          </w:p>
        </w:tc>
        <w:tc>
          <w:tcPr>
            <w:tcW w:w="305" w:type="pct"/>
            <w:tcBorders>
              <w:top w:val="nil"/>
              <w:left w:val="nil"/>
              <w:bottom w:val="single" w:sz="4" w:space="0" w:color="auto"/>
              <w:right w:val="single" w:sz="4" w:space="0" w:color="auto"/>
            </w:tcBorders>
            <w:noWrap/>
            <w:vAlign w:val="center"/>
          </w:tcPr>
          <w:p w14:paraId="70B7162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1,7</w:t>
            </w:r>
          </w:p>
        </w:tc>
        <w:tc>
          <w:tcPr>
            <w:tcW w:w="277" w:type="pct"/>
            <w:tcBorders>
              <w:top w:val="nil"/>
              <w:left w:val="nil"/>
              <w:bottom w:val="single" w:sz="4" w:space="0" w:color="auto"/>
              <w:right w:val="single" w:sz="4" w:space="0" w:color="auto"/>
            </w:tcBorders>
            <w:noWrap/>
            <w:vAlign w:val="center"/>
          </w:tcPr>
          <w:p w14:paraId="3ADAF1F9" w14:textId="77777777" w:rsidR="00686DFE" w:rsidRPr="00CE5D9A" w:rsidRDefault="00686DFE"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34,</w:t>
            </w:r>
            <w:r w:rsidR="00E2727A" w:rsidRPr="00CE5D9A">
              <w:rPr>
                <w:rFonts w:ascii="Times New Roman" w:eastAsia="Times New Roman" w:hAnsi="Times New Roman"/>
                <w:b/>
                <w:bCs/>
                <w:sz w:val="20"/>
                <w:szCs w:val="20"/>
                <w:lang w:eastAsia="pl-PL"/>
              </w:rPr>
              <w:t>8</w:t>
            </w:r>
          </w:p>
        </w:tc>
        <w:tc>
          <w:tcPr>
            <w:tcW w:w="277" w:type="pct"/>
            <w:tcBorders>
              <w:top w:val="nil"/>
              <w:left w:val="nil"/>
              <w:bottom w:val="single" w:sz="4" w:space="0" w:color="auto"/>
              <w:right w:val="single" w:sz="4" w:space="0" w:color="auto"/>
            </w:tcBorders>
            <w:noWrap/>
            <w:vAlign w:val="center"/>
          </w:tcPr>
          <w:p w14:paraId="7C81C2AF" w14:textId="77777777" w:rsidR="00686DFE" w:rsidRPr="00CE5D9A" w:rsidRDefault="00686DFE"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30,</w:t>
            </w:r>
            <w:r w:rsidR="00E2727A" w:rsidRPr="00CE5D9A">
              <w:rPr>
                <w:rFonts w:ascii="Times New Roman" w:eastAsia="Times New Roman" w:hAnsi="Times New Roman"/>
                <w:b/>
                <w:bCs/>
                <w:sz w:val="20"/>
                <w:szCs w:val="20"/>
                <w:lang w:eastAsia="pl-PL"/>
              </w:rPr>
              <w:t>8</w:t>
            </w:r>
          </w:p>
        </w:tc>
        <w:tc>
          <w:tcPr>
            <w:tcW w:w="277" w:type="pct"/>
            <w:tcBorders>
              <w:top w:val="nil"/>
              <w:left w:val="nil"/>
              <w:bottom w:val="single" w:sz="4" w:space="0" w:color="auto"/>
              <w:right w:val="single" w:sz="4" w:space="0" w:color="auto"/>
            </w:tcBorders>
            <w:noWrap/>
            <w:vAlign w:val="center"/>
          </w:tcPr>
          <w:p w14:paraId="19169CA0" w14:textId="77777777" w:rsidR="00686DFE" w:rsidRPr="00CE5D9A" w:rsidRDefault="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22,3</w:t>
            </w:r>
          </w:p>
        </w:tc>
        <w:tc>
          <w:tcPr>
            <w:tcW w:w="277" w:type="pct"/>
            <w:tcBorders>
              <w:top w:val="nil"/>
              <w:left w:val="nil"/>
              <w:bottom w:val="single" w:sz="4" w:space="0" w:color="auto"/>
              <w:right w:val="single" w:sz="4" w:space="0" w:color="auto"/>
            </w:tcBorders>
            <w:noWrap/>
            <w:vAlign w:val="center"/>
          </w:tcPr>
          <w:p w14:paraId="13837314" w14:textId="77777777" w:rsidR="00686DFE" w:rsidRPr="00CE5D9A" w:rsidRDefault="00E2727A"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23</w:t>
            </w:r>
            <w:r w:rsidR="00686DFE" w:rsidRPr="00CE5D9A">
              <w:rPr>
                <w:rFonts w:ascii="Times New Roman" w:eastAsia="Times New Roman" w:hAnsi="Times New Roman"/>
                <w:b/>
                <w:bCs/>
                <w:sz w:val="20"/>
                <w:szCs w:val="20"/>
                <w:lang w:eastAsia="pl-PL"/>
              </w:rPr>
              <w:t>,</w:t>
            </w:r>
            <w:r w:rsidRPr="00CE5D9A">
              <w:rPr>
                <w:rFonts w:ascii="Times New Roman" w:eastAsia="Times New Roman" w:hAnsi="Times New Roman"/>
                <w:b/>
                <w:bCs/>
                <w:sz w:val="20"/>
                <w:szCs w:val="20"/>
                <w:lang w:eastAsia="pl-PL"/>
              </w:rPr>
              <w:t>2</w:t>
            </w:r>
          </w:p>
        </w:tc>
        <w:tc>
          <w:tcPr>
            <w:tcW w:w="277" w:type="pct"/>
            <w:tcBorders>
              <w:top w:val="nil"/>
              <w:left w:val="nil"/>
              <w:bottom w:val="single" w:sz="4" w:space="0" w:color="auto"/>
              <w:right w:val="single" w:sz="4" w:space="0" w:color="auto"/>
            </w:tcBorders>
            <w:noWrap/>
            <w:vAlign w:val="center"/>
          </w:tcPr>
          <w:p w14:paraId="34E28EA6" w14:textId="77777777" w:rsidR="00686DFE" w:rsidRPr="00CE5D9A" w:rsidRDefault="00686DFE"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23,</w:t>
            </w:r>
            <w:r w:rsidR="00E2727A" w:rsidRPr="00CE5D9A">
              <w:rPr>
                <w:rFonts w:ascii="Times New Roman" w:eastAsia="Times New Roman" w:hAnsi="Times New Roman"/>
                <w:b/>
                <w:bCs/>
                <w:sz w:val="20"/>
                <w:szCs w:val="20"/>
                <w:lang w:eastAsia="pl-PL"/>
              </w:rPr>
              <w:t>5</w:t>
            </w:r>
          </w:p>
        </w:tc>
        <w:tc>
          <w:tcPr>
            <w:tcW w:w="279" w:type="pct"/>
            <w:tcBorders>
              <w:top w:val="nil"/>
              <w:left w:val="nil"/>
              <w:bottom w:val="single" w:sz="4" w:space="0" w:color="auto"/>
              <w:right w:val="single" w:sz="4" w:space="0" w:color="auto"/>
            </w:tcBorders>
            <w:noWrap/>
            <w:vAlign w:val="center"/>
          </w:tcPr>
          <w:p w14:paraId="72873B9C" w14:textId="77777777" w:rsidR="00686DFE" w:rsidRPr="00CE5D9A" w:rsidRDefault="00686DFE" w:rsidP="00E2727A">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32,</w:t>
            </w:r>
            <w:r w:rsidR="00E2727A" w:rsidRPr="00CE5D9A">
              <w:rPr>
                <w:rFonts w:ascii="Times New Roman" w:eastAsia="Times New Roman" w:hAnsi="Times New Roman"/>
                <w:b/>
                <w:bCs/>
                <w:sz w:val="20"/>
                <w:szCs w:val="20"/>
                <w:lang w:eastAsia="pl-PL"/>
              </w:rPr>
              <w:t>5</w:t>
            </w:r>
          </w:p>
        </w:tc>
      </w:tr>
      <w:tr w:rsidR="00557981" w:rsidRPr="00CE5D9A" w14:paraId="1919DE0B" w14:textId="77777777">
        <w:trPr>
          <w:trHeight w:val="340"/>
        </w:trPr>
        <w:tc>
          <w:tcPr>
            <w:tcW w:w="1459" w:type="pct"/>
            <w:tcBorders>
              <w:top w:val="nil"/>
              <w:left w:val="single" w:sz="4" w:space="0" w:color="auto"/>
              <w:bottom w:val="single" w:sz="4" w:space="0" w:color="auto"/>
              <w:right w:val="single" w:sz="4" w:space="0" w:color="auto"/>
            </w:tcBorders>
            <w:noWrap/>
            <w:vAlign w:val="center"/>
          </w:tcPr>
          <w:p w14:paraId="257B74E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349" w:type="pct"/>
            <w:tcBorders>
              <w:top w:val="nil"/>
              <w:left w:val="nil"/>
              <w:bottom w:val="single" w:sz="4" w:space="0" w:color="auto"/>
              <w:right w:val="single" w:sz="4" w:space="0" w:color="auto"/>
            </w:tcBorders>
            <w:noWrap/>
            <w:vAlign w:val="center"/>
          </w:tcPr>
          <w:p w14:paraId="0C3FDCC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w:t>
            </w:r>
          </w:p>
        </w:tc>
        <w:tc>
          <w:tcPr>
            <w:tcW w:w="285" w:type="pct"/>
            <w:tcBorders>
              <w:top w:val="nil"/>
              <w:left w:val="nil"/>
              <w:bottom w:val="single" w:sz="4" w:space="0" w:color="auto"/>
              <w:right w:val="single" w:sz="4" w:space="0" w:color="auto"/>
            </w:tcBorders>
            <w:noWrap/>
            <w:vAlign w:val="center"/>
          </w:tcPr>
          <w:p w14:paraId="09051CC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3,8</w:t>
            </w:r>
          </w:p>
        </w:tc>
        <w:tc>
          <w:tcPr>
            <w:tcW w:w="304" w:type="pct"/>
            <w:tcBorders>
              <w:top w:val="nil"/>
              <w:left w:val="nil"/>
              <w:bottom w:val="single" w:sz="4" w:space="0" w:color="auto"/>
              <w:right w:val="single" w:sz="4" w:space="0" w:color="auto"/>
            </w:tcBorders>
            <w:noWrap/>
            <w:vAlign w:val="center"/>
          </w:tcPr>
          <w:p w14:paraId="242EB6E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3,4</w:t>
            </w:r>
          </w:p>
        </w:tc>
        <w:tc>
          <w:tcPr>
            <w:tcW w:w="304" w:type="pct"/>
            <w:tcBorders>
              <w:top w:val="nil"/>
              <w:left w:val="nil"/>
              <w:bottom w:val="single" w:sz="4" w:space="0" w:color="auto"/>
              <w:right w:val="single" w:sz="4" w:space="0" w:color="auto"/>
            </w:tcBorders>
            <w:noWrap/>
            <w:vAlign w:val="center"/>
          </w:tcPr>
          <w:p w14:paraId="2F2B418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3,0</w:t>
            </w:r>
          </w:p>
        </w:tc>
        <w:tc>
          <w:tcPr>
            <w:tcW w:w="330" w:type="pct"/>
            <w:tcBorders>
              <w:top w:val="nil"/>
              <w:left w:val="nil"/>
              <w:bottom w:val="single" w:sz="4" w:space="0" w:color="auto"/>
              <w:right w:val="single" w:sz="4" w:space="0" w:color="auto"/>
            </w:tcBorders>
            <w:noWrap/>
            <w:vAlign w:val="center"/>
          </w:tcPr>
          <w:p w14:paraId="297E168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4,0</w:t>
            </w:r>
          </w:p>
        </w:tc>
        <w:tc>
          <w:tcPr>
            <w:tcW w:w="305" w:type="pct"/>
            <w:tcBorders>
              <w:top w:val="nil"/>
              <w:left w:val="nil"/>
              <w:bottom w:val="single" w:sz="4" w:space="0" w:color="auto"/>
              <w:right w:val="single" w:sz="4" w:space="0" w:color="auto"/>
            </w:tcBorders>
            <w:noWrap/>
            <w:vAlign w:val="center"/>
          </w:tcPr>
          <w:p w14:paraId="65326F1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3,4</w:t>
            </w:r>
          </w:p>
        </w:tc>
        <w:tc>
          <w:tcPr>
            <w:tcW w:w="277" w:type="pct"/>
            <w:tcBorders>
              <w:top w:val="nil"/>
              <w:left w:val="nil"/>
              <w:bottom w:val="single" w:sz="4" w:space="0" w:color="auto"/>
              <w:right w:val="single" w:sz="4" w:space="0" w:color="auto"/>
            </w:tcBorders>
            <w:noWrap/>
            <w:vAlign w:val="center"/>
          </w:tcPr>
          <w:p w14:paraId="5ADC94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53,9</w:t>
            </w:r>
          </w:p>
        </w:tc>
        <w:tc>
          <w:tcPr>
            <w:tcW w:w="277" w:type="pct"/>
            <w:tcBorders>
              <w:top w:val="nil"/>
              <w:left w:val="nil"/>
              <w:bottom w:val="single" w:sz="4" w:space="0" w:color="auto"/>
              <w:right w:val="single" w:sz="4" w:space="0" w:color="auto"/>
            </w:tcBorders>
            <w:noWrap/>
            <w:vAlign w:val="center"/>
          </w:tcPr>
          <w:p w14:paraId="5B39055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53,0</w:t>
            </w:r>
          </w:p>
        </w:tc>
        <w:tc>
          <w:tcPr>
            <w:tcW w:w="277" w:type="pct"/>
            <w:tcBorders>
              <w:top w:val="nil"/>
              <w:left w:val="nil"/>
              <w:bottom w:val="single" w:sz="4" w:space="0" w:color="auto"/>
              <w:right w:val="single" w:sz="4" w:space="0" w:color="auto"/>
            </w:tcBorders>
            <w:noWrap/>
            <w:vAlign w:val="center"/>
          </w:tcPr>
          <w:p w14:paraId="358E4EC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50,5</w:t>
            </w:r>
          </w:p>
        </w:tc>
        <w:tc>
          <w:tcPr>
            <w:tcW w:w="277" w:type="pct"/>
            <w:tcBorders>
              <w:top w:val="nil"/>
              <w:left w:val="nil"/>
              <w:bottom w:val="single" w:sz="4" w:space="0" w:color="auto"/>
              <w:right w:val="single" w:sz="4" w:space="0" w:color="auto"/>
            </w:tcBorders>
            <w:noWrap/>
            <w:vAlign w:val="center"/>
          </w:tcPr>
          <w:p w14:paraId="2F709A9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48,0</w:t>
            </w:r>
          </w:p>
        </w:tc>
        <w:tc>
          <w:tcPr>
            <w:tcW w:w="277" w:type="pct"/>
            <w:tcBorders>
              <w:top w:val="nil"/>
              <w:left w:val="nil"/>
              <w:bottom w:val="single" w:sz="4" w:space="0" w:color="auto"/>
              <w:right w:val="single" w:sz="4" w:space="0" w:color="auto"/>
            </w:tcBorders>
            <w:noWrap/>
            <w:vAlign w:val="center"/>
          </w:tcPr>
          <w:p w14:paraId="0DE716C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44,8</w:t>
            </w:r>
          </w:p>
        </w:tc>
        <w:tc>
          <w:tcPr>
            <w:tcW w:w="279" w:type="pct"/>
            <w:tcBorders>
              <w:top w:val="nil"/>
              <w:left w:val="nil"/>
              <w:bottom w:val="single" w:sz="4" w:space="0" w:color="auto"/>
              <w:right w:val="single" w:sz="4" w:space="0" w:color="auto"/>
            </w:tcBorders>
            <w:noWrap/>
            <w:vAlign w:val="center"/>
          </w:tcPr>
          <w:p w14:paraId="7560AEA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55,6</w:t>
            </w:r>
          </w:p>
        </w:tc>
      </w:tr>
      <w:tr w:rsidR="00557981" w:rsidRPr="00CE5D9A" w14:paraId="10836A03" w14:textId="77777777">
        <w:trPr>
          <w:trHeight w:val="340"/>
        </w:trPr>
        <w:tc>
          <w:tcPr>
            <w:tcW w:w="1459" w:type="pct"/>
            <w:tcBorders>
              <w:top w:val="nil"/>
              <w:left w:val="single" w:sz="4" w:space="0" w:color="auto"/>
              <w:bottom w:val="single" w:sz="4" w:space="0" w:color="auto"/>
              <w:right w:val="single" w:sz="4" w:space="0" w:color="auto"/>
            </w:tcBorders>
            <w:noWrap/>
            <w:vAlign w:val="center"/>
          </w:tcPr>
          <w:p w14:paraId="106812A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349" w:type="pct"/>
            <w:tcBorders>
              <w:top w:val="nil"/>
              <w:left w:val="nil"/>
              <w:bottom w:val="single" w:sz="4" w:space="0" w:color="auto"/>
              <w:right w:val="single" w:sz="4" w:space="0" w:color="auto"/>
            </w:tcBorders>
            <w:noWrap/>
            <w:vAlign w:val="center"/>
          </w:tcPr>
          <w:p w14:paraId="03A0758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w:t>
            </w:r>
          </w:p>
        </w:tc>
        <w:tc>
          <w:tcPr>
            <w:tcW w:w="285" w:type="pct"/>
            <w:tcBorders>
              <w:top w:val="nil"/>
              <w:left w:val="nil"/>
              <w:bottom w:val="single" w:sz="4" w:space="0" w:color="auto"/>
              <w:right w:val="single" w:sz="4" w:space="0" w:color="auto"/>
            </w:tcBorders>
            <w:noWrap/>
            <w:vAlign w:val="center"/>
          </w:tcPr>
          <w:p w14:paraId="3DC95BE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w:t>
            </w:r>
          </w:p>
        </w:tc>
        <w:tc>
          <w:tcPr>
            <w:tcW w:w="304" w:type="pct"/>
            <w:tcBorders>
              <w:top w:val="nil"/>
              <w:left w:val="nil"/>
              <w:bottom w:val="single" w:sz="4" w:space="0" w:color="auto"/>
              <w:right w:val="single" w:sz="4" w:space="0" w:color="auto"/>
            </w:tcBorders>
            <w:noWrap/>
            <w:vAlign w:val="center"/>
          </w:tcPr>
          <w:p w14:paraId="70D6F4D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4,2</w:t>
            </w:r>
          </w:p>
        </w:tc>
        <w:tc>
          <w:tcPr>
            <w:tcW w:w="304" w:type="pct"/>
            <w:tcBorders>
              <w:top w:val="nil"/>
              <w:left w:val="nil"/>
              <w:bottom w:val="single" w:sz="4" w:space="0" w:color="auto"/>
              <w:right w:val="single" w:sz="4" w:space="0" w:color="auto"/>
            </w:tcBorders>
            <w:noWrap/>
            <w:vAlign w:val="center"/>
          </w:tcPr>
          <w:p w14:paraId="017CEDF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3,8</w:t>
            </w:r>
          </w:p>
        </w:tc>
        <w:tc>
          <w:tcPr>
            <w:tcW w:w="330" w:type="pct"/>
            <w:tcBorders>
              <w:top w:val="nil"/>
              <w:left w:val="nil"/>
              <w:bottom w:val="single" w:sz="4" w:space="0" w:color="auto"/>
              <w:right w:val="single" w:sz="4" w:space="0" w:color="auto"/>
            </w:tcBorders>
            <w:noWrap/>
            <w:vAlign w:val="center"/>
          </w:tcPr>
          <w:p w14:paraId="30C13C2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w:t>
            </w:r>
          </w:p>
        </w:tc>
        <w:tc>
          <w:tcPr>
            <w:tcW w:w="305" w:type="pct"/>
            <w:tcBorders>
              <w:top w:val="nil"/>
              <w:left w:val="nil"/>
              <w:bottom w:val="single" w:sz="4" w:space="0" w:color="auto"/>
              <w:right w:val="single" w:sz="4" w:space="0" w:color="auto"/>
            </w:tcBorders>
            <w:noWrap/>
            <w:vAlign w:val="center"/>
          </w:tcPr>
          <w:p w14:paraId="002D527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4,0</w:t>
            </w:r>
          </w:p>
        </w:tc>
        <w:tc>
          <w:tcPr>
            <w:tcW w:w="277" w:type="pct"/>
            <w:tcBorders>
              <w:top w:val="nil"/>
              <w:left w:val="nil"/>
              <w:bottom w:val="single" w:sz="4" w:space="0" w:color="auto"/>
              <w:right w:val="single" w:sz="4" w:space="0" w:color="auto"/>
            </w:tcBorders>
            <w:noWrap/>
            <w:vAlign w:val="center"/>
          </w:tcPr>
          <w:p w14:paraId="65C1DB0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56,0</w:t>
            </w:r>
          </w:p>
        </w:tc>
        <w:tc>
          <w:tcPr>
            <w:tcW w:w="277" w:type="pct"/>
            <w:tcBorders>
              <w:top w:val="nil"/>
              <w:left w:val="nil"/>
              <w:bottom w:val="single" w:sz="4" w:space="0" w:color="auto"/>
              <w:right w:val="single" w:sz="4" w:space="0" w:color="auto"/>
            </w:tcBorders>
            <w:noWrap/>
            <w:vAlign w:val="center"/>
          </w:tcPr>
          <w:p w14:paraId="58FCE0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55,0</w:t>
            </w:r>
          </w:p>
        </w:tc>
        <w:tc>
          <w:tcPr>
            <w:tcW w:w="277" w:type="pct"/>
            <w:tcBorders>
              <w:top w:val="nil"/>
              <w:left w:val="nil"/>
              <w:bottom w:val="single" w:sz="4" w:space="0" w:color="auto"/>
              <w:right w:val="single" w:sz="4" w:space="0" w:color="auto"/>
            </w:tcBorders>
            <w:noWrap/>
            <w:vAlign w:val="center"/>
          </w:tcPr>
          <w:p w14:paraId="782EC86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52,4</w:t>
            </w:r>
          </w:p>
        </w:tc>
        <w:tc>
          <w:tcPr>
            <w:tcW w:w="277" w:type="pct"/>
            <w:tcBorders>
              <w:top w:val="nil"/>
              <w:left w:val="nil"/>
              <w:bottom w:val="single" w:sz="4" w:space="0" w:color="auto"/>
              <w:right w:val="single" w:sz="4" w:space="0" w:color="auto"/>
            </w:tcBorders>
            <w:noWrap/>
            <w:vAlign w:val="center"/>
          </w:tcPr>
          <w:p w14:paraId="35CAC14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49,9</w:t>
            </w:r>
          </w:p>
        </w:tc>
        <w:tc>
          <w:tcPr>
            <w:tcW w:w="277" w:type="pct"/>
            <w:tcBorders>
              <w:top w:val="nil"/>
              <w:left w:val="nil"/>
              <w:bottom w:val="single" w:sz="4" w:space="0" w:color="auto"/>
              <w:right w:val="single" w:sz="4" w:space="0" w:color="auto"/>
            </w:tcBorders>
            <w:noWrap/>
            <w:vAlign w:val="center"/>
          </w:tcPr>
          <w:p w14:paraId="3E66957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49,3</w:t>
            </w:r>
          </w:p>
        </w:tc>
        <w:tc>
          <w:tcPr>
            <w:tcW w:w="279" w:type="pct"/>
            <w:tcBorders>
              <w:top w:val="nil"/>
              <w:left w:val="nil"/>
              <w:bottom w:val="single" w:sz="4" w:space="0" w:color="auto"/>
              <w:right w:val="single" w:sz="4" w:space="0" w:color="auto"/>
            </w:tcBorders>
            <w:noWrap/>
            <w:vAlign w:val="center"/>
          </w:tcPr>
          <w:p w14:paraId="0081D98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56,6</w:t>
            </w:r>
          </w:p>
        </w:tc>
      </w:tr>
    </w:tbl>
    <w:p w14:paraId="1C86B7A1" w14:textId="77777777" w:rsidR="00686DFE" w:rsidRPr="00CE5D9A" w:rsidRDefault="00686DFE">
      <w:pPr>
        <w:jc w:val="center"/>
        <w:rPr>
          <w:rFonts w:ascii="Times New Roman" w:hAnsi="Times New Roman"/>
          <w:i/>
          <w:iCs/>
        </w:rPr>
      </w:pPr>
      <w:r w:rsidRPr="00CE5D9A">
        <w:rPr>
          <w:rFonts w:ascii="Times New Roman" w:hAnsi="Times New Roman"/>
          <w:i/>
          <w:iCs/>
        </w:rPr>
        <w:t>Źródło: opracowanie własne na podstawie danych GUS</w:t>
      </w:r>
      <w:bookmarkStart w:id="78" w:name="_Toc112838933"/>
    </w:p>
    <w:p w14:paraId="773F65DA" w14:textId="77777777" w:rsidR="00686DFE" w:rsidRPr="00CE5D9A" w:rsidRDefault="00686DFE">
      <w:pPr>
        <w:tabs>
          <w:tab w:val="left" w:pos="7797"/>
        </w:tabs>
        <w:spacing w:after="0" w:line="276" w:lineRule="auto"/>
        <w:ind w:firstLine="709"/>
        <w:jc w:val="both"/>
        <w:rPr>
          <w:rFonts w:ascii="Times New Roman" w:hAnsi="Times New Roman"/>
          <w:iCs/>
        </w:rPr>
      </w:pPr>
      <w:r w:rsidRPr="00CE5D9A">
        <w:rPr>
          <w:rFonts w:ascii="Times New Roman" w:hAnsi="Times New Roman"/>
          <w:iCs/>
        </w:rPr>
        <w:t xml:space="preserve">Na obszarze LGD obserwuje się systematyczny spadek bezrobocia (wyjątek stanowił rok 2020, kiedy wystąpił nagły wzrost liczby bezrobotnych – wzrost wystąpił również w województwie i kraju). W 2021 r. wskaźnik </w:t>
      </w:r>
      <w:r w:rsidRPr="00CE5D9A">
        <w:rPr>
          <w:rFonts w:ascii="Times New Roman" w:hAnsi="Times New Roman"/>
          <w:i/>
          <w:iCs/>
        </w:rPr>
        <w:t xml:space="preserve">udział bezrobotnych zarejestrowanych w liczbie ludności w wieku produkcyjnym </w:t>
      </w:r>
      <w:r w:rsidRPr="00CE5D9A">
        <w:rPr>
          <w:rFonts w:ascii="Times New Roman" w:hAnsi="Times New Roman"/>
          <w:iCs/>
        </w:rPr>
        <w:t xml:space="preserve">na obszarze LGD (1,7%) był niższy niż średnia w województwie (3,4%) oraz średnia w kraju (4,0%). Pozytywnym zjawiskiem jest również fakt spadku poziomu bezrobocia długoterminowego – wartość wskaźnika </w:t>
      </w:r>
      <w:r w:rsidRPr="00CE5D9A">
        <w:rPr>
          <w:rFonts w:ascii="Times New Roman" w:hAnsi="Times New Roman"/>
          <w:i/>
          <w:iCs/>
        </w:rPr>
        <w:t xml:space="preserve">udział długotrwale bezrobotnych w liczbie bezrobotnych ogółem </w:t>
      </w:r>
      <w:r w:rsidRPr="00CE5D9A">
        <w:rPr>
          <w:rFonts w:ascii="Times New Roman" w:hAnsi="Times New Roman"/>
          <w:iCs/>
        </w:rPr>
        <w:t>w latach 2016–2021 wahała się, przy czym ostatecznie w 2021 roku w stosunku do roku 2016 nastąpił spadek wartości wskaźnika o 2,</w:t>
      </w:r>
      <w:r w:rsidR="00E2727A" w:rsidRPr="00CE5D9A">
        <w:rPr>
          <w:rFonts w:ascii="Times New Roman" w:hAnsi="Times New Roman"/>
          <w:iCs/>
        </w:rPr>
        <w:t>3</w:t>
      </w:r>
      <w:r w:rsidRPr="00CE5D9A">
        <w:rPr>
          <w:rFonts w:ascii="Times New Roman" w:hAnsi="Times New Roman"/>
          <w:iCs/>
        </w:rPr>
        <w:t xml:space="preserve"> pp., podczas gdy tendencja w województwie i kraju była odwrotna – nastąpił wzrost bezrobocia długoterminowego – odpowiednio o 1,7 pp. i 0,6 pp. </w:t>
      </w:r>
      <w:r w:rsidR="00E2727A" w:rsidRPr="00CE5D9A">
        <w:rPr>
          <w:rFonts w:ascii="Times New Roman" w:hAnsi="Times New Roman"/>
          <w:iCs/>
        </w:rPr>
        <w:t>Wśród gmin obszaru w </w:t>
      </w:r>
      <w:r w:rsidRPr="00CE5D9A">
        <w:rPr>
          <w:rFonts w:ascii="Times New Roman" w:hAnsi="Times New Roman"/>
          <w:iCs/>
        </w:rPr>
        <w:t>2021 r. najniższa i najbardziej korzystna wartość wskaźnika wystąpiła w Gminie Tokarnia – 23,9%, natomiast najwyższa w</w:t>
      </w:r>
      <w:r w:rsidR="00E2727A" w:rsidRPr="00CE5D9A">
        <w:rPr>
          <w:rFonts w:ascii="Times New Roman" w:hAnsi="Times New Roman"/>
          <w:iCs/>
        </w:rPr>
        <w:t> </w:t>
      </w:r>
      <w:r w:rsidRPr="00CE5D9A">
        <w:rPr>
          <w:rFonts w:ascii="Times New Roman" w:hAnsi="Times New Roman"/>
          <w:iCs/>
        </w:rPr>
        <w:t xml:space="preserve">Gminie Sułkowice – 35,7%. </w:t>
      </w:r>
    </w:p>
    <w:bookmarkEnd w:id="78"/>
    <w:p w14:paraId="563353E4" w14:textId="77777777" w:rsidR="00686DFE" w:rsidRPr="00CE5D9A" w:rsidRDefault="00686DFE" w:rsidP="00E2727A">
      <w:pPr>
        <w:spacing w:line="276" w:lineRule="auto"/>
        <w:ind w:firstLine="708"/>
        <w:jc w:val="both"/>
        <w:rPr>
          <w:rFonts w:ascii="Times New Roman" w:hAnsi="Times New Roman"/>
        </w:rPr>
      </w:pPr>
      <w:r w:rsidRPr="00CE5D9A">
        <w:rPr>
          <w:rFonts w:ascii="Times New Roman" w:hAnsi="Times New Roman"/>
        </w:rPr>
        <w:t>Na wykresie 9 przedstawiono procentowy udział bezrobotnych ze wz</w:t>
      </w:r>
      <w:r w:rsidR="00E2727A" w:rsidRPr="00CE5D9A">
        <w:rPr>
          <w:rFonts w:ascii="Times New Roman" w:hAnsi="Times New Roman"/>
        </w:rPr>
        <w:t xml:space="preserve">ględu na płeć na obszarze LGD, </w:t>
      </w:r>
      <w:r w:rsidRPr="00CE5D9A">
        <w:rPr>
          <w:rFonts w:ascii="Times New Roman" w:hAnsi="Times New Roman"/>
        </w:rPr>
        <w:t>w</w:t>
      </w:r>
      <w:r w:rsidR="00E2727A" w:rsidRPr="00CE5D9A">
        <w:rPr>
          <w:rFonts w:ascii="Times New Roman" w:hAnsi="Times New Roman"/>
        </w:rPr>
        <w:t> </w:t>
      </w:r>
      <w:r w:rsidRPr="00CE5D9A">
        <w:rPr>
          <w:rFonts w:ascii="Times New Roman" w:hAnsi="Times New Roman"/>
        </w:rPr>
        <w:t>województwie i kraju. Wśród osób bezrobotnych na terenie LGD przeważają kobiet</w:t>
      </w:r>
      <w:r w:rsidR="00E2727A" w:rsidRPr="00CE5D9A">
        <w:rPr>
          <w:rFonts w:ascii="Times New Roman" w:hAnsi="Times New Roman"/>
        </w:rPr>
        <w:t>y i jest to podobny trend jak w </w:t>
      </w:r>
      <w:r w:rsidRPr="00CE5D9A">
        <w:rPr>
          <w:rFonts w:ascii="Times New Roman" w:hAnsi="Times New Roman"/>
        </w:rPr>
        <w:t xml:space="preserve">województwie i kraju. Wskaźnik </w:t>
      </w:r>
      <w:r w:rsidRPr="00CE5D9A">
        <w:rPr>
          <w:rFonts w:ascii="Times New Roman" w:hAnsi="Times New Roman"/>
          <w:i/>
          <w:iCs/>
        </w:rPr>
        <w:t xml:space="preserve">udział kobiet wśród bezrobotnych ogółem </w:t>
      </w:r>
      <w:r w:rsidR="00E2727A" w:rsidRPr="00CE5D9A">
        <w:rPr>
          <w:rFonts w:ascii="Times New Roman" w:hAnsi="Times New Roman"/>
        </w:rPr>
        <w:t>w 2021 r. wynosił 51</w:t>
      </w:r>
      <w:r w:rsidRPr="00CE5D9A">
        <w:rPr>
          <w:rFonts w:ascii="Times New Roman" w:hAnsi="Times New Roman"/>
        </w:rPr>
        <w:t>,</w:t>
      </w:r>
      <w:r w:rsidR="00E2727A" w:rsidRPr="00CE5D9A">
        <w:rPr>
          <w:rFonts w:ascii="Times New Roman" w:hAnsi="Times New Roman"/>
        </w:rPr>
        <w:t>3</w:t>
      </w:r>
      <w:r w:rsidRPr="00CE5D9A">
        <w:rPr>
          <w:rFonts w:ascii="Times New Roman" w:hAnsi="Times New Roman"/>
        </w:rPr>
        <w:t>%, przy średniej dla województwa – 54,4% i średniej dla kraju – 53,8%</w:t>
      </w:r>
    </w:p>
    <w:p w14:paraId="0A264572" w14:textId="19F6A65F" w:rsidR="00686DFE" w:rsidRPr="00CE5D9A" w:rsidRDefault="00686DFE">
      <w:pPr>
        <w:pStyle w:val="Legenda"/>
        <w:spacing w:after="0"/>
        <w:jc w:val="center"/>
        <w:rPr>
          <w:rFonts w:ascii="Times New Roman" w:hAnsi="Times New Roman"/>
          <w:b/>
          <w:bCs/>
          <w:i w:val="0"/>
          <w:iCs w:val="0"/>
          <w:color w:val="auto"/>
          <w:sz w:val="20"/>
          <w:szCs w:val="20"/>
        </w:rPr>
      </w:pPr>
      <w:bookmarkStart w:id="79" w:name="_Toc112838969"/>
      <w:bookmarkStart w:id="80" w:name="_Toc134966321"/>
      <w:bookmarkStart w:id="81" w:name="_Toc194581418"/>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9</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Procentowy udział bezrobotnych według płci na obszarze LGD, w województwie i kraju w 2021 r.</w:t>
      </w:r>
      <w:bookmarkEnd w:id="79"/>
      <w:bookmarkEnd w:id="80"/>
      <w:bookmarkEnd w:id="81"/>
    </w:p>
    <w:p w14:paraId="7942E44D" w14:textId="77777777" w:rsidR="00686DFE" w:rsidRPr="00CE5D9A" w:rsidRDefault="00E2727A">
      <w:pPr>
        <w:spacing w:after="0" w:line="276" w:lineRule="auto"/>
        <w:jc w:val="center"/>
        <w:rPr>
          <w:rFonts w:ascii="Times New Roman" w:hAnsi="Times New Roman"/>
        </w:rPr>
      </w:pPr>
      <w:r w:rsidRPr="00CE5D9A">
        <w:rPr>
          <w:noProof/>
          <w:lang w:eastAsia="pl-PL"/>
        </w:rPr>
        <w:t xml:space="preserve"> </w:t>
      </w:r>
      <w:r w:rsidRPr="00CE5D9A">
        <w:rPr>
          <w:noProof/>
          <w:lang w:eastAsia="pl-PL"/>
        </w:rPr>
        <w:drawing>
          <wp:inline distT="0" distB="0" distL="0" distR="0" wp14:anchorId="186BDEA8" wp14:editId="7D49932B">
            <wp:extent cx="5768340" cy="2110740"/>
            <wp:effectExtent l="0" t="0" r="3810" b="3810"/>
            <wp:docPr id="11" name="Wykres 1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3D5F87"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lastRenderedPageBreak/>
        <w:t>Źródło: opracowanie własne na podstawie danych GUS</w:t>
      </w:r>
    </w:p>
    <w:p w14:paraId="4B8673C4" w14:textId="77777777" w:rsidR="00686DFE" w:rsidRPr="00CE5D9A" w:rsidRDefault="00686DFE">
      <w:pPr>
        <w:spacing w:line="276" w:lineRule="auto"/>
        <w:jc w:val="center"/>
        <w:rPr>
          <w:rFonts w:ascii="Times New Roman" w:hAnsi="Times New Roman"/>
          <w:b/>
          <w:bCs/>
        </w:rPr>
      </w:pPr>
      <w:r w:rsidRPr="00CE5D9A">
        <w:rPr>
          <w:rFonts w:ascii="Times New Roman" w:hAnsi="Times New Roman"/>
          <w:b/>
          <w:bCs/>
        </w:rPr>
        <w:t xml:space="preserve">Przy obliczeniu wskaźnika </w:t>
      </w:r>
      <w:r w:rsidRPr="00CE5D9A">
        <w:rPr>
          <w:rFonts w:ascii="Times New Roman" w:hAnsi="Times New Roman"/>
          <w:b/>
          <w:bCs/>
          <w:i/>
          <w:iCs/>
        </w:rPr>
        <w:t>udział liczby bezrobotnych zarejestrowanych na obszarze LSR w liczbie ludności w wieku produkcyjnym na obszarze objętym LSR, według stanu na koniec 2020 r.</w:t>
      </w:r>
      <w:r w:rsidRPr="00CE5D9A">
        <w:rPr>
          <w:rFonts w:ascii="Times New Roman" w:hAnsi="Times New Roman"/>
          <w:b/>
          <w:bCs/>
        </w:rPr>
        <w:t xml:space="preserve"> ze wzoru:</w:t>
      </w:r>
    </w:p>
    <w:p w14:paraId="0014091D" w14:textId="77777777" w:rsidR="00686DFE" w:rsidRPr="00CE5D9A" w:rsidRDefault="00AE0B24">
      <w:pPr>
        <w:spacing w:before="240" w:line="360" w:lineRule="auto"/>
        <w:jc w:val="center"/>
        <w:rPr>
          <w:rFonts w:ascii="Times New Roman" w:eastAsia="DengXian" w:hAnsi="Times New Roman"/>
          <w:b/>
          <w:bCs/>
        </w:rPr>
      </w:pPr>
      <m:oMath>
        <m:r>
          <m:rPr>
            <m:sty m:val="bi"/>
          </m:rPr>
          <w:rPr>
            <w:rFonts w:ascii="Cambria Math" w:hAnsi="Cambria Math"/>
          </w:rPr>
          <m:t xml:space="preserve">5 x (1- </m:t>
        </m:r>
        <m:f>
          <m:fPr>
            <m:ctrlPr>
              <w:rPr>
                <w:rFonts w:ascii="Cambria Math" w:hAnsi="Cambria Math"/>
                <w:b/>
                <w:bCs/>
                <w:i/>
              </w:rPr>
            </m:ctrlPr>
          </m:fPr>
          <m:num>
            <m:r>
              <m:rPr>
                <m:sty m:val="bi"/>
              </m:rPr>
              <w:rPr>
                <w:rFonts w:ascii="Cambria Math" w:hAnsi="Cambria Math"/>
              </w:rPr>
              <m:t>0,015 x ludność w wieku produkcyjnym</m:t>
            </m:r>
          </m:num>
          <m:den>
            <m:r>
              <m:rPr>
                <m:sty m:val="bi"/>
              </m:rPr>
              <w:rPr>
                <w:rFonts w:ascii="Cambria Math" w:hAnsi="Cambria Math"/>
              </w:rPr>
              <m:t>liczba bezrobotnych</m:t>
            </m:r>
          </m:den>
        </m:f>
        <m:r>
          <m:rPr>
            <m:sty m:val="bi"/>
          </m:rPr>
          <w:rPr>
            <w:rFonts w:ascii="Cambria Math" w:hAnsi="Cambria Math"/>
          </w:rPr>
          <m:t>)</m:t>
        </m:r>
      </m:oMath>
      <w:r w:rsidRPr="00CE5D9A">
        <w:rPr>
          <w:rFonts w:ascii="Times New Roman" w:eastAsiaTheme="minorEastAsia" w:hAnsi="Times New Roman"/>
          <w:b/>
          <w:bCs/>
        </w:rPr>
        <w:t xml:space="preserve"> obszar</w:t>
      </w:r>
      <w:r w:rsidRPr="00CE5D9A">
        <w:rPr>
          <w:rFonts w:ascii="Times New Roman" w:eastAsia="DengXian" w:hAnsi="Times New Roman"/>
          <w:b/>
          <w:bCs/>
        </w:rPr>
        <w:t xml:space="preserve"> </w:t>
      </w:r>
      <w:r w:rsidR="00686DFE" w:rsidRPr="00CE5D9A">
        <w:rPr>
          <w:rFonts w:ascii="Times New Roman" w:eastAsia="DengXian" w:hAnsi="Times New Roman"/>
          <w:b/>
          <w:bCs/>
        </w:rPr>
        <w:t>LGD osiąga wartość 1,80.</w:t>
      </w:r>
    </w:p>
    <w:p w14:paraId="1BAE4806" w14:textId="77777777" w:rsidR="00686DFE" w:rsidRPr="00CE5D9A" w:rsidRDefault="00686DFE">
      <w:pPr>
        <w:pStyle w:val="Akapitzlist"/>
        <w:numPr>
          <w:ilvl w:val="1"/>
          <w:numId w:val="15"/>
        </w:numPr>
        <w:spacing w:before="240" w:after="0"/>
        <w:ind w:left="1701" w:hanging="567"/>
        <w:contextualSpacing w:val="0"/>
        <w:rPr>
          <w:rFonts w:ascii="Times New Roman" w:hAnsi="Times New Roman"/>
          <w:b/>
          <w:bCs/>
        </w:rPr>
      </w:pPr>
      <w:r w:rsidRPr="00CE5D9A">
        <w:rPr>
          <w:rFonts w:ascii="Times New Roman" w:hAnsi="Times New Roman"/>
          <w:b/>
          <w:bCs/>
        </w:rPr>
        <w:t>Problemy społeczne</w:t>
      </w:r>
    </w:p>
    <w:p w14:paraId="080DC149" w14:textId="5311071D" w:rsidR="00686DFE" w:rsidRPr="00CE5D9A" w:rsidRDefault="00686DFE">
      <w:pPr>
        <w:spacing w:before="240" w:line="276" w:lineRule="auto"/>
        <w:ind w:firstLine="708"/>
        <w:jc w:val="both"/>
        <w:rPr>
          <w:rFonts w:ascii="Times New Roman" w:hAnsi="Times New Roman"/>
          <w:szCs w:val="20"/>
        </w:rPr>
      </w:pPr>
      <w:r w:rsidRPr="00CE5D9A">
        <w:rPr>
          <w:rFonts w:ascii="Times New Roman" w:hAnsi="Times New Roman"/>
          <w:szCs w:val="20"/>
        </w:rPr>
        <w:t xml:space="preserve">We wszystkich gminach obszaru </w:t>
      </w:r>
      <w:r w:rsidR="00EB66C4" w:rsidRPr="00EB66C4">
        <w:rPr>
          <w:rFonts w:ascii="Times New Roman" w:hAnsi="Times New Roman"/>
          <w:color w:val="FF0000"/>
        </w:rPr>
        <w:t>LGD Regionu Myślenickiego</w:t>
      </w:r>
      <w:r w:rsidR="00EB66C4" w:rsidRPr="00CE5D9A">
        <w:rPr>
          <w:rFonts w:ascii="Times New Roman" w:hAnsi="Times New Roman"/>
        </w:rPr>
        <w:t xml:space="preserve"> </w:t>
      </w:r>
      <w:r w:rsidRPr="00EB66C4">
        <w:rPr>
          <w:rFonts w:ascii="Times New Roman" w:hAnsi="Times New Roman"/>
          <w:strike/>
          <w:color w:val="FF0000"/>
          <w:szCs w:val="20"/>
        </w:rPr>
        <w:t>LGD „MDiG”</w:t>
      </w:r>
      <w:r w:rsidRPr="00EB66C4">
        <w:rPr>
          <w:rFonts w:ascii="Times New Roman" w:hAnsi="Times New Roman"/>
          <w:color w:val="FF0000"/>
          <w:szCs w:val="20"/>
        </w:rPr>
        <w:t xml:space="preserve"> </w:t>
      </w:r>
      <w:r w:rsidRPr="00CE5D9A">
        <w:rPr>
          <w:rFonts w:ascii="Times New Roman" w:hAnsi="Times New Roman"/>
          <w:szCs w:val="20"/>
        </w:rPr>
        <w:t xml:space="preserve">działają ośrodki pomocy społecznej, których zadaniem jest m.in. udzielanie pomocy społecznej osobom i rodzinom w trudnej sytuacji, w szczególności z powodu: ubóstwa, bezdomności, bezrobocia, niepełnosprawności, przemocy w rodzinie, potrzeby ochrony macierzyństwa lub wielodzietności, alkoholizmu, narkomanii, zdarzenia losowego itp. </w:t>
      </w:r>
    </w:p>
    <w:p w14:paraId="12BCC9FD" w14:textId="77777777" w:rsidR="00686DFE" w:rsidRPr="00CE5D9A" w:rsidRDefault="00686DFE">
      <w:pPr>
        <w:spacing w:after="0" w:line="276" w:lineRule="auto"/>
        <w:ind w:firstLine="708"/>
        <w:jc w:val="both"/>
        <w:rPr>
          <w:rFonts w:ascii="Times New Roman" w:hAnsi="Times New Roman"/>
          <w:szCs w:val="20"/>
        </w:rPr>
      </w:pPr>
      <w:r w:rsidRPr="00CE5D9A">
        <w:rPr>
          <w:rFonts w:ascii="Times New Roman" w:hAnsi="Times New Roman"/>
          <w:szCs w:val="20"/>
        </w:rPr>
        <w:t xml:space="preserve">Sytuację panującą na obszarze LGD w zakresie polityki społecznej obrazują następujące wskaźniki: </w:t>
      </w:r>
      <w:r w:rsidRPr="00CE5D9A">
        <w:rPr>
          <w:rFonts w:ascii="Times New Roman" w:hAnsi="Times New Roman"/>
          <w:i/>
          <w:iCs/>
          <w:szCs w:val="20"/>
        </w:rPr>
        <w:t>udział osób korzystających ze środowiskowej pomocy społecznej w liczbie mieszkańców ogółem, gospodarstwa domowe korzystające ze środowiskowej pomocy społecznej wg kryterium dochodowego na 10 tys. mieszkańców.</w:t>
      </w:r>
    </w:p>
    <w:p w14:paraId="6F9DB8C9" w14:textId="77777777" w:rsidR="00686DFE" w:rsidRPr="00CE5D9A" w:rsidRDefault="00686DFE">
      <w:pPr>
        <w:spacing w:line="276" w:lineRule="auto"/>
        <w:ind w:firstLine="708"/>
        <w:jc w:val="both"/>
        <w:rPr>
          <w:rFonts w:ascii="Times New Roman" w:hAnsi="Times New Roman"/>
          <w:szCs w:val="20"/>
        </w:rPr>
      </w:pPr>
      <w:bookmarkStart w:id="82" w:name="_Toc112838978"/>
      <w:r w:rsidRPr="00CE5D9A">
        <w:rPr>
          <w:rFonts w:ascii="Times New Roman" w:hAnsi="Times New Roman"/>
          <w:szCs w:val="20"/>
        </w:rPr>
        <w:t xml:space="preserve">Wartość wskaźnika </w:t>
      </w:r>
      <w:r w:rsidRPr="00CE5D9A">
        <w:rPr>
          <w:rFonts w:ascii="Times New Roman" w:hAnsi="Times New Roman"/>
          <w:i/>
          <w:iCs/>
          <w:szCs w:val="20"/>
        </w:rPr>
        <w:t xml:space="preserve">udział osób korzystających ze środowiskowej pomocy społecznej w liczbie mieszkańców ogółem </w:t>
      </w:r>
      <w:r w:rsidRPr="00CE5D9A">
        <w:rPr>
          <w:rFonts w:ascii="Times New Roman" w:hAnsi="Times New Roman"/>
          <w:szCs w:val="20"/>
        </w:rPr>
        <w:t>przedstawiono na wykresach 10 i 11.</w:t>
      </w:r>
    </w:p>
    <w:p w14:paraId="10C6FAF9" w14:textId="07A2D81C" w:rsidR="00686DFE" w:rsidRPr="00CE5D9A" w:rsidRDefault="00686DFE">
      <w:pPr>
        <w:pStyle w:val="Legenda"/>
        <w:spacing w:after="0"/>
        <w:jc w:val="center"/>
        <w:rPr>
          <w:rFonts w:ascii="Times New Roman" w:hAnsi="Times New Roman"/>
          <w:b/>
          <w:bCs/>
          <w:i w:val="0"/>
          <w:iCs w:val="0"/>
          <w:color w:val="auto"/>
          <w:sz w:val="20"/>
          <w:szCs w:val="20"/>
        </w:rPr>
      </w:pPr>
      <w:bookmarkStart w:id="83" w:name="_Toc134966322"/>
      <w:bookmarkStart w:id="84" w:name="_Toc194581419"/>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10</w:t>
      </w:r>
      <w:r w:rsidRPr="00CE5D9A">
        <w:rPr>
          <w:rFonts w:ascii="Times New Roman" w:hAnsi="Times New Roman"/>
          <w:b/>
          <w:bCs/>
          <w:i w:val="0"/>
          <w:iCs w:val="0"/>
          <w:color w:val="auto"/>
          <w:sz w:val="20"/>
          <w:szCs w:val="20"/>
        </w:rPr>
        <w:fldChar w:fldCharType="end"/>
      </w:r>
      <w:r w:rsidRPr="00CE5D9A">
        <w:rPr>
          <w:color w:val="auto"/>
        </w:rPr>
        <w:t xml:space="preserve"> </w:t>
      </w:r>
      <w:r w:rsidRPr="00CE5D9A">
        <w:rPr>
          <w:rFonts w:ascii="Times New Roman" w:hAnsi="Times New Roman"/>
          <w:b/>
          <w:bCs/>
          <w:i w:val="0"/>
          <w:iCs w:val="0"/>
          <w:color w:val="auto"/>
          <w:sz w:val="20"/>
          <w:szCs w:val="20"/>
        </w:rPr>
        <w:t>Udział osób korzystających ze środowiskowej pomocy społecznej w liczbie mieszkańców ogółem na obszarze LGD w latach 2016–202</w:t>
      </w:r>
      <w:bookmarkEnd w:id="82"/>
      <w:r w:rsidRPr="00CE5D9A">
        <w:rPr>
          <w:rFonts w:ascii="Times New Roman" w:hAnsi="Times New Roman"/>
          <w:b/>
          <w:bCs/>
          <w:i w:val="0"/>
          <w:iCs w:val="0"/>
          <w:color w:val="auto"/>
          <w:sz w:val="20"/>
          <w:szCs w:val="20"/>
        </w:rPr>
        <w:t>0</w:t>
      </w:r>
      <w:bookmarkEnd w:id="83"/>
      <w:bookmarkEnd w:id="84"/>
    </w:p>
    <w:p w14:paraId="3C96D0FD" w14:textId="77777777" w:rsidR="00686DFE" w:rsidRPr="00CE5D9A" w:rsidRDefault="007E6007">
      <w:pPr>
        <w:spacing w:after="0" w:line="240" w:lineRule="auto"/>
        <w:jc w:val="center"/>
      </w:pPr>
      <w:r w:rsidRPr="00CE5D9A">
        <w:rPr>
          <w:noProof/>
          <w:lang w:eastAsia="pl-PL"/>
        </w:rPr>
        <w:t xml:space="preserve"> </w:t>
      </w:r>
      <w:r w:rsidRPr="00CE5D9A">
        <w:rPr>
          <w:noProof/>
          <w:lang w:eastAsia="pl-PL"/>
        </w:rPr>
        <w:drawing>
          <wp:inline distT="0" distB="0" distL="0" distR="0" wp14:anchorId="0A9FC50C" wp14:editId="2E570A8B">
            <wp:extent cx="5334000" cy="2240280"/>
            <wp:effectExtent l="0" t="0" r="0" b="7620"/>
            <wp:docPr id="13" name="Wykres 13">
              <a:extLst xmlns:a="http://schemas.openxmlformats.org/drawingml/2006/main">
                <a:ext uri="{FF2B5EF4-FFF2-40B4-BE49-F238E27FC236}">
                  <a16:creationId xmlns:a16="http://schemas.microsoft.com/office/drawing/2014/main" id="{22A3754F-4A2E-B005-110E-0F1D7D67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DC4C09" w14:textId="77777777" w:rsidR="00686DFE" w:rsidRPr="00CE5D9A" w:rsidRDefault="00686DFE">
      <w:pPr>
        <w:spacing w:after="0" w:line="240"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bookmarkStart w:id="85" w:name="_Toc112838939"/>
    </w:p>
    <w:p w14:paraId="1E5DABBF" w14:textId="13DD81F9" w:rsidR="00686DFE" w:rsidRPr="00CE5D9A" w:rsidRDefault="00686DFE">
      <w:pPr>
        <w:spacing w:before="240" w:after="0" w:line="240" w:lineRule="auto"/>
        <w:jc w:val="center"/>
        <w:rPr>
          <w:rFonts w:ascii="Times New Roman" w:hAnsi="Times New Roman"/>
          <w:b/>
          <w:bCs/>
          <w:sz w:val="20"/>
          <w:szCs w:val="20"/>
        </w:rPr>
      </w:pPr>
      <w:bookmarkStart w:id="86" w:name="_Toc134966323"/>
      <w:bookmarkStart w:id="87" w:name="_Toc120467307"/>
      <w:bookmarkStart w:id="88" w:name="_Toc194581420"/>
      <w:bookmarkEnd w:id="85"/>
      <w:r w:rsidRPr="00CE5D9A">
        <w:rPr>
          <w:rFonts w:ascii="Times New Roman" w:hAnsi="Times New Roman"/>
          <w:b/>
          <w:bCs/>
          <w:sz w:val="20"/>
          <w:szCs w:val="20"/>
        </w:rPr>
        <w:t xml:space="preserve">Wykres </w:t>
      </w:r>
      <w:r w:rsidRPr="00CE5D9A">
        <w:rPr>
          <w:rFonts w:ascii="Times New Roman" w:hAnsi="Times New Roman"/>
          <w:i/>
          <w:iCs/>
          <w:sz w:val="18"/>
          <w:szCs w:val="18"/>
        </w:rPr>
        <w:fldChar w:fldCharType="begin"/>
      </w:r>
      <w:r w:rsidRPr="00CE5D9A">
        <w:rPr>
          <w:rFonts w:ascii="Times New Roman" w:hAnsi="Times New Roman"/>
          <w:b/>
          <w:bCs/>
          <w:sz w:val="20"/>
          <w:szCs w:val="20"/>
        </w:rPr>
        <w:instrText xml:space="preserve"> SEQ Wykres \* ARABIC </w:instrText>
      </w:r>
      <w:r w:rsidRPr="00CE5D9A">
        <w:rPr>
          <w:rFonts w:ascii="Times New Roman" w:hAnsi="Times New Roman"/>
          <w:i/>
          <w:iCs/>
          <w:sz w:val="18"/>
          <w:szCs w:val="18"/>
        </w:rPr>
        <w:fldChar w:fldCharType="separate"/>
      </w:r>
      <w:r w:rsidR="00AD7096">
        <w:rPr>
          <w:rFonts w:ascii="Times New Roman" w:hAnsi="Times New Roman"/>
          <w:b/>
          <w:bCs/>
          <w:noProof/>
          <w:sz w:val="20"/>
          <w:szCs w:val="20"/>
        </w:rPr>
        <w:t>11</w:t>
      </w:r>
      <w:r w:rsidRPr="00CE5D9A">
        <w:rPr>
          <w:rFonts w:ascii="Times New Roman" w:hAnsi="Times New Roman"/>
          <w:i/>
          <w:iCs/>
          <w:sz w:val="18"/>
          <w:szCs w:val="18"/>
        </w:rPr>
        <w:fldChar w:fldCharType="end"/>
      </w:r>
      <w:r w:rsidRPr="00CE5D9A">
        <w:rPr>
          <w:rFonts w:ascii="Times New Roman" w:hAnsi="Times New Roman"/>
          <w:b/>
          <w:bCs/>
          <w:sz w:val="20"/>
          <w:szCs w:val="20"/>
        </w:rPr>
        <w:t xml:space="preserve"> Udział osób korzystających ze środowiskowej pomocy społecznej w liczbie mieszkańców ogółem na obszarze LGD w porównaniu do województwa i kraju w 2020 r.</w:t>
      </w:r>
      <w:bookmarkEnd w:id="86"/>
      <w:bookmarkEnd w:id="87"/>
      <w:bookmarkEnd w:id="88"/>
    </w:p>
    <w:p w14:paraId="0A9273E4" w14:textId="77777777" w:rsidR="00686DFE" w:rsidRPr="00CE5D9A" w:rsidRDefault="007E6007" w:rsidP="007E6007">
      <w:pPr>
        <w:spacing w:after="0" w:line="240" w:lineRule="auto"/>
        <w:jc w:val="center"/>
        <w:rPr>
          <w:rFonts w:ascii="Times New Roman" w:hAnsi="Times New Roman"/>
          <w:b/>
          <w:bCs/>
          <w:sz w:val="20"/>
          <w:szCs w:val="20"/>
        </w:rPr>
      </w:pPr>
      <w:r w:rsidRPr="00CE5D9A">
        <w:rPr>
          <w:noProof/>
          <w:lang w:eastAsia="pl-PL"/>
        </w:rPr>
        <w:t xml:space="preserve"> </w:t>
      </w:r>
      <w:r w:rsidRPr="00CE5D9A">
        <w:rPr>
          <w:noProof/>
          <w:lang w:eastAsia="pl-PL"/>
        </w:rPr>
        <w:drawing>
          <wp:inline distT="0" distB="0" distL="0" distR="0" wp14:anchorId="5C3C3E47" wp14:editId="0E2E0416">
            <wp:extent cx="4998720" cy="2545080"/>
            <wp:effectExtent l="0" t="0" r="0" b="7620"/>
            <wp:docPr id="19" name="Wykres 19">
              <a:extLst xmlns:a="http://schemas.openxmlformats.org/drawingml/2006/main">
                <a:ext uri="{FF2B5EF4-FFF2-40B4-BE49-F238E27FC236}">
                  <a16:creationId xmlns:a16="http://schemas.microsoft.com/office/drawing/2014/main" id="{1D9068F9-9DEB-FB62-D892-491D247BA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74A4F8" w14:textId="77777777" w:rsidR="00686DFE" w:rsidRPr="00CE5D9A" w:rsidRDefault="00686DFE">
      <w:pPr>
        <w:spacing w:line="27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28E98397" w14:textId="77777777" w:rsidR="00B95DAC" w:rsidRPr="00CE5D9A" w:rsidRDefault="00B95DAC">
      <w:pPr>
        <w:spacing w:before="240" w:line="276" w:lineRule="auto"/>
        <w:jc w:val="center"/>
        <w:rPr>
          <w:rFonts w:ascii="Times New Roman" w:hAnsi="Times New Roman"/>
          <w:b/>
          <w:bCs/>
        </w:rPr>
      </w:pPr>
    </w:p>
    <w:p w14:paraId="216A109C" w14:textId="77777777" w:rsidR="00686DFE" w:rsidRPr="00CE5D9A" w:rsidRDefault="00686DFE">
      <w:pPr>
        <w:spacing w:before="240" w:line="276" w:lineRule="auto"/>
        <w:jc w:val="center"/>
        <w:rPr>
          <w:rFonts w:ascii="Times New Roman" w:hAnsi="Times New Roman"/>
          <w:b/>
          <w:bCs/>
        </w:rPr>
      </w:pPr>
      <w:r w:rsidRPr="00CE5D9A">
        <w:rPr>
          <w:rFonts w:ascii="Times New Roman" w:hAnsi="Times New Roman"/>
          <w:b/>
          <w:bCs/>
        </w:rPr>
        <w:t xml:space="preserve">Przy obliczeniu wskaźnika </w:t>
      </w:r>
      <w:r w:rsidRPr="00CE5D9A">
        <w:rPr>
          <w:rFonts w:ascii="Times New Roman" w:hAnsi="Times New Roman"/>
          <w:b/>
          <w:bCs/>
          <w:i/>
          <w:iCs/>
        </w:rPr>
        <w:t>udział liczby osób korzystających ze środowiskowej pomocy społecznej na obszarze LSR w liczbie mieszkańców obszaru objętego LSR, według stanu na koniec 2020 r.</w:t>
      </w:r>
      <w:r w:rsidRPr="00CE5D9A">
        <w:rPr>
          <w:rFonts w:ascii="Times New Roman" w:hAnsi="Times New Roman"/>
          <w:b/>
          <w:bCs/>
        </w:rPr>
        <w:t xml:space="preserve"> ze wzoru:</w:t>
      </w:r>
    </w:p>
    <w:p w14:paraId="7D0BFD35" w14:textId="77777777" w:rsidR="00686DFE" w:rsidRPr="00CE5D9A" w:rsidRDefault="007E6007">
      <w:pPr>
        <w:spacing w:before="240" w:line="360" w:lineRule="auto"/>
        <w:jc w:val="center"/>
        <w:rPr>
          <w:rFonts w:ascii="Times New Roman" w:eastAsia="DengXian" w:hAnsi="Times New Roman"/>
          <w:b/>
          <w:bCs/>
        </w:rPr>
      </w:pPr>
      <m:oMath>
        <m:r>
          <m:rPr>
            <m:sty m:val="bi"/>
          </m:rPr>
          <w:rPr>
            <w:rFonts w:ascii="Cambria Math" w:hAnsi="Cambria Math"/>
          </w:rPr>
          <m:t xml:space="preserve">6 x (1- </m:t>
        </m:r>
        <m:f>
          <m:fPr>
            <m:ctrlPr>
              <w:rPr>
                <w:rFonts w:ascii="Cambria Math" w:hAnsi="Cambria Math"/>
                <w:b/>
                <w:bCs/>
                <w:i/>
              </w:rPr>
            </m:ctrlPr>
          </m:fPr>
          <m:num>
            <m:r>
              <m:rPr>
                <m:sty m:val="bi"/>
              </m:rPr>
              <w:rPr>
                <w:rFonts w:ascii="Cambria Math" w:hAnsi="Cambria Math"/>
              </w:rPr>
              <m:t>0,015 x liczba mieszkańców</m:t>
            </m:r>
          </m:num>
          <m:den>
            <m:r>
              <m:rPr>
                <m:sty m:val="bi"/>
              </m:rPr>
              <w:rPr>
                <w:rFonts w:ascii="Cambria Math" w:hAnsi="Cambria Math"/>
              </w:rPr>
              <m:t>liczba osób korzystających z pomocy społecznej</m:t>
            </m:r>
          </m:den>
        </m:f>
        <m:r>
          <m:rPr>
            <m:sty m:val="bi"/>
          </m:rPr>
          <w:rPr>
            <w:rFonts w:ascii="Cambria Math" w:hAnsi="Cambria Math"/>
          </w:rPr>
          <m:t>)</m:t>
        </m:r>
      </m:oMath>
      <w:r w:rsidRPr="00CE5D9A">
        <w:rPr>
          <w:rFonts w:ascii="Times New Roman" w:eastAsiaTheme="minorEastAsia" w:hAnsi="Times New Roman"/>
          <w:b/>
          <w:bCs/>
        </w:rPr>
        <w:t xml:space="preserve"> obszar</w:t>
      </w:r>
      <w:r w:rsidR="00686DFE" w:rsidRPr="00CE5D9A">
        <w:rPr>
          <w:rFonts w:ascii="Times New Roman" w:eastAsia="DengXian" w:hAnsi="Times New Roman"/>
          <w:b/>
          <w:bCs/>
        </w:rPr>
        <w:t xml:space="preserve"> LGD osiąga wartość 3,14.</w:t>
      </w:r>
    </w:p>
    <w:p w14:paraId="4FFDDC37" w14:textId="77777777" w:rsidR="00686DFE" w:rsidRPr="00CE5D9A" w:rsidRDefault="00686DFE" w:rsidP="007E6007">
      <w:pPr>
        <w:spacing w:line="276" w:lineRule="auto"/>
        <w:ind w:firstLine="708"/>
        <w:jc w:val="both"/>
        <w:rPr>
          <w:rFonts w:ascii="Times New Roman" w:hAnsi="Times New Roman"/>
        </w:rPr>
      </w:pPr>
      <w:r w:rsidRPr="00CE5D9A">
        <w:rPr>
          <w:rFonts w:ascii="Times New Roman" w:hAnsi="Times New Roman"/>
        </w:rPr>
        <w:t xml:space="preserve">W tabeli 9 przedstawiono wartości wskaźnika </w:t>
      </w:r>
      <w:bookmarkStart w:id="89" w:name="_Hlk111039219"/>
      <w:r w:rsidRPr="00CE5D9A">
        <w:rPr>
          <w:rFonts w:ascii="Times New Roman" w:hAnsi="Times New Roman"/>
          <w:i/>
          <w:iCs/>
        </w:rPr>
        <w:t>gospodarstwa domowe korzystające ze środowiskowej pomocy społecznej wg kryterium dochodowego ogółem na 10 tys. mieszkańców</w:t>
      </w:r>
      <w:bookmarkEnd w:id="89"/>
      <w:r w:rsidRPr="00CE5D9A">
        <w:rPr>
          <w:rFonts w:ascii="Times New Roman" w:hAnsi="Times New Roman"/>
        </w:rPr>
        <w:t xml:space="preserve">. </w:t>
      </w:r>
    </w:p>
    <w:p w14:paraId="58F6193F" w14:textId="42DF173C" w:rsidR="00686DFE" w:rsidRPr="00CE5D9A" w:rsidRDefault="00686DFE">
      <w:pPr>
        <w:pStyle w:val="Legenda"/>
        <w:spacing w:after="0"/>
        <w:jc w:val="center"/>
        <w:rPr>
          <w:rFonts w:ascii="Times New Roman" w:hAnsi="Times New Roman"/>
          <w:b/>
          <w:bCs/>
          <w:i w:val="0"/>
          <w:iCs w:val="0"/>
          <w:color w:val="auto"/>
          <w:sz w:val="20"/>
          <w:szCs w:val="20"/>
        </w:rPr>
      </w:pPr>
      <w:bookmarkStart w:id="90" w:name="_Toc112152413"/>
      <w:bookmarkStart w:id="91" w:name="_Toc134966358"/>
      <w:bookmarkStart w:id="92" w:name="_Toc194581433"/>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9</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Gospodarstwa domowe korzystające ze środowiskowej pomocy społecznej wg kryterium dochodowego </w:t>
      </w:r>
      <w:r w:rsidRPr="00CE5D9A">
        <w:rPr>
          <w:rFonts w:ascii="Times New Roman" w:hAnsi="Times New Roman"/>
          <w:b/>
          <w:bCs/>
          <w:i w:val="0"/>
          <w:iCs w:val="0"/>
          <w:color w:val="auto"/>
          <w:sz w:val="20"/>
          <w:szCs w:val="20"/>
        </w:rPr>
        <w:br/>
        <w:t xml:space="preserve">ogółem na 10 tys. mieszkańców w gminach LGD oraz porównanie średniej obszaru LGD do województwa </w:t>
      </w:r>
      <w:r w:rsidRPr="00CE5D9A">
        <w:rPr>
          <w:rFonts w:ascii="Times New Roman" w:hAnsi="Times New Roman"/>
          <w:b/>
          <w:bCs/>
          <w:i w:val="0"/>
          <w:iCs w:val="0"/>
          <w:color w:val="auto"/>
          <w:sz w:val="20"/>
          <w:szCs w:val="20"/>
        </w:rPr>
        <w:br/>
        <w:t>i kraju w latach 2016–202</w:t>
      </w:r>
      <w:bookmarkEnd w:id="90"/>
      <w:r w:rsidRPr="00CE5D9A">
        <w:rPr>
          <w:rFonts w:ascii="Times New Roman" w:hAnsi="Times New Roman"/>
          <w:b/>
          <w:bCs/>
          <w:i w:val="0"/>
          <w:iCs w:val="0"/>
          <w:color w:val="auto"/>
          <w:sz w:val="20"/>
          <w:szCs w:val="20"/>
        </w:rPr>
        <w:t>1</w:t>
      </w:r>
      <w:bookmarkEnd w:id="91"/>
      <w:bookmarkEnd w:id="92"/>
    </w:p>
    <w:tbl>
      <w:tblPr>
        <w:tblW w:w="5000" w:type="pct"/>
        <w:tblCellMar>
          <w:left w:w="70" w:type="dxa"/>
          <w:right w:w="70" w:type="dxa"/>
        </w:tblCellMar>
        <w:tblLook w:val="0000" w:firstRow="0" w:lastRow="0" w:firstColumn="0" w:lastColumn="0" w:noHBand="0" w:noVBand="0"/>
      </w:tblPr>
      <w:tblGrid>
        <w:gridCol w:w="3539"/>
        <w:gridCol w:w="1347"/>
        <w:gridCol w:w="1295"/>
        <w:gridCol w:w="1438"/>
        <w:gridCol w:w="1293"/>
        <w:gridCol w:w="1432"/>
      </w:tblGrid>
      <w:tr w:rsidR="00686DFE" w:rsidRPr="00CE5D9A" w14:paraId="70030D1A" w14:textId="77777777">
        <w:trPr>
          <w:trHeight w:val="340"/>
        </w:trPr>
        <w:tc>
          <w:tcPr>
            <w:tcW w:w="1711" w:type="pct"/>
            <w:tcBorders>
              <w:top w:val="single" w:sz="4" w:space="0" w:color="auto"/>
              <w:left w:val="single" w:sz="4" w:space="0" w:color="auto"/>
              <w:bottom w:val="single" w:sz="4" w:space="0" w:color="auto"/>
              <w:right w:val="single" w:sz="4" w:space="0" w:color="auto"/>
            </w:tcBorders>
            <w:noWrap/>
            <w:vAlign w:val="center"/>
          </w:tcPr>
          <w:p w14:paraId="74337BF9"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651" w:type="pct"/>
            <w:tcBorders>
              <w:top w:val="single" w:sz="4" w:space="0" w:color="auto"/>
              <w:left w:val="nil"/>
              <w:bottom w:val="single" w:sz="4" w:space="0" w:color="auto"/>
              <w:right w:val="single" w:sz="4" w:space="0" w:color="auto"/>
            </w:tcBorders>
            <w:noWrap/>
            <w:vAlign w:val="center"/>
          </w:tcPr>
          <w:p w14:paraId="7627E37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626" w:type="pct"/>
            <w:tcBorders>
              <w:top w:val="single" w:sz="4" w:space="0" w:color="auto"/>
              <w:left w:val="nil"/>
              <w:bottom w:val="single" w:sz="4" w:space="0" w:color="auto"/>
              <w:right w:val="single" w:sz="4" w:space="0" w:color="auto"/>
            </w:tcBorders>
            <w:noWrap/>
            <w:vAlign w:val="center"/>
          </w:tcPr>
          <w:p w14:paraId="734EF8C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695" w:type="pct"/>
            <w:tcBorders>
              <w:top w:val="single" w:sz="4" w:space="0" w:color="auto"/>
              <w:left w:val="nil"/>
              <w:bottom w:val="single" w:sz="4" w:space="0" w:color="auto"/>
              <w:right w:val="single" w:sz="4" w:space="0" w:color="auto"/>
            </w:tcBorders>
            <w:noWrap/>
            <w:vAlign w:val="center"/>
          </w:tcPr>
          <w:p w14:paraId="37AA669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625" w:type="pct"/>
            <w:tcBorders>
              <w:top w:val="single" w:sz="4" w:space="0" w:color="auto"/>
              <w:left w:val="nil"/>
              <w:bottom w:val="single" w:sz="4" w:space="0" w:color="auto"/>
              <w:right w:val="single" w:sz="4" w:space="0" w:color="auto"/>
            </w:tcBorders>
            <w:noWrap/>
            <w:vAlign w:val="center"/>
          </w:tcPr>
          <w:p w14:paraId="1F2FBF8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692" w:type="pct"/>
            <w:tcBorders>
              <w:top w:val="single" w:sz="4" w:space="0" w:color="auto"/>
              <w:left w:val="nil"/>
              <w:bottom w:val="single" w:sz="4" w:space="0" w:color="auto"/>
              <w:right w:val="single" w:sz="4" w:space="0" w:color="auto"/>
            </w:tcBorders>
            <w:noWrap/>
            <w:vAlign w:val="center"/>
          </w:tcPr>
          <w:p w14:paraId="05D24DE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r>
      <w:tr w:rsidR="00686DFE" w:rsidRPr="00CE5D9A" w14:paraId="1593E798"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401A802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651" w:type="pct"/>
            <w:tcBorders>
              <w:top w:val="nil"/>
              <w:left w:val="nil"/>
              <w:bottom w:val="single" w:sz="4" w:space="0" w:color="auto"/>
              <w:right w:val="single" w:sz="4" w:space="0" w:color="auto"/>
            </w:tcBorders>
            <w:noWrap/>
            <w:vAlign w:val="center"/>
          </w:tcPr>
          <w:p w14:paraId="53B32C9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191</w:t>
            </w:r>
          </w:p>
        </w:tc>
        <w:tc>
          <w:tcPr>
            <w:tcW w:w="626" w:type="pct"/>
            <w:tcBorders>
              <w:top w:val="nil"/>
              <w:left w:val="nil"/>
              <w:bottom w:val="single" w:sz="4" w:space="0" w:color="auto"/>
              <w:right w:val="single" w:sz="4" w:space="0" w:color="auto"/>
            </w:tcBorders>
            <w:noWrap/>
            <w:vAlign w:val="center"/>
          </w:tcPr>
          <w:p w14:paraId="1BC351B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144</w:t>
            </w:r>
          </w:p>
        </w:tc>
        <w:tc>
          <w:tcPr>
            <w:tcW w:w="695" w:type="pct"/>
            <w:tcBorders>
              <w:top w:val="nil"/>
              <w:left w:val="nil"/>
              <w:bottom w:val="single" w:sz="4" w:space="0" w:color="auto"/>
              <w:right w:val="single" w:sz="4" w:space="0" w:color="auto"/>
            </w:tcBorders>
            <w:noWrap/>
            <w:vAlign w:val="center"/>
          </w:tcPr>
          <w:p w14:paraId="2F22825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141</w:t>
            </w:r>
          </w:p>
        </w:tc>
        <w:tc>
          <w:tcPr>
            <w:tcW w:w="625" w:type="pct"/>
            <w:tcBorders>
              <w:top w:val="nil"/>
              <w:left w:val="nil"/>
              <w:bottom w:val="single" w:sz="4" w:space="0" w:color="auto"/>
              <w:right w:val="single" w:sz="4" w:space="0" w:color="auto"/>
            </w:tcBorders>
            <w:noWrap/>
            <w:vAlign w:val="center"/>
          </w:tcPr>
          <w:p w14:paraId="59EE370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139</w:t>
            </w:r>
          </w:p>
        </w:tc>
        <w:tc>
          <w:tcPr>
            <w:tcW w:w="692" w:type="pct"/>
            <w:tcBorders>
              <w:top w:val="nil"/>
              <w:left w:val="nil"/>
              <w:bottom w:val="single" w:sz="4" w:space="0" w:color="auto"/>
              <w:right w:val="single" w:sz="4" w:space="0" w:color="auto"/>
            </w:tcBorders>
            <w:noWrap/>
            <w:vAlign w:val="center"/>
          </w:tcPr>
          <w:p w14:paraId="22C25DC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125</w:t>
            </w:r>
          </w:p>
        </w:tc>
      </w:tr>
      <w:tr w:rsidR="00686DFE" w:rsidRPr="00CE5D9A" w14:paraId="139B2B54" w14:textId="77777777">
        <w:trPr>
          <w:trHeight w:val="397"/>
        </w:trPr>
        <w:tc>
          <w:tcPr>
            <w:tcW w:w="1711" w:type="pct"/>
            <w:tcBorders>
              <w:top w:val="single" w:sz="4" w:space="0" w:color="auto"/>
              <w:left w:val="single" w:sz="4" w:space="0" w:color="auto"/>
              <w:bottom w:val="single" w:sz="4" w:space="0" w:color="auto"/>
              <w:right w:val="single" w:sz="4" w:space="0" w:color="auto"/>
            </w:tcBorders>
            <w:noWrap/>
            <w:vAlign w:val="center"/>
          </w:tcPr>
          <w:p w14:paraId="66287F5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651" w:type="pct"/>
            <w:tcBorders>
              <w:top w:val="single" w:sz="4" w:space="0" w:color="auto"/>
              <w:left w:val="single" w:sz="4" w:space="0" w:color="auto"/>
              <w:bottom w:val="single" w:sz="4" w:space="0" w:color="auto"/>
              <w:right w:val="single" w:sz="4" w:space="0" w:color="auto"/>
            </w:tcBorders>
            <w:noWrap/>
            <w:vAlign w:val="center"/>
          </w:tcPr>
          <w:p w14:paraId="3AA943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151</w:t>
            </w:r>
          </w:p>
        </w:tc>
        <w:tc>
          <w:tcPr>
            <w:tcW w:w="626" w:type="pct"/>
            <w:tcBorders>
              <w:top w:val="single" w:sz="4" w:space="0" w:color="auto"/>
              <w:left w:val="single" w:sz="4" w:space="0" w:color="auto"/>
              <w:bottom w:val="single" w:sz="4" w:space="0" w:color="auto"/>
              <w:right w:val="single" w:sz="4" w:space="0" w:color="auto"/>
            </w:tcBorders>
            <w:noWrap/>
            <w:vAlign w:val="center"/>
          </w:tcPr>
          <w:p w14:paraId="0A80463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132</w:t>
            </w:r>
          </w:p>
        </w:tc>
        <w:tc>
          <w:tcPr>
            <w:tcW w:w="695" w:type="pct"/>
            <w:tcBorders>
              <w:top w:val="single" w:sz="4" w:space="0" w:color="auto"/>
              <w:left w:val="single" w:sz="4" w:space="0" w:color="auto"/>
              <w:bottom w:val="single" w:sz="4" w:space="0" w:color="auto"/>
              <w:right w:val="single" w:sz="4" w:space="0" w:color="auto"/>
            </w:tcBorders>
            <w:noWrap/>
            <w:vAlign w:val="center"/>
          </w:tcPr>
          <w:p w14:paraId="76136D6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129</w:t>
            </w:r>
          </w:p>
        </w:tc>
        <w:tc>
          <w:tcPr>
            <w:tcW w:w="625" w:type="pct"/>
            <w:tcBorders>
              <w:top w:val="single" w:sz="4" w:space="0" w:color="auto"/>
              <w:left w:val="single" w:sz="4" w:space="0" w:color="auto"/>
              <w:bottom w:val="single" w:sz="4" w:space="0" w:color="auto"/>
              <w:right w:val="single" w:sz="4" w:space="0" w:color="auto"/>
            </w:tcBorders>
            <w:noWrap/>
            <w:vAlign w:val="center"/>
          </w:tcPr>
          <w:p w14:paraId="6259AB3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124</w:t>
            </w:r>
          </w:p>
        </w:tc>
        <w:tc>
          <w:tcPr>
            <w:tcW w:w="692" w:type="pct"/>
            <w:tcBorders>
              <w:top w:val="single" w:sz="4" w:space="0" w:color="auto"/>
              <w:left w:val="single" w:sz="4" w:space="0" w:color="auto"/>
              <w:bottom w:val="single" w:sz="4" w:space="0" w:color="auto"/>
              <w:right w:val="single" w:sz="4" w:space="0" w:color="auto"/>
            </w:tcBorders>
            <w:noWrap/>
            <w:vAlign w:val="center"/>
          </w:tcPr>
          <w:p w14:paraId="250A34E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112</w:t>
            </w:r>
          </w:p>
        </w:tc>
      </w:tr>
      <w:tr w:rsidR="00686DFE" w:rsidRPr="00CE5D9A" w14:paraId="5B4B17C0" w14:textId="77777777">
        <w:trPr>
          <w:trHeight w:val="397"/>
        </w:trPr>
        <w:tc>
          <w:tcPr>
            <w:tcW w:w="1711" w:type="pct"/>
            <w:tcBorders>
              <w:top w:val="single" w:sz="4" w:space="0" w:color="auto"/>
              <w:left w:val="single" w:sz="4" w:space="0" w:color="auto"/>
              <w:bottom w:val="single" w:sz="4" w:space="0" w:color="auto"/>
              <w:right w:val="single" w:sz="4" w:space="0" w:color="auto"/>
            </w:tcBorders>
            <w:noWrap/>
            <w:vAlign w:val="center"/>
          </w:tcPr>
          <w:p w14:paraId="42D9E09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651" w:type="pct"/>
            <w:tcBorders>
              <w:top w:val="single" w:sz="4" w:space="0" w:color="auto"/>
              <w:left w:val="single" w:sz="4" w:space="0" w:color="auto"/>
              <w:bottom w:val="single" w:sz="4" w:space="0" w:color="auto"/>
              <w:right w:val="single" w:sz="4" w:space="0" w:color="auto"/>
            </w:tcBorders>
            <w:noWrap/>
            <w:vAlign w:val="center"/>
          </w:tcPr>
          <w:p w14:paraId="3B8A386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176</w:t>
            </w:r>
          </w:p>
        </w:tc>
        <w:tc>
          <w:tcPr>
            <w:tcW w:w="626" w:type="pct"/>
            <w:tcBorders>
              <w:top w:val="single" w:sz="4" w:space="0" w:color="auto"/>
              <w:left w:val="single" w:sz="4" w:space="0" w:color="auto"/>
              <w:bottom w:val="single" w:sz="4" w:space="0" w:color="auto"/>
              <w:right w:val="single" w:sz="4" w:space="0" w:color="auto"/>
            </w:tcBorders>
            <w:noWrap/>
            <w:vAlign w:val="center"/>
          </w:tcPr>
          <w:p w14:paraId="40A3AE8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164</w:t>
            </w:r>
          </w:p>
        </w:tc>
        <w:tc>
          <w:tcPr>
            <w:tcW w:w="695" w:type="pct"/>
            <w:tcBorders>
              <w:top w:val="single" w:sz="4" w:space="0" w:color="auto"/>
              <w:left w:val="single" w:sz="4" w:space="0" w:color="auto"/>
              <w:bottom w:val="single" w:sz="4" w:space="0" w:color="auto"/>
              <w:right w:val="single" w:sz="4" w:space="0" w:color="auto"/>
            </w:tcBorders>
            <w:noWrap/>
            <w:vAlign w:val="center"/>
          </w:tcPr>
          <w:p w14:paraId="626C21D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155</w:t>
            </w:r>
          </w:p>
        </w:tc>
        <w:tc>
          <w:tcPr>
            <w:tcW w:w="625" w:type="pct"/>
            <w:tcBorders>
              <w:top w:val="single" w:sz="4" w:space="0" w:color="auto"/>
              <w:left w:val="single" w:sz="4" w:space="0" w:color="auto"/>
              <w:bottom w:val="single" w:sz="4" w:space="0" w:color="auto"/>
              <w:right w:val="single" w:sz="4" w:space="0" w:color="auto"/>
            </w:tcBorders>
            <w:noWrap/>
            <w:vAlign w:val="center"/>
          </w:tcPr>
          <w:p w14:paraId="695B7EB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138</w:t>
            </w:r>
          </w:p>
        </w:tc>
        <w:tc>
          <w:tcPr>
            <w:tcW w:w="692" w:type="pct"/>
            <w:tcBorders>
              <w:top w:val="single" w:sz="4" w:space="0" w:color="auto"/>
              <w:left w:val="single" w:sz="4" w:space="0" w:color="auto"/>
              <w:bottom w:val="single" w:sz="4" w:space="0" w:color="auto"/>
              <w:right w:val="single" w:sz="4" w:space="0" w:color="auto"/>
            </w:tcBorders>
            <w:noWrap/>
            <w:vAlign w:val="center"/>
          </w:tcPr>
          <w:p w14:paraId="7619EAA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125</w:t>
            </w:r>
          </w:p>
        </w:tc>
      </w:tr>
      <w:tr w:rsidR="00686DFE" w:rsidRPr="00CE5D9A" w14:paraId="67BF1682" w14:textId="77777777">
        <w:trPr>
          <w:trHeight w:val="397"/>
        </w:trPr>
        <w:tc>
          <w:tcPr>
            <w:tcW w:w="1711" w:type="pct"/>
            <w:tcBorders>
              <w:top w:val="single" w:sz="4" w:space="0" w:color="auto"/>
              <w:left w:val="single" w:sz="4" w:space="0" w:color="auto"/>
              <w:bottom w:val="single" w:sz="4" w:space="0" w:color="auto"/>
              <w:right w:val="single" w:sz="4" w:space="0" w:color="auto"/>
            </w:tcBorders>
            <w:noWrap/>
            <w:vAlign w:val="center"/>
          </w:tcPr>
          <w:p w14:paraId="6ADB04ED"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651" w:type="pct"/>
            <w:tcBorders>
              <w:top w:val="single" w:sz="4" w:space="0" w:color="auto"/>
              <w:left w:val="single" w:sz="4" w:space="0" w:color="auto"/>
              <w:bottom w:val="single" w:sz="4" w:space="0" w:color="auto"/>
              <w:right w:val="single" w:sz="4" w:space="0" w:color="auto"/>
            </w:tcBorders>
            <w:noWrap/>
            <w:vAlign w:val="center"/>
          </w:tcPr>
          <w:p w14:paraId="6F58F2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347</w:t>
            </w:r>
          </w:p>
        </w:tc>
        <w:tc>
          <w:tcPr>
            <w:tcW w:w="626" w:type="pct"/>
            <w:tcBorders>
              <w:top w:val="single" w:sz="4" w:space="0" w:color="auto"/>
              <w:left w:val="single" w:sz="4" w:space="0" w:color="auto"/>
              <w:bottom w:val="single" w:sz="4" w:space="0" w:color="auto"/>
              <w:right w:val="single" w:sz="4" w:space="0" w:color="auto"/>
            </w:tcBorders>
            <w:noWrap/>
            <w:vAlign w:val="center"/>
          </w:tcPr>
          <w:p w14:paraId="4262DD5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332</w:t>
            </w:r>
          </w:p>
        </w:tc>
        <w:tc>
          <w:tcPr>
            <w:tcW w:w="695" w:type="pct"/>
            <w:tcBorders>
              <w:top w:val="single" w:sz="4" w:space="0" w:color="auto"/>
              <w:left w:val="single" w:sz="4" w:space="0" w:color="auto"/>
              <w:bottom w:val="single" w:sz="4" w:space="0" w:color="auto"/>
              <w:right w:val="single" w:sz="4" w:space="0" w:color="auto"/>
            </w:tcBorders>
            <w:noWrap/>
            <w:vAlign w:val="center"/>
          </w:tcPr>
          <w:p w14:paraId="65D2549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285</w:t>
            </w:r>
          </w:p>
        </w:tc>
        <w:tc>
          <w:tcPr>
            <w:tcW w:w="625" w:type="pct"/>
            <w:tcBorders>
              <w:top w:val="single" w:sz="4" w:space="0" w:color="auto"/>
              <w:left w:val="single" w:sz="4" w:space="0" w:color="auto"/>
              <w:bottom w:val="single" w:sz="4" w:space="0" w:color="auto"/>
              <w:right w:val="single" w:sz="4" w:space="0" w:color="auto"/>
            </w:tcBorders>
            <w:noWrap/>
            <w:vAlign w:val="center"/>
          </w:tcPr>
          <w:p w14:paraId="51049DC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256</w:t>
            </w:r>
          </w:p>
        </w:tc>
        <w:tc>
          <w:tcPr>
            <w:tcW w:w="692" w:type="pct"/>
            <w:tcBorders>
              <w:top w:val="single" w:sz="4" w:space="0" w:color="auto"/>
              <w:left w:val="single" w:sz="4" w:space="0" w:color="auto"/>
              <w:bottom w:val="single" w:sz="4" w:space="0" w:color="auto"/>
              <w:right w:val="single" w:sz="4" w:space="0" w:color="auto"/>
            </w:tcBorders>
            <w:noWrap/>
            <w:vAlign w:val="center"/>
          </w:tcPr>
          <w:p w14:paraId="392551C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198</w:t>
            </w:r>
          </w:p>
        </w:tc>
      </w:tr>
      <w:tr w:rsidR="00116205" w:rsidRPr="00CE5D9A" w14:paraId="153A16E4" w14:textId="77777777" w:rsidTr="00116205">
        <w:trPr>
          <w:trHeight w:val="397"/>
        </w:trPr>
        <w:tc>
          <w:tcPr>
            <w:tcW w:w="1711" w:type="pct"/>
            <w:tcBorders>
              <w:top w:val="single" w:sz="4" w:space="0" w:color="auto"/>
              <w:left w:val="single" w:sz="4" w:space="0" w:color="auto"/>
              <w:bottom w:val="single" w:sz="4" w:space="0" w:color="auto"/>
              <w:right w:val="single" w:sz="4" w:space="0" w:color="auto"/>
            </w:tcBorders>
            <w:noWrap/>
            <w:vAlign w:val="center"/>
          </w:tcPr>
          <w:p w14:paraId="28CF638D" w14:textId="77777777" w:rsidR="00116205" w:rsidRPr="00CE5D9A" w:rsidRDefault="00116205" w:rsidP="00116205">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651" w:type="pct"/>
            <w:tcBorders>
              <w:top w:val="single" w:sz="4" w:space="0" w:color="auto"/>
              <w:left w:val="single" w:sz="4" w:space="0" w:color="auto"/>
              <w:bottom w:val="single" w:sz="4" w:space="0" w:color="auto"/>
              <w:right w:val="single" w:sz="4" w:space="0" w:color="auto"/>
            </w:tcBorders>
            <w:noWrap/>
            <w:vAlign w:val="center"/>
          </w:tcPr>
          <w:p w14:paraId="372AE866" w14:textId="77777777" w:rsidR="00116205" w:rsidRPr="00CE5D9A" w:rsidRDefault="00116205" w:rsidP="00116205">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218</w:t>
            </w:r>
          </w:p>
        </w:tc>
        <w:tc>
          <w:tcPr>
            <w:tcW w:w="626" w:type="pct"/>
            <w:tcBorders>
              <w:top w:val="single" w:sz="4" w:space="0" w:color="auto"/>
              <w:left w:val="single" w:sz="4" w:space="0" w:color="auto"/>
              <w:bottom w:val="single" w:sz="4" w:space="0" w:color="auto"/>
              <w:right w:val="single" w:sz="4" w:space="0" w:color="auto"/>
            </w:tcBorders>
            <w:noWrap/>
            <w:vAlign w:val="center"/>
          </w:tcPr>
          <w:p w14:paraId="0422522C" w14:textId="77777777" w:rsidR="00116205" w:rsidRPr="00CE5D9A" w:rsidRDefault="00116205" w:rsidP="00116205">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202</w:t>
            </w:r>
          </w:p>
        </w:tc>
        <w:tc>
          <w:tcPr>
            <w:tcW w:w="695" w:type="pct"/>
            <w:tcBorders>
              <w:top w:val="single" w:sz="4" w:space="0" w:color="auto"/>
              <w:left w:val="single" w:sz="4" w:space="0" w:color="auto"/>
              <w:bottom w:val="single" w:sz="4" w:space="0" w:color="auto"/>
              <w:right w:val="single" w:sz="4" w:space="0" w:color="auto"/>
            </w:tcBorders>
            <w:noWrap/>
            <w:vAlign w:val="center"/>
          </w:tcPr>
          <w:p w14:paraId="33B70F8B" w14:textId="77777777" w:rsidR="00116205" w:rsidRPr="00CE5D9A" w:rsidRDefault="00116205" w:rsidP="00116205">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177</w:t>
            </w:r>
          </w:p>
        </w:tc>
        <w:tc>
          <w:tcPr>
            <w:tcW w:w="625" w:type="pct"/>
            <w:tcBorders>
              <w:top w:val="single" w:sz="4" w:space="0" w:color="auto"/>
              <w:left w:val="single" w:sz="4" w:space="0" w:color="auto"/>
              <w:bottom w:val="single" w:sz="4" w:space="0" w:color="auto"/>
              <w:right w:val="single" w:sz="4" w:space="0" w:color="auto"/>
            </w:tcBorders>
            <w:noWrap/>
            <w:vAlign w:val="center"/>
          </w:tcPr>
          <w:p w14:paraId="10DC0BC2" w14:textId="77777777" w:rsidR="00116205" w:rsidRPr="00CE5D9A" w:rsidRDefault="00116205" w:rsidP="00116205">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162</w:t>
            </w:r>
          </w:p>
        </w:tc>
        <w:tc>
          <w:tcPr>
            <w:tcW w:w="692" w:type="pct"/>
            <w:tcBorders>
              <w:top w:val="single" w:sz="4" w:space="0" w:color="auto"/>
              <w:left w:val="single" w:sz="4" w:space="0" w:color="auto"/>
              <w:bottom w:val="single" w:sz="4" w:space="0" w:color="auto"/>
              <w:right w:val="single" w:sz="4" w:space="0" w:color="auto"/>
            </w:tcBorders>
            <w:noWrap/>
            <w:vAlign w:val="center"/>
          </w:tcPr>
          <w:p w14:paraId="64BBD728" w14:textId="77777777" w:rsidR="00116205" w:rsidRPr="00CE5D9A" w:rsidRDefault="00116205" w:rsidP="00116205">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127</w:t>
            </w:r>
          </w:p>
        </w:tc>
      </w:tr>
      <w:tr w:rsidR="00686DFE" w:rsidRPr="00CE5D9A" w14:paraId="61F27A1E" w14:textId="77777777">
        <w:trPr>
          <w:trHeight w:val="397"/>
        </w:trPr>
        <w:tc>
          <w:tcPr>
            <w:tcW w:w="1711" w:type="pct"/>
            <w:tcBorders>
              <w:top w:val="single" w:sz="4" w:space="0" w:color="auto"/>
              <w:left w:val="single" w:sz="4" w:space="0" w:color="auto"/>
              <w:bottom w:val="single" w:sz="4" w:space="0" w:color="auto"/>
              <w:right w:val="single" w:sz="4" w:space="0" w:color="auto"/>
            </w:tcBorders>
            <w:noWrap/>
            <w:vAlign w:val="center"/>
          </w:tcPr>
          <w:p w14:paraId="708CD7E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651" w:type="pct"/>
            <w:tcBorders>
              <w:top w:val="single" w:sz="4" w:space="0" w:color="auto"/>
              <w:left w:val="nil"/>
              <w:bottom w:val="single" w:sz="4" w:space="0" w:color="auto"/>
              <w:right w:val="single" w:sz="4" w:space="0" w:color="auto"/>
            </w:tcBorders>
            <w:noWrap/>
            <w:vAlign w:val="center"/>
          </w:tcPr>
          <w:p w14:paraId="6642D5A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197</w:t>
            </w:r>
          </w:p>
        </w:tc>
        <w:tc>
          <w:tcPr>
            <w:tcW w:w="626" w:type="pct"/>
            <w:tcBorders>
              <w:top w:val="single" w:sz="4" w:space="0" w:color="auto"/>
              <w:left w:val="nil"/>
              <w:bottom w:val="single" w:sz="4" w:space="0" w:color="auto"/>
              <w:right w:val="single" w:sz="4" w:space="0" w:color="auto"/>
            </w:tcBorders>
            <w:noWrap/>
            <w:vAlign w:val="center"/>
          </w:tcPr>
          <w:p w14:paraId="2D0AB4A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175</w:t>
            </w:r>
          </w:p>
        </w:tc>
        <w:tc>
          <w:tcPr>
            <w:tcW w:w="695" w:type="pct"/>
            <w:tcBorders>
              <w:top w:val="single" w:sz="4" w:space="0" w:color="auto"/>
              <w:left w:val="nil"/>
              <w:bottom w:val="single" w:sz="4" w:space="0" w:color="auto"/>
              <w:right w:val="single" w:sz="4" w:space="0" w:color="auto"/>
            </w:tcBorders>
            <w:noWrap/>
            <w:vAlign w:val="center"/>
          </w:tcPr>
          <w:p w14:paraId="0EC0DD0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152</w:t>
            </w:r>
          </w:p>
        </w:tc>
        <w:tc>
          <w:tcPr>
            <w:tcW w:w="625" w:type="pct"/>
            <w:tcBorders>
              <w:top w:val="single" w:sz="4" w:space="0" w:color="auto"/>
              <w:left w:val="nil"/>
              <w:bottom w:val="single" w:sz="4" w:space="0" w:color="auto"/>
              <w:right w:val="single" w:sz="4" w:space="0" w:color="auto"/>
            </w:tcBorders>
            <w:noWrap/>
            <w:vAlign w:val="center"/>
          </w:tcPr>
          <w:p w14:paraId="17EC538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151</w:t>
            </w:r>
          </w:p>
        </w:tc>
        <w:tc>
          <w:tcPr>
            <w:tcW w:w="692" w:type="pct"/>
            <w:tcBorders>
              <w:top w:val="single" w:sz="4" w:space="0" w:color="auto"/>
              <w:left w:val="nil"/>
              <w:bottom w:val="single" w:sz="4" w:space="0" w:color="auto"/>
              <w:right w:val="single" w:sz="4" w:space="0" w:color="auto"/>
            </w:tcBorders>
            <w:noWrap/>
            <w:vAlign w:val="center"/>
          </w:tcPr>
          <w:p w14:paraId="604C15F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136</w:t>
            </w:r>
          </w:p>
        </w:tc>
      </w:tr>
      <w:tr w:rsidR="00686DFE" w:rsidRPr="00CE5D9A" w14:paraId="0120A4AE"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2E43BA40"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651" w:type="pct"/>
            <w:tcBorders>
              <w:top w:val="nil"/>
              <w:left w:val="nil"/>
              <w:bottom w:val="single" w:sz="4" w:space="0" w:color="auto"/>
              <w:right w:val="single" w:sz="4" w:space="0" w:color="auto"/>
            </w:tcBorders>
            <w:noWrap/>
            <w:vAlign w:val="center"/>
          </w:tcPr>
          <w:p w14:paraId="774CEB8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187</w:t>
            </w:r>
          </w:p>
        </w:tc>
        <w:tc>
          <w:tcPr>
            <w:tcW w:w="626" w:type="pct"/>
            <w:tcBorders>
              <w:top w:val="nil"/>
              <w:left w:val="nil"/>
              <w:bottom w:val="single" w:sz="4" w:space="0" w:color="auto"/>
              <w:right w:val="single" w:sz="4" w:space="0" w:color="auto"/>
            </w:tcBorders>
            <w:noWrap/>
            <w:vAlign w:val="center"/>
          </w:tcPr>
          <w:p w14:paraId="5CF5C3A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172</w:t>
            </w:r>
          </w:p>
        </w:tc>
        <w:tc>
          <w:tcPr>
            <w:tcW w:w="695" w:type="pct"/>
            <w:tcBorders>
              <w:top w:val="nil"/>
              <w:left w:val="nil"/>
              <w:bottom w:val="single" w:sz="4" w:space="0" w:color="auto"/>
              <w:right w:val="single" w:sz="4" w:space="0" w:color="auto"/>
            </w:tcBorders>
            <w:noWrap/>
            <w:vAlign w:val="center"/>
          </w:tcPr>
          <w:p w14:paraId="5B5F13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161</w:t>
            </w:r>
          </w:p>
        </w:tc>
        <w:tc>
          <w:tcPr>
            <w:tcW w:w="625" w:type="pct"/>
            <w:tcBorders>
              <w:top w:val="nil"/>
              <w:left w:val="nil"/>
              <w:bottom w:val="single" w:sz="4" w:space="0" w:color="auto"/>
              <w:right w:val="single" w:sz="4" w:space="0" w:color="auto"/>
            </w:tcBorders>
            <w:noWrap/>
            <w:vAlign w:val="center"/>
          </w:tcPr>
          <w:p w14:paraId="6972E36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157</w:t>
            </w:r>
          </w:p>
        </w:tc>
        <w:tc>
          <w:tcPr>
            <w:tcW w:w="692" w:type="pct"/>
            <w:tcBorders>
              <w:top w:val="nil"/>
              <w:left w:val="nil"/>
              <w:bottom w:val="single" w:sz="4" w:space="0" w:color="auto"/>
              <w:right w:val="single" w:sz="4" w:space="0" w:color="auto"/>
            </w:tcBorders>
            <w:noWrap/>
            <w:vAlign w:val="center"/>
          </w:tcPr>
          <w:p w14:paraId="7789EB9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133</w:t>
            </w:r>
          </w:p>
        </w:tc>
      </w:tr>
      <w:tr w:rsidR="00686DFE" w:rsidRPr="00CE5D9A" w14:paraId="63BC8F39"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5C5A54F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651" w:type="pct"/>
            <w:tcBorders>
              <w:top w:val="nil"/>
              <w:left w:val="nil"/>
              <w:bottom w:val="single" w:sz="4" w:space="0" w:color="auto"/>
              <w:right w:val="single" w:sz="4" w:space="0" w:color="auto"/>
            </w:tcBorders>
            <w:noWrap/>
            <w:vAlign w:val="center"/>
          </w:tcPr>
          <w:p w14:paraId="107B6D7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263</w:t>
            </w:r>
          </w:p>
        </w:tc>
        <w:tc>
          <w:tcPr>
            <w:tcW w:w="626" w:type="pct"/>
            <w:tcBorders>
              <w:top w:val="nil"/>
              <w:left w:val="nil"/>
              <w:bottom w:val="single" w:sz="4" w:space="0" w:color="auto"/>
              <w:right w:val="single" w:sz="4" w:space="0" w:color="auto"/>
            </w:tcBorders>
            <w:noWrap/>
            <w:vAlign w:val="center"/>
          </w:tcPr>
          <w:p w14:paraId="6A224CD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226</w:t>
            </w:r>
          </w:p>
        </w:tc>
        <w:tc>
          <w:tcPr>
            <w:tcW w:w="695" w:type="pct"/>
            <w:tcBorders>
              <w:top w:val="nil"/>
              <w:left w:val="nil"/>
              <w:bottom w:val="single" w:sz="4" w:space="0" w:color="auto"/>
              <w:right w:val="single" w:sz="4" w:space="0" w:color="auto"/>
            </w:tcBorders>
            <w:noWrap/>
            <w:vAlign w:val="center"/>
          </w:tcPr>
          <w:p w14:paraId="40EA7DD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183</w:t>
            </w:r>
          </w:p>
        </w:tc>
        <w:tc>
          <w:tcPr>
            <w:tcW w:w="625" w:type="pct"/>
            <w:tcBorders>
              <w:top w:val="nil"/>
              <w:left w:val="nil"/>
              <w:bottom w:val="single" w:sz="4" w:space="0" w:color="auto"/>
              <w:right w:val="single" w:sz="4" w:space="0" w:color="auto"/>
            </w:tcBorders>
            <w:noWrap/>
            <w:vAlign w:val="center"/>
          </w:tcPr>
          <w:p w14:paraId="7EEA819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174</w:t>
            </w:r>
          </w:p>
        </w:tc>
        <w:tc>
          <w:tcPr>
            <w:tcW w:w="692" w:type="pct"/>
            <w:tcBorders>
              <w:top w:val="nil"/>
              <w:left w:val="nil"/>
              <w:bottom w:val="single" w:sz="4" w:space="0" w:color="auto"/>
              <w:right w:val="single" w:sz="4" w:space="0" w:color="auto"/>
            </w:tcBorders>
            <w:noWrap/>
            <w:vAlign w:val="center"/>
          </w:tcPr>
          <w:p w14:paraId="057B3C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191</w:t>
            </w:r>
          </w:p>
        </w:tc>
      </w:tr>
      <w:tr w:rsidR="00686DFE" w:rsidRPr="00CE5D9A" w14:paraId="01FBD014"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55C8011B" w14:textId="77777777" w:rsidR="00686DFE" w:rsidRPr="008F6A9A" w:rsidRDefault="00686DFE">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53CF743E" w14:textId="2D948C82" w:rsidR="008F6A9A" w:rsidRPr="00CE5D9A" w:rsidRDefault="008F6A9A">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651" w:type="pct"/>
            <w:tcBorders>
              <w:top w:val="nil"/>
              <w:left w:val="nil"/>
              <w:bottom w:val="single" w:sz="4" w:space="0" w:color="auto"/>
              <w:right w:val="single" w:sz="4" w:space="0" w:color="auto"/>
            </w:tcBorders>
            <w:noWrap/>
            <w:vAlign w:val="center"/>
          </w:tcPr>
          <w:p w14:paraId="58AB5600" w14:textId="77777777" w:rsidR="00686DFE" w:rsidRPr="00CE5D9A" w:rsidRDefault="00686DFE" w:rsidP="0011620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w:t>
            </w:r>
            <w:r w:rsidR="00116205" w:rsidRPr="00CE5D9A">
              <w:rPr>
                <w:rFonts w:ascii="Times New Roman" w:eastAsia="Times New Roman" w:hAnsi="Times New Roman"/>
                <w:b/>
                <w:bCs/>
                <w:sz w:val="20"/>
                <w:szCs w:val="20"/>
                <w:lang w:eastAsia="pl-PL"/>
              </w:rPr>
              <w:t>90</w:t>
            </w:r>
          </w:p>
        </w:tc>
        <w:tc>
          <w:tcPr>
            <w:tcW w:w="626" w:type="pct"/>
            <w:tcBorders>
              <w:top w:val="nil"/>
              <w:left w:val="nil"/>
              <w:bottom w:val="single" w:sz="4" w:space="0" w:color="auto"/>
              <w:right w:val="single" w:sz="4" w:space="0" w:color="auto"/>
            </w:tcBorders>
            <w:noWrap/>
            <w:vAlign w:val="center"/>
          </w:tcPr>
          <w:p w14:paraId="400F11EC" w14:textId="77777777" w:rsidR="00686DFE" w:rsidRPr="00CE5D9A" w:rsidRDefault="00686DFE" w:rsidP="0011620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16</w:t>
            </w:r>
            <w:r w:rsidR="00116205" w:rsidRPr="00CE5D9A">
              <w:rPr>
                <w:rFonts w:ascii="Times New Roman" w:eastAsia="Times New Roman" w:hAnsi="Times New Roman"/>
                <w:b/>
                <w:bCs/>
                <w:sz w:val="20"/>
                <w:szCs w:val="20"/>
                <w:lang w:eastAsia="pl-PL"/>
              </w:rPr>
              <w:t>9</w:t>
            </w:r>
          </w:p>
        </w:tc>
        <w:tc>
          <w:tcPr>
            <w:tcW w:w="695" w:type="pct"/>
            <w:tcBorders>
              <w:top w:val="nil"/>
              <w:left w:val="nil"/>
              <w:bottom w:val="single" w:sz="4" w:space="0" w:color="auto"/>
              <w:right w:val="single" w:sz="4" w:space="0" w:color="auto"/>
            </w:tcBorders>
            <w:noWrap/>
            <w:vAlign w:val="center"/>
          </w:tcPr>
          <w:p w14:paraId="1D2F4EFF" w14:textId="77777777" w:rsidR="00686DFE" w:rsidRPr="00CE5D9A" w:rsidRDefault="00686DFE" w:rsidP="0011620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15</w:t>
            </w:r>
            <w:r w:rsidR="00116205" w:rsidRPr="00CE5D9A">
              <w:rPr>
                <w:rFonts w:ascii="Times New Roman" w:eastAsia="Times New Roman" w:hAnsi="Times New Roman"/>
                <w:b/>
                <w:bCs/>
                <w:sz w:val="20"/>
                <w:szCs w:val="20"/>
                <w:lang w:eastAsia="pl-PL"/>
              </w:rPr>
              <w:t>5</w:t>
            </w:r>
          </w:p>
        </w:tc>
        <w:tc>
          <w:tcPr>
            <w:tcW w:w="625" w:type="pct"/>
            <w:tcBorders>
              <w:top w:val="nil"/>
              <w:left w:val="nil"/>
              <w:bottom w:val="single" w:sz="4" w:space="0" w:color="auto"/>
              <w:right w:val="single" w:sz="4" w:space="0" w:color="auto"/>
            </w:tcBorders>
            <w:noWrap/>
            <w:vAlign w:val="center"/>
          </w:tcPr>
          <w:p w14:paraId="3AF65252" w14:textId="77777777" w:rsidR="00686DFE" w:rsidRPr="00CE5D9A" w:rsidRDefault="00686DFE" w:rsidP="0011620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14</w:t>
            </w:r>
            <w:r w:rsidR="00116205" w:rsidRPr="00CE5D9A">
              <w:rPr>
                <w:rFonts w:ascii="Times New Roman" w:eastAsia="Times New Roman" w:hAnsi="Times New Roman"/>
                <w:b/>
                <w:bCs/>
                <w:sz w:val="20"/>
                <w:szCs w:val="20"/>
                <w:lang w:eastAsia="pl-PL"/>
              </w:rPr>
              <w:t>7</w:t>
            </w:r>
          </w:p>
        </w:tc>
        <w:tc>
          <w:tcPr>
            <w:tcW w:w="692" w:type="pct"/>
            <w:tcBorders>
              <w:top w:val="nil"/>
              <w:left w:val="nil"/>
              <w:bottom w:val="single" w:sz="4" w:space="0" w:color="auto"/>
              <w:right w:val="single" w:sz="4" w:space="0" w:color="auto"/>
            </w:tcBorders>
            <w:noWrap/>
            <w:vAlign w:val="center"/>
          </w:tcPr>
          <w:p w14:paraId="16C0EAC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131</w:t>
            </w:r>
          </w:p>
        </w:tc>
      </w:tr>
      <w:tr w:rsidR="00686DFE" w:rsidRPr="00CE5D9A" w14:paraId="6537A288"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346A457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651" w:type="pct"/>
            <w:tcBorders>
              <w:top w:val="nil"/>
              <w:left w:val="nil"/>
              <w:bottom w:val="single" w:sz="4" w:space="0" w:color="auto"/>
              <w:right w:val="single" w:sz="4" w:space="0" w:color="auto"/>
            </w:tcBorders>
            <w:noWrap/>
            <w:vAlign w:val="center"/>
          </w:tcPr>
          <w:p w14:paraId="6BF6C00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210</w:t>
            </w:r>
          </w:p>
        </w:tc>
        <w:tc>
          <w:tcPr>
            <w:tcW w:w="626" w:type="pct"/>
            <w:tcBorders>
              <w:top w:val="nil"/>
              <w:left w:val="nil"/>
              <w:bottom w:val="single" w:sz="4" w:space="0" w:color="auto"/>
              <w:right w:val="single" w:sz="4" w:space="0" w:color="auto"/>
            </w:tcBorders>
            <w:noWrap/>
            <w:vAlign w:val="center"/>
          </w:tcPr>
          <w:p w14:paraId="743235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195</w:t>
            </w:r>
          </w:p>
        </w:tc>
        <w:tc>
          <w:tcPr>
            <w:tcW w:w="695" w:type="pct"/>
            <w:tcBorders>
              <w:top w:val="nil"/>
              <w:left w:val="nil"/>
              <w:bottom w:val="single" w:sz="4" w:space="0" w:color="auto"/>
              <w:right w:val="single" w:sz="4" w:space="0" w:color="auto"/>
            </w:tcBorders>
            <w:noWrap/>
            <w:vAlign w:val="center"/>
          </w:tcPr>
          <w:p w14:paraId="452CB8E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187</w:t>
            </w:r>
          </w:p>
        </w:tc>
        <w:tc>
          <w:tcPr>
            <w:tcW w:w="625" w:type="pct"/>
            <w:tcBorders>
              <w:top w:val="nil"/>
              <w:left w:val="nil"/>
              <w:bottom w:val="single" w:sz="4" w:space="0" w:color="auto"/>
              <w:right w:val="single" w:sz="4" w:space="0" w:color="auto"/>
            </w:tcBorders>
            <w:noWrap/>
            <w:vAlign w:val="center"/>
          </w:tcPr>
          <w:p w14:paraId="5FBE839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177</w:t>
            </w:r>
          </w:p>
        </w:tc>
        <w:tc>
          <w:tcPr>
            <w:tcW w:w="692" w:type="pct"/>
            <w:tcBorders>
              <w:top w:val="nil"/>
              <w:left w:val="nil"/>
              <w:bottom w:val="single" w:sz="4" w:space="0" w:color="auto"/>
              <w:right w:val="single" w:sz="4" w:space="0" w:color="auto"/>
            </w:tcBorders>
            <w:noWrap/>
            <w:vAlign w:val="center"/>
          </w:tcPr>
          <w:p w14:paraId="2ACBBDA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163</w:t>
            </w:r>
          </w:p>
        </w:tc>
      </w:tr>
      <w:tr w:rsidR="00686DFE" w:rsidRPr="00CE5D9A" w14:paraId="3AA79947" w14:textId="77777777">
        <w:trPr>
          <w:trHeight w:val="397"/>
        </w:trPr>
        <w:tc>
          <w:tcPr>
            <w:tcW w:w="1711" w:type="pct"/>
            <w:tcBorders>
              <w:top w:val="nil"/>
              <w:left w:val="single" w:sz="4" w:space="0" w:color="auto"/>
              <w:bottom w:val="single" w:sz="4" w:space="0" w:color="auto"/>
              <w:right w:val="single" w:sz="4" w:space="0" w:color="auto"/>
            </w:tcBorders>
            <w:noWrap/>
            <w:vAlign w:val="center"/>
          </w:tcPr>
          <w:p w14:paraId="226326B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651" w:type="pct"/>
            <w:tcBorders>
              <w:top w:val="nil"/>
              <w:left w:val="nil"/>
              <w:bottom w:val="single" w:sz="4" w:space="0" w:color="auto"/>
              <w:right w:val="single" w:sz="4" w:space="0" w:color="auto"/>
            </w:tcBorders>
            <w:noWrap/>
            <w:vAlign w:val="center"/>
          </w:tcPr>
          <w:p w14:paraId="50D0A56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268</w:t>
            </w:r>
          </w:p>
        </w:tc>
        <w:tc>
          <w:tcPr>
            <w:tcW w:w="626" w:type="pct"/>
            <w:tcBorders>
              <w:top w:val="nil"/>
              <w:left w:val="nil"/>
              <w:bottom w:val="single" w:sz="4" w:space="0" w:color="auto"/>
              <w:right w:val="single" w:sz="4" w:space="0" w:color="auto"/>
            </w:tcBorders>
            <w:noWrap/>
            <w:vAlign w:val="center"/>
          </w:tcPr>
          <w:p w14:paraId="6F671E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249</w:t>
            </w:r>
          </w:p>
        </w:tc>
        <w:tc>
          <w:tcPr>
            <w:tcW w:w="695" w:type="pct"/>
            <w:tcBorders>
              <w:top w:val="nil"/>
              <w:left w:val="nil"/>
              <w:bottom w:val="single" w:sz="4" w:space="0" w:color="auto"/>
              <w:right w:val="single" w:sz="4" w:space="0" w:color="auto"/>
            </w:tcBorders>
            <w:noWrap/>
            <w:vAlign w:val="center"/>
          </w:tcPr>
          <w:p w14:paraId="6217DD1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233</w:t>
            </w:r>
          </w:p>
        </w:tc>
        <w:tc>
          <w:tcPr>
            <w:tcW w:w="625" w:type="pct"/>
            <w:tcBorders>
              <w:top w:val="nil"/>
              <w:left w:val="nil"/>
              <w:bottom w:val="single" w:sz="4" w:space="0" w:color="auto"/>
              <w:right w:val="single" w:sz="4" w:space="0" w:color="auto"/>
            </w:tcBorders>
            <w:noWrap/>
            <w:vAlign w:val="center"/>
          </w:tcPr>
          <w:p w14:paraId="4889052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215</w:t>
            </w:r>
          </w:p>
        </w:tc>
        <w:tc>
          <w:tcPr>
            <w:tcW w:w="692" w:type="pct"/>
            <w:tcBorders>
              <w:top w:val="nil"/>
              <w:left w:val="nil"/>
              <w:bottom w:val="single" w:sz="4" w:space="0" w:color="auto"/>
              <w:right w:val="single" w:sz="4" w:space="0" w:color="auto"/>
            </w:tcBorders>
            <w:noWrap/>
            <w:vAlign w:val="center"/>
          </w:tcPr>
          <w:p w14:paraId="4B98A96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200</w:t>
            </w:r>
          </w:p>
        </w:tc>
      </w:tr>
    </w:tbl>
    <w:p w14:paraId="4AB00FDC"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5F5D474F" w14:textId="77777777" w:rsidR="00686DFE" w:rsidRPr="00CE5D9A" w:rsidRDefault="00686DFE" w:rsidP="00131D5F">
      <w:pPr>
        <w:spacing w:after="0" w:line="276" w:lineRule="auto"/>
        <w:ind w:firstLine="708"/>
        <w:jc w:val="both"/>
        <w:rPr>
          <w:rFonts w:ascii="Times New Roman" w:hAnsi="Times New Roman"/>
        </w:rPr>
      </w:pPr>
      <w:r w:rsidRPr="00CE5D9A">
        <w:rPr>
          <w:rFonts w:ascii="Times New Roman" w:hAnsi="Times New Roman"/>
        </w:rPr>
        <w:t>Wartości wyżej analizowanych wskaźników (wykresy 10 i 11, tabela 9) corocznie maleją, co jest zjawiskiem pozytywnym, ale jednocześnie stanowi tendencję ogólnopolską. Ponadto średnie wartości dla LGD są niższe niż w województwie małopolskim i w Polsce.</w:t>
      </w:r>
    </w:p>
    <w:p w14:paraId="18857A1E"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Do zadań własnych powiatu należy m.in. opracowanie i realizacja powiatowej strategii rozwiązywania problemów społecznych, ze szczególnym uwzględnieniem programów pomocy społecznej, wspierania osób niepełnosprawnych i innych, których celem jest integracja osób i rodzin z grup szczególnego ryzyka, w związku z tym w GUS znajdują się wyłącznie dane powiatowe. Wśród mieszkańców powiatu myślenickiego, którzy w 2021 roku korzystali ze świadczeń z pomocy społecznej, było 820 osób z niepełnosprawnościami</w:t>
      </w:r>
      <w:r w:rsidRPr="00CE5D9A">
        <w:rPr>
          <w:rFonts w:ascii="Times New Roman" w:hAnsi="Times New Roman"/>
          <w:vertAlign w:val="superscript"/>
        </w:rPr>
        <w:footnoteReference w:id="10"/>
      </w:r>
      <w:r w:rsidRPr="00CE5D9A">
        <w:rPr>
          <w:rFonts w:ascii="Times New Roman" w:hAnsi="Times New Roman"/>
        </w:rPr>
        <w:t xml:space="preserve">. </w:t>
      </w:r>
    </w:p>
    <w:p w14:paraId="53AA914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 terenie powiatu myślenickiego funkcjonuje Powiatowy Zespół ds. Orzekania o Niepełnosprawności, który realizuje działalność orzeczniczą. W latach 2015–2020 Zespół wydawał każdego roku średnio 1 532 orzeczenia o stopniu niepełnosprawności. Rozkład osób niepełnosprawnych pod względem płci, na przestrzeni omawianego okresu, po uśrednieniu wskazywał na udział 54% mężczyzn oraz 46% kobiet. Pod względem struktury powodów zdrowotnych, będących podstawą wydania orzeczenia o stopniu niepełnosprawności wśród osób powyżej 16. roku życia, najczęściej w latach 2015–2020 otrzymywano orzeczenie z powodu upośledzenia narządów ruchu (co trzecia osoba)</w:t>
      </w:r>
      <w:r w:rsidRPr="00CE5D9A">
        <w:rPr>
          <w:rStyle w:val="Odwoanieprzypisudolnego"/>
          <w:rFonts w:ascii="Times New Roman" w:hAnsi="Times New Roman"/>
        </w:rPr>
        <w:footnoteReference w:id="11"/>
      </w:r>
      <w:r w:rsidRPr="00CE5D9A">
        <w:rPr>
          <w:rFonts w:ascii="Times New Roman" w:hAnsi="Times New Roman"/>
        </w:rPr>
        <w:t>.</w:t>
      </w:r>
    </w:p>
    <w:p w14:paraId="5193924D" w14:textId="77777777" w:rsidR="00131D5F" w:rsidRPr="00CE5D9A" w:rsidRDefault="00686DFE">
      <w:pPr>
        <w:spacing w:line="276" w:lineRule="auto"/>
        <w:ind w:firstLine="708"/>
        <w:jc w:val="both"/>
        <w:rPr>
          <w:rFonts w:ascii="Times New Roman" w:hAnsi="Times New Roman"/>
        </w:rPr>
      </w:pPr>
      <w:r w:rsidRPr="00CE5D9A">
        <w:rPr>
          <w:rFonts w:ascii="Times New Roman" w:hAnsi="Times New Roman"/>
        </w:rPr>
        <w:t>W latach 2016–2020 z dofinansowania likwidacji barier na terenie powiatu myślenickiego średnio każdego roku skorzystały 93 osoby niepełnosprawne, przy czym co dziewiąty benefi</w:t>
      </w:r>
      <w:r w:rsidR="00131D5F" w:rsidRPr="00CE5D9A">
        <w:rPr>
          <w:rFonts w:ascii="Times New Roman" w:hAnsi="Times New Roman"/>
        </w:rPr>
        <w:t>cjent należał do grupy dzieci i </w:t>
      </w:r>
      <w:r w:rsidRPr="00CE5D9A">
        <w:rPr>
          <w:rFonts w:ascii="Times New Roman" w:hAnsi="Times New Roman"/>
        </w:rPr>
        <w:t xml:space="preserve">młodzieży. Należy jednocześnie zwrócić uwagę, że do końca 2019 roku zauważalny był spadek liczby osób </w:t>
      </w:r>
      <w:r w:rsidRPr="00CE5D9A">
        <w:rPr>
          <w:rFonts w:ascii="Times New Roman" w:hAnsi="Times New Roman"/>
        </w:rPr>
        <w:lastRenderedPageBreak/>
        <w:t>korzystających z pomocy w tym zakresie. Jednak w 2020 roku liczba osób, które otrzymały dofinansowanie zwiększyła się o 23% w porównaniu do roku poprzedniego (tabela 10).</w:t>
      </w:r>
    </w:p>
    <w:p w14:paraId="25608172" w14:textId="0F6A630B" w:rsidR="00686DFE" w:rsidRPr="00CE5D9A" w:rsidRDefault="00686DFE">
      <w:pPr>
        <w:pStyle w:val="Legenda"/>
        <w:spacing w:after="0"/>
        <w:jc w:val="center"/>
        <w:rPr>
          <w:rFonts w:ascii="Times New Roman" w:hAnsi="Times New Roman"/>
          <w:b/>
          <w:bCs/>
          <w:i w:val="0"/>
          <w:iCs w:val="0"/>
          <w:color w:val="auto"/>
          <w:sz w:val="20"/>
          <w:szCs w:val="20"/>
        </w:rPr>
      </w:pPr>
      <w:bookmarkStart w:id="93" w:name="_Toc194581434"/>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10</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Dofinansowanie likwidacji barier architektonicznych, w komunikowaniu się i technicznych na terenie powiatu myślenickiego w latach 2016–2020</w:t>
      </w:r>
      <w:bookmarkEnd w:id="93"/>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1134"/>
        <w:gridCol w:w="858"/>
        <w:gridCol w:w="858"/>
        <w:gridCol w:w="859"/>
        <w:gridCol w:w="858"/>
        <w:gridCol w:w="859"/>
        <w:gridCol w:w="1162"/>
      </w:tblGrid>
      <w:tr w:rsidR="00686DFE" w:rsidRPr="00CE5D9A" w14:paraId="57C1505A" w14:textId="77777777" w:rsidTr="00ED6C99">
        <w:trPr>
          <w:trHeight w:val="340"/>
          <w:jc w:val="center"/>
        </w:trPr>
        <w:tc>
          <w:tcPr>
            <w:tcW w:w="3681" w:type="dxa"/>
            <w:vMerge w:val="restart"/>
            <w:shd w:val="clear" w:color="auto" w:fill="auto"/>
            <w:vAlign w:val="center"/>
          </w:tcPr>
          <w:p w14:paraId="0252B45B"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Nazwa zadania</w:t>
            </w:r>
          </w:p>
        </w:tc>
        <w:tc>
          <w:tcPr>
            <w:tcW w:w="1134" w:type="dxa"/>
            <w:vMerge w:val="restart"/>
            <w:shd w:val="clear" w:color="auto" w:fill="auto"/>
            <w:vAlign w:val="center"/>
          </w:tcPr>
          <w:p w14:paraId="39DDB48A"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Jednostka</w:t>
            </w:r>
          </w:p>
        </w:tc>
        <w:tc>
          <w:tcPr>
            <w:tcW w:w="4292" w:type="dxa"/>
            <w:gridSpan w:val="5"/>
            <w:shd w:val="clear" w:color="auto" w:fill="auto"/>
            <w:vAlign w:val="center"/>
          </w:tcPr>
          <w:p w14:paraId="0963F5CB"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Rok</w:t>
            </w:r>
          </w:p>
        </w:tc>
        <w:tc>
          <w:tcPr>
            <w:tcW w:w="1162" w:type="dxa"/>
            <w:vMerge w:val="restart"/>
            <w:shd w:val="clear" w:color="auto" w:fill="auto"/>
            <w:vAlign w:val="center"/>
          </w:tcPr>
          <w:p w14:paraId="5AD92730"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Suma końcowa</w:t>
            </w:r>
          </w:p>
        </w:tc>
      </w:tr>
      <w:tr w:rsidR="00686DFE" w:rsidRPr="00CE5D9A" w14:paraId="57C6F2C9" w14:textId="77777777" w:rsidTr="00ED6C99">
        <w:trPr>
          <w:trHeight w:val="340"/>
          <w:jc w:val="center"/>
        </w:trPr>
        <w:tc>
          <w:tcPr>
            <w:tcW w:w="3681" w:type="dxa"/>
            <w:vMerge/>
            <w:shd w:val="clear" w:color="auto" w:fill="auto"/>
            <w:vAlign w:val="center"/>
          </w:tcPr>
          <w:p w14:paraId="2E346676" w14:textId="77777777" w:rsidR="00686DFE" w:rsidRPr="00CE5D9A" w:rsidRDefault="00686DFE" w:rsidP="00ED6C99">
            <w:pPr>
              <w:spacing w:after="0" w:line="276" w:lineRule="auto"/>
              <w:jc w:val="center"/>
              <w:rPr>
                <w:rFonts w:ascii="Times New Roman" w:hAnsi="Times New Roman"/>
                <w:sz w:val="20"/>
                <w:szCs w:val="20"/>
              </w:rPr>
            </w:pPr>
          </w:p>
        </w:tc>
        <w:tc>
          <w:tcPr>
            <w:tcW w:w="1134" w:type="dxa"/>
            <w:vMerge/>
            <w:shd w:val="clear" w:color="auto" w:fill="auto"/>
            <w:vAlign w:val="center"/>
          </w:tcPr>
          <w:p w14:paraId="2B4B8793" w14:textId="77777777" w:rsidR="00686DFE" w:rsidRPr="00CE5D9A" w:rsidRDefault="00686DFE" w:rsidP="00ED6C99">
            <w:pPr>
              <w:spacing w:after="0" w:line="276" w:lineRule="auto"/>
              <w:jc w:val="center"/>
              <w:rPr>
                <w:rFonts w:ascii="Times New Roman" w:hAnsi="Times New Roman"/>
                <w:sz w:val="20"/>
                <w:szCs w:val="20"/>
              </w:rPr>
            </w:pPr>
          </w:p>
        </w:tc>
        <w:tc>
          <w:tcPr>
            <w:tcW w:w="858" w:type="dxa"/>
            <w:shd w:val="clear" w:color="auto" w:fill="auto"/>
            <w:vAlign w:val="center"/>
          </w:tcPr>
          <w:p w14:paraId="0B9CC98E"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2016</w:t>
            </w:r>
          </w:p>
        </w:tc>
        <w:tc>
          <w:tcPr>
            <w:tcW w:w="858" w:type="dxa"/>
            <w:shd w:val="clear" w:color="auto" w:fill="auto"/>
            <w:vAlign w:val="center"/>
          </w:tcPr>
          <w:p w14:paraId="18ECF413"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2017</w:t>
            </w:r>
          </w:p>
        </w:tc>
        <w:tc>
          <w:tcPr>
            <w:tcW w:w="859" w:type="dxa"/>
            <w:shd w:val="clear" w:color="auto" w:fill="auto"/>
            <w:vAlign w:val="center"/>
          </w:tcPr>
          <w:p w14:paraId="555C4C2D"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2018</w:t>
            </w:r>
          </w:p>
        </w:tc>
        <w:tc>
          <w:tcPr>
            <w:tcW w:w="858" w:type="dxa"/>
            <w:shd w:val="clear" w:color="auto" w:fill="auto"/>
            <w:vAlign w:val="center"/>
          </w:tcPr>
          <w:p w14:paraId="50E33AEE"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2019</w:t>
            </w:r>
          </w:p>
        </w:tc>
        <w:tc>
          <w:tcPr>
            <w:tcW w:w="859" w:type="dxa"/>
            <w:shd w:val="clear" w:color="auto" w:fill="auto"/>
            <w:vAlign w:val="center"/>
          </w:tcPr>
          <w:p w14:paraId="38589B79"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2020</w:t>
            </w:r>
          </w:p>
        </w:tc>
        <w:tc>
          <w:tcPr>
            <w:tcW w:w="1162" w:type="dxa"/>
            <w:vMerge/>
            <w:shd w:val="clear" w:color="auto" w:fill="auto"/>
            <w:vAlign w:val="center"/>
          </w:tcPr>
          <w:p w14:paraId="3A5130B9" w14:textId="77777777" w:rsidR="00686DFE" w:rsidRPr="00CE5D9A" w:rsidRDefault="00686DFE" w:rsidP="00ED6C99">
            <w:pPr>
              <w:spacing w:after="0" w:line="276" w:lineRule="auto"/>
              <w:jc w:val="center"/>
              <w:rPr>
                <w:rFonts w:ascii="Times New Roman" w:hAnsi="Times New Roman"/>
                <w:sz w:val="20"/>
                <w:szCs w:val="20"/>
              </w:rPr>
            </w:pPr>
          </w:p>
        </w:tc>
      </w:tr>
      <w:tr w:rsidR="00686DFE" w:rsidRPr="00CE5D9A" w14:paraId="654D9E5F" w14:textId="77777777" w:rsidTr="00ED6C99">
        <w:trPr>
          <w:trHeight w:val="340"/>
          <w:jc w:val="center"/>
        </w:trPr>
        <w:tc>
          <w:tcPr>
            <w:tcW w:w="3681" w:type="dxa"/>
            <w:shd w:val="clear" w:color="auto" w:fill="auto"/>
            <w:vAlign w:val="center"/>
          </w:tcPr>
          <w:p w14:paraId="065CF119"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Dofinansowanie barier architektonicznych w komunikowaniu się i technicznych na wnioski indywidualnych osób</w:t>
            </w:r>
          </w:p>
        </w:tc>
        <w:tc>
          <w:tcPr>
            <w:tcW w:w="1134" w:type="dxa"/>
            <w:vMerge w:val="restart"/>
            <w:shd w:val="clear" w:color="auto" w:fill="auto"/>
            <w:vAlign w:val="center"/>
          </w:tcPr>
          <w:p w14:paraId="369A0B06"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osoba</w:t>
            </w:r>
          </w:p>
        </w:tc>
        <w:tc>
          <w:tcPr>
            <w:tcW w:w="858" w:type="dxa"/>
            <w:shd w:val="clear" w:color="auto" w:fill="auto"/>
            <w:vAlign w:val="center"/>
          </w:tcPr>
          <w:p w14:paraId="4EA5AED5"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82 </w:t>
            </w:r>
          </w:p>
        </w:tc>
        <w:tc>
          <w:tcPr>
            <w:tcW w:w="858" w:type="dxa"/>
            <w:shd w:val="clear" w:color="auto" w:fill="auto"/>
            <w:vAlign w:val="center"/>
          </w:tcPr>
          <w:p w14:paraId="4531106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113 </w:t>
            </w:r>
          </w:p>
        </w:tc>
        <w:tc>
          <w:tcPr>
            <w:tcW w:w="859" w:type="dxa"/>
            <w:shd w:val="clear" w:color="auto" w:fill="auto"/>
            <w:vAlign w:val="center"/>
          </w:tcPr>
          <w:p w14:paraId="064FE06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89 </w:t>
            </w:r>
          </w:p>
        </w:tc>
        <w:tc>
          <w:tcPr>
            <w:tcW w:w="858" w:type="dxa"/>
            <w:shd w:val="clear" w:color="auto" w:fill="auto"/>
            <w:vAlign w:val="center"/>
          </w:tcPr>
          <w:p w14:paraId="416132E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81 </w:t>
            </w:r>
          </w:p>
        </w:tc>
        <w:tc>
          <w:tcPr>
            <w:tcW w:w="859" w:type="dxa"/>
            <w:shd w:val="clear" w:color="auto" w:fill="auto"/>
            <w:vAlign w:val="center"/>
          </w:tcPr>
          <w:p w14:paraId="48EA8D14"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100 </w:t>
            </w:r>
          </w:p>
        </w:tc>
        <w:tc>
          <w:tcPr>
            <w:tcW w:w="1162" w:type="dxa"/>
            <w:shd w:val="clear" w:color="auto" w:fill="auto"/>
            <w:vAlign w:val="center"/>
          </w:tcPr>
          <w:p w14:paraId="693304D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465</w:t>
            </w:r>
          </w:p>
        </w:tc>
      </w:tr>
      <w:tr w:rsidR="00686DFE" w:rsidRPr="00CE5D9A" w14:paraId="6A618F20" w14:textId="77777777" w:rsidTr="00ED6C99">
        <w:trPr>
          <w:trHeight w:val="340"/>
          <w:jc w:val="center"/>
        </w:trPr>
        <w:tc>
          <w:tcPr>
            <w:tcW w:w="3681" w:type="dxa"/>
            <w:shd w:val="clear" w:color="auto" w:fill="auto"/>
            <w:vAlign w:val="center"/>
          </w:tcPr>
          <w:p w14:paraId="6DC17C6C"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w tym: dzieci i młodzież niepełnosprawna</w:t>
            </w:r>
          </w:p>
        </w:tc>
        <w:tc>
          <w:tcPr>
            <w:tcW w:w="1134" w:type="dxa"/>
            <w:vMerge/>
            <w:shd w:val="clear" w:color="auto" w:fill="auto"/>
            <w:vAlign w:val="center"/>
          </w:tcPr>
          <w:p w14:paraId="32CF3A3D" w14:textId="77777777" w:rsidR="00686DFE" w:rsidRPr="00CE5D9A" w:rsidRDefault="00686DFE" w:rsidP="00ED6C99">
            <w:pPr>
              <w:spacing w:after="0" w:line="276" w:lineRule="auto"/>
              <w:jc w:val="center"/>
              <w:rPr>
                <w:rFonts w:ascii="Times New Roman" w:hAnsi="Times New Roman"/>
                <w:sz w:val="20"/>
                <w:szCs w:val="20"/>
              </w:rPr>
            </w:pPr>
          </w:p>
        </w:tc>
        <w:tc>
          <w:tcPr>
            <w:tcW w:w="858" w:type="dxa"/>
            <w:shd w:val="clear" w:color="auto" w:fill="auto"/>
            <w:vAlign w:val="center"/>
          </w:tcPr>
          <w:p w14:paraId="52FA0B8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11 </w:t>
            </w:r>
          </w:p>
        </w:tc>
        <w:tc>
          <w:tcPr>
            <w:tcW w:w="858" w:type="dxa"/>
            <w:shd w:val="clear" w:color="auto" w:fill="auto"/>
            <w:vAlign w:val="center"/>
          </w:tcPr>
          <w:p w14:paraId="5D98296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10 </w:t>
            </w:r>
          </w:p>
        </w:tc>
        <w:tc>
          <w:tcPr>
            <w:tcW w:w="859" w:type="dxa"/>
            <w:shd w:val="clear" w:color="auto" w:fill="auto"/>
            <w:vAlign w:val="center"/>
          </w:tcPr>
          <w:p w14:paraId="317A4B6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8 </w:t>
            </w:r>
          </w:p>
        </w:tc>
        <w:tc>
          <w:tcPr>
            <w:tcW w:w="858" w:type="dxa"/>
            <w:shd w:val="clear" w:color="auto" w:fill="auto"/>
            <w:vAlign w:val="center"/>
          </w:tcPr>
          <w:p w14:paraId="3BACBF6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6 </w:t>
            </w:r>
          </w:p>
        </w:tc>
        <w:tc>
          <w:tcPr>
            <w:tcW w:w="859" w:type="dxa"/>
            <w:shd w:val="clear" w:color="auto" w:fill="auto"/>
            <w:vAlign w:val="center"/>
          </w:tcPr>
          <w:p w14:paraId="6D38E48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 xml:space="preserve">16 </w:t>
            </w:r>
          </w:p>
        </w:tc>
        <w:tc>
          <w:tcPr>
            <w:tcW w:w="1162" w:type="dxa"/>
            <w:shd w:val="clear" w:color="auto" w:fill="auto"/>
            <w:vAlign w:val="center"/>
          </w:tcPr>
          <w:p w14:paraId="3AA5169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51</w:t>
            </w:r>
          </w:p>
        </w:tc>
      </w:tr>
    </w:tbl>
    <w:p w14:paraId="3BBCB5C3"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na podstawie danych Powiatowego Zespołu do Spraw Orzekania o Niepełnosprawności w Myślenicach</w:t>
      </w:r>
    </w:p>
    <w:p w14:paraId="5195CC56"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Warto również zwrócić uwagę na poszczególne formy rehabilitacji społecznej. W latach 2016–2020 średnio każdego roku składanych było 947 wniosków o dofinansowanie ze środków PFRON w ramach rehabilitacji społecznej. Liczba ta utrzymywała się na zbliżonym poziomie od 2016 do 2019 roku. W 2020 r. liczba wniosków złożonych na likwidację barier wynosiła 142, z czego zrealizowano 100 (tabela 11).</w:t>
      </w:r>
    </w:p>
    <w:p w14:paraId="7ACCD88E" w14:textId="343BC1DC" w:rsidR="00686DFE" w:rsidRPr="00CE5D9A" w:rsidRDefault="00686DFE">
      <w:pPr>
        <w:spacing w:after="0" w:line="276" w:lineRule="auto"/>
        <w:ind w:firstLine="708"/>
        <w:jc w:val="center"/>
        <w:rPr>
          <w:rFonts w:ascii="Times New Roman" w:hAnsi="Times New Roman"/>
          <w:b/>
          <w:bCs/>
          <w:sz w:val="20"/>
          <w:szCs w:val="20"/>
        </w:rPr>
      </w:pPr>
      <w:bookmarkStart w:id="94" w:name="_Toc194581435"/>
      <w:r w:rsidRPr="00CE5D9A">
        <w:rPr>
          <w:rFonts w:ascii="Times New Roman" w:hAnsi="Times New Roman"/>
          <w:b/>
          <w:bCs/>
          <w:sz w:val="20"/>
          <w:szCs w:val="20"/>
        </w:rPr>
        <w:t xml:space="preserve">Tabela </w:t>
      </w:r>
      <w:r w:rsidRPr="00CE5D9A">
        <w:rPr>
          <w:rFonts w:ascii="Times New Roman" w:hAnsi="Times New Roman"/>
          <w:b/>
          <w:bCs/>
          <w:sz w:val="20"/>
          <w:szCs w:val="20"/>
        </w:rPr>
        <w:fldChar w:fldCharType="begin"/>
      </w:r>
      <w:r w:rsidRPr="00CE5D9A">
        <w:rPr>
          <w:rFonts w:ascii="Times New Roman" w:hAnsi="Times New Roman"/>
          <w:b/>
          <w:bCs/>
          <w:sz w:val="20"/>
          <w:szCs w:val="20"/>
        </w:rPr>
        <w:instrText xml:space="preserve"> SEQ Tabela \* ARABIC </w:instrText>
      </w:r>
      <w:r w:rsidRPr="00CE5D9A">
        <w:rPr>
          <w:rFonts w:ascii="Times New Roman" w:hAnsi="Times New Roman"/>
          <w:b/>
          <w:bCs/>
          <w:sz w:val="20"/>
          <w:szCs w:val="20"/>
        </w:rPr>
        <w:fldChar w:fldCharType="separate"/>
      </w:r>
      <w:r w:rsidR="00AD7096">
        <w:rPr>
          <w:rFonts w:ascii="Times New Roman" w:hAnsi="Times New Roman"/>
          <w:b/>
          <w:bCs/>
          <w:noProof/>
          <w:sz w:val="20"/>
          <w:szCs w:val="20"/>
        </w:rPr>
        <w:t>11</w:t>
      </w:r>
      <w:r w:rsidRPr="00CE5D9A">
        <w:rPr>
          <w:rFonts w:ascii="Times New Roman" w:hAnsi="Times New Roman"/>
          <w:b/>
          <w:bCs/>
          <w:sz w:val="20"/>
          <w:szCs w:val="20"/>
        </w:rPr>
        <w:fldChar w:fldCharType="end"/>
      </w:r>
      <w:r w:rsidRPr="00CE5D9A">
        <w:rPr>
          <w:rFonts w:ascii="Times New Roman" w:hAnsi="Times New Roman"/>
          <w:b/>
          <w:bCs/>
          <w:sz w:val="20"/>
          <w:szCs w:val="20"/>
        </w:rPr>
        <w:t xml:space="preserve"> Liczba wniosków o dofinansowanie ze środków PFRON latach 2016-2020</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2465"/>
        <w:gridCol w:w="1071"/>
        <w:gridCol w:w="1071"/>
        <w:gridCol w:w="1071"/>
        <w:gridCol w:w="1071"/>
        <w:gridCol w:w="1071"/>
      </w:tblGrid>
      <w:tr w:rsidR="00686DFE" w:rsidRPr="00CE5D9A" w14:paraId="31E98227" w14:textId="77777777" w:rsidTr="00ED6C99">
        <w:trPr>
          <w:trHeight w:val="340"/>
          <w:jc w:val="center"/>
        </w:trPr>
        <w:tc>
          <w:tcPr>
            <w:tcW w:w="1247" w:type="pct"/>
            <w:vMerge w:val="restart"/>
            <w:shd w:val="clear" w:color="auto" w:fill="auto"/>
            <w:vAlign w:val="center"/>
          </w:tcPr>
          <w:p w14:paraId="1F9CAD35"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Wyszczególnienie</w:t>
            </w:r>
          </w:p>
        </w:tc>
        <w:tc>
          <w:tcPr>
            <w:tcW w:w="1183" w:type="pct"/>
            <w:vMerge w:val="restart"/>
            <w:shd w:val="clear" w:color="auto" w:fill="auto"/>
            <w:vAlign w:val="center"/>
          </w:tcPr>
          <w:p w14:paraId="58AD9A34"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Jednostka</w:t>
            </w:r>
          </w:p>
        </w:tc>
        <w:tc>
          <w:tcPr>
            <w:tcW w:w="2570" w:type="pct"/>
            <w:gridSpan w:val="5"/>
            <w:shd w:val="clear" w:color="auto" w:fill="auto"/>
            <w:vAlign w:val="center"/>
          </w:tcPr>
          <w:p w14:paraId="17018F77"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Rok</w:t>
            </w:r>
          </w:p>
        </w:tc>
      </w:tr>
      <w:tr w:rsidR="00686DFE" w:rsidRPr="00CE5D9A" w14:paraId="6E647BDE" w14:textId="77777777" w:rsidTr="00ED6C99">
        <w:trPr>
          <w:trHeight w:val="340"/>
          <w:jc w:val="center"/>
        </w:trPr>
        <w:tc>
          <w:tcPr>
            <w:tcW w:w="1247" w:type="pct"/>
            <w:vMerge/>
            <w:shd w:val="clear" w:color="auto" w:fill="auto"/>
            <w:vAlign w:val="center"/>
          </w:tcPr>
          <w:p w14:paraId="6632D54D" w14:textId="77777777" w:rsidR="00686DFE" w:rsidRPr="00CE5D9A" w:rsidRDefault="00686DFE" w:rsidP="00ED6C99">
            <w:pPr>
              <w:spacing w:after="0" w:line="276" w:lineRule="auto"/>
              <w:jc w:val="center"/>
              <w:rPr>
                <w:rFonts w:ascii="Times New Roman" w:hAnsi="Times New Roman"/>
                <w:sz w:val="20"/>
                <w:szCs w:val="20"/>
              </w:rPr>
            </w:pPr>
          </w:p>
        </w:tc>
        <w:tc>
          <w:tcPr>
            <w:tcW w:w="1183" w:type="pct"/>
            <w:vMerge/>
            <w:shd w:val="clear" w:color="auto" w:fill="auto"/>
            <w:vAlign w:val="center"/>
          </w:tcPr>
          <w:p w14:paraId="472DE196" w14:textId="77777777" w:rsidR="00686DFE" w:rsidRPr="00CE5D9A" w:rsidRDefault="00686DFE" w:rsidP="00ED6C99">
            <w:pPr>
              <w:spacing w:after="0" w:line="276" w:lineRule="auto"/>
              <w:jc w:val="center"/>
              <w:rPr>
                <w:rFonts w:ascii="Times New Roman" w:hAnsi="Times New Roman"/>
                <w:sz w:val="20"/>
                <w:szCs w:val="20"/>
              </w:rPr>
            </w:pPr>
          </w:p>
        </w:tc>
        <w:tc>
          <w:tcPr>
            <w:tcW w:w="514" w:type="pct"/>
            <w:shd w:val="clear" w:color="auto" w:fill="auto"/>
            <w:vAlign w:val="center"/>
          </w:tcPr>
          <w:p w14:paraId="4633FF93"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2016</w:t>
            </w:r>
          </w:p>
        </w:tc>
        <w:tc>
          <w:tcPr>
            <w:tcW w:w="514" w:type="pct"/>
            <w:shd w:val="clear" w:color="auto" w:fill="auto"/>
            <w:vAlign w:val="center"/>
          </w:tcPr>
          <w:p w14:paraId="53E07A33"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2017</w:t>
            </w:r>
          </w:p>
        </w:tc>
        <w:tc>
          <w:tcPr>
            <w:tcW w:w="514" w:type="pct"/>
            <w:shd w:val="clear" w:color="auto" w:fill="auto"/>
            <w:vAlign w:val="center"/>
          </w:tcPr>
          <w:p w14:paraId="65BCE186"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2018</w:t>
            </w:r>
          </w:p>
        </w:tc>
        <w:tc>
          <w:tcPr>
            <w:tcW w:w="514" w:type="pct"/>
            <w:shd w:val="clear" w:color="auto" w:fill="auto"/>
            <w:vAlign w:val="center"/>
          </w:tcPr>
          <w:p w14:paraId="1A24BA35"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2019</w:t>
            </w:r>
          </w:p>
        </w:tc>
        <w:tc>
          <w:tcPr>
            <w:tcW w:w="514" w:type="pct"/>
            <w:shd w:val="clear" w:color="auto" w:fill="auto"/>
            <w:vAlign w:val="center"/>
          </w:tcPr>
          <w:p w14:paraId="0E0845A5"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2020</w:t>
            </w:r>
          </w:p>
        </w:tc>
      </w:tr>
      <w:tr w:rsidR="00686DFE" w:rsidRPr="00CE5D9A" w14:paraId="5F06B754" w14:textId="77777777" w:rsidTr="00ED6C99">
        <w:trPr>
          <w:trHeight w:val="340"/>
          <w:jc w:val="center"/>
        </w:trPr>
        <w:tc>
          <w:tcPr>
            <w:tcW w:w="1247" w:type="pct"/>
            <w:vMerge w:val="restart"/>
            <w:shd w:val="clear" w:color="auto" w:fill="auto"/>
            <w:vAlign w:val="center"/>
          </w:tcPr>
          <w:p w14:paraId="1FF0E4F1"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Aktywny Samorząd</w:t>
            </w:r>
          </w:p>
        </w:tc>
        <w:tc>
          <w:tcPr>
            <w:tcW w:w="1183" w:type="pct"/>
            <w:shd w:val="clear" w:color="auto" w:fill="auto"/>
            <w:vAlign w:val="center"/>
          </w:tcPr>
          <w:p w14:paraId="778BBD9A"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złożonych wniosków</w:t>
            </w:r>
          </w:p>
        </w:tc>
        <w:tc>
          <w:tcPr>
            <w:tcW w:w="514" w:type="pct"/>
            <w:shd w:val="clear" w:color="auto" w:fill="auto"/>
            <w:vAlign w:val="center"/>
          </w:tcPr>
          <w:p w14:paraId="46F5A4C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45</w:t>
            </w:r>
          </w:p>
        </w:tc>
        <w:tc>
          <w:tcPr>
            <w:tcW w:w="514" w:type="pct"/>
            <w:shd w:val="clear" w:color="auto" w:fill="auto"/>
            <w:vAlign w:val="center"/>
          </w:tcPr>
          <w:p w14:paraId="58BFF6A8"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48</w:t>
            </w:r>
          </w:p>
        </w:tc>
        <w:tc>
          <w:tcPr>
            <w:tcW w:w="514" w:type="pct"/>
            <w:shd w:val="clear" w:color="auto" w:fill="auto"/>
            <w:vAlign w:val="center"/>
          </w:tcPr>
          <w:p w14:paraId="57666EF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52</w:t>
            </w:r>
          </w:p>
        </w:tc>
        <w:tc>
          <w:tcPr>
            <w:tcW w:w="514" w:type="pct"/>
            <w:shd w:val="clear" w:color="auto" w:fill="auto"/>
            <w:vAlign w:val="center"/>
          </w:tcPr>
          <w:p w14:paraId="0FBC9F3A"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68</w:t>
            </w:r>
          </w:p>
        </w:tc>
        <w:tc>
          <w:tcPr>
            <w:tcW w:w="514" w:type="pct"/>
            <w:shd w:val="clear" w:color="auto" w:fill="auto"/>
            <w:vAlign w:val="center"/>
          </w:tcPr>
          <w:p w14:paraId="52353A34"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73</w:t>
            </w:r>
          </w:p>
        </w:tc>
      </w:tr>
      <w:tr w:rsidR="00686DFE" w:rsidRPr="00CE5D9A" w14:paraId="4A5BA669" w14:textId="77777777" w:rsidTr="00ED6C99">
        <w:trPr>
          <w:trHeight w:val="340"/>
          <w:jc w:val="center"/>
        </w:trPr>
        <w:tc>
          <w:tcPr>
            <w:tcW w:w="1247" w:type="pct"/>
            <w:vMerge/>
            <w:shd w:val="clear" w:color="auto" w:fill="auto"/>
            <w:vAlign w:val="center"/>
          </w:tcPr>
          <w:p w14:paraId="1FB3F493" w14:textId="77777777" w:rsidR="00686DFE" w:rsidRPr="00CE5D9A" w:rsidRDefault="00686DFE" w:rsidP="00ED6C99">
            <w:pPr>
              <w:spacing w:after="0" w:line="276" w:lineRule="auto"/>
              <w:rPr>
                <w:rFonts w:ascii="Times New Roman" w:hAnsi="Times New Roman"/>
                <w:sz w:val="20"/>
                <w:szCs w:val="20"/>
              </w:rPr>
            </w:pPr>
          </w:p>
        </w:tc>
        <w:tc>
          <w:tcPr>
            <w:tcW w:w="1183" w:type="pct"/>
            <w:shd w:val="clear" w:color="auto" w:fill="auto"/>
            <w:vAlign w:val="center"/>
          </w:tcPr>
          <w:p w14:paraId="55BA63D3"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zrealizowanych wniosków</w:t>
            </w:r>
          </w:p>
        </w:tc>
        <w:tc>
          <w:tcPr>
            <w:tcW w:w="514" w:type="pct"/>
            <w:shd w:val="clear" w:color="auto" w:fill="auto"/>
            <w:vAlign w:val="center"/>
          </w:tcPr>
          <w:p w14:paraId="6A9466D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37</w:t>
            </w:r>
          </w:p>
        </w:tc>
        <w:tc>
          <w:tcPr>
            <w:tcW w:w="514" w:type="pct"/>
            <w:shd w:val="clear" w:color="auto" w:fill="auto"/>
            <w:vAlign w:val="center"/>
          </w:tcPr>
          <w:p w14:paraId="5A3B755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37</w:t>
            </w:r>
          </w:p>
        </w:tc>
        <w:tc>
          <w:tcPr>
            <w:tcW w:w="514" w:type="pct"/>
            <w:shd w:val="clear" w:color="auto" w:fill="auto"/>
            <w:vAlign w:val="center"/>
          </w:tcPr>
          <w:p w14:paraId="36108B6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47</w:t>
            </w:r>
          </w:p>
        </w:tc>
        <w:tc>
          <w:tcPr>
            <w:tcW w:w="514" w:type="pct"/>
            <w:shd w:val="clear" w:color="auto" w:fill="auto"/>
            <w:vAlign w:val="center"/>
          </w:tcPr>
          <w:p w14:paraId="33BFD1B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66</w:t>
            </w:r>
          </w:p>
        </w:tc>
        <w:tc>
          <w:tcPr>
            <w:tcW w:w="514" w:type="pct"/>
            <w:shd w:val="clear" w:color="auto" w:fill="auto"/>
            <w:vAlign w:val="center"/>
          </w:tcPr>
          <w:p w14:paraId="60DE472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27</w:t>
            </w:r>
          </w:p>
        </w:tc>
      </w:tr>
      <w:tr w:rsidR="00686DFE" w:rsidRPr="00CE5D9A" w14:paraId="601635B3" w14:textId="77777777" w:rsidTr="00ED6C99">
        <w:trPr>
          <w:trHeight w:val="340"/>
          <w:jc w:val="center"/>
        </w:trPr>
        <w:tc>
          <w:tcPr>
            <w:tcW w:w="1247" w:type="pct"/>
            <w:vMerge w:val="restart"/>
            <w:shd w:val="clear" w:color="auto" w:fill="auto"/>
            <w:vAlign w:val="center"/>
          </w:tcPr>
          <w:p w14:paraId="390BF9CA"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Likwidacja barier</w:t>
            </w:r>
          </w:p>
        </w:tc>
        <w:tc>
          <w:tcPr>
            <w:tcW w:w="1183" w:type="pct"/>
            <w:shd w:val="clear" w:color="auto" w:fill="auto"/>
            <w:vAlign w:val="center"/>
          </w:tcPr>
          <w:p w14:paraId="1B7A8696"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złożonych wniosków</w:t>
            </w:r>
          </w:p>
        </w:tc>
        <w:tc>
          <w:tcPr>
            <w:tcW w:w="514" w:type="pct"/>
            <w:shd w:val="clear" w:color="auto" w:fill="auto"/>
            <w:vAlign w:val="center"/>
          </w:tcPr>
          <w:p w14:paraId="4689F7EB"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201</w:t>
            </w:r>
          </w:p>
        </w:tc>
        <w:tc>
          <w:tcPr>
            <w:tcW w:w="514" w:type="pct"/>
            <w:shd w:val="clear" w:color="auto" w:fill="auto"/>
            <w:vAlign w:val="center"/>
          </w:tcPr>
          <w:p w14:paraId="35F8BA8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191</w:t>
            </w:r>
          </w:p>
        </w:tc>
        <w:tc>
          <w:tcPr>
            <w:tcW w:w="514" w:type="pct"/>
            <w:shd w:val="clear" w:color="auto" w:fill="auto"/>
            <w:vAlign w:val="center"/>
          </w:tcPr>
          <w:p w14:paraId="2218A3D0"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176</w:t>
            </w:r>
          </w:p>
        </w:tc>
        <w:tc>
          <w:tcPr>
            <w:tcW w:w="514" w:type="pct"/>
            <w:shd w:val="clear" w:color="auto" w:fill="auto"/>
            <w:vAlign w:val="center"/>
          </w:tcPr>
          <w:p w14:paraId="26512314"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142</w:t>
            </w:r>
          </w:p>
        </w:tc>
        <w:tc>
          <w:tcPr>
            <w:tcW w:w="514" w:type="pct"/>
            <w:shd w:val="clear" w:color="auto" w:fill="auto"/>
            <w:vAlign w:val="center"/>
          </w:tcPr>
          <w:p w14:paraId="11BB78C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142</w:t>
            </w:r>
          </w:p>
        </w:tc>
      </w:tr>
      <w:tr w:rsidR="00686DFE" w:rsidRPr="00CE5D9A" w14:paraId="6CA75201" w14:textId="77777777" w:rsidTr="00ED6C99">
        <w:trPr>
          <w:trHeight w:val="340"/>
          <w:jc w:val="center"/>
        </w:trPr>
        <w:tc>
          <w:tcPr>
            <w:tcW w:w="1247" w:type="pct"/>
            <w:vMerge/>
            <w:shd w:val="clear" w:color="auto" w:fill="auto"/>
            <w:vAlign w:val="center"/>
          </w:tcPr>
          <w:p w14:paraId="4F16FD14" w14:textId="77777777" w:rsidR="00686DFE" w:rsidRPr="00CE5D9A" w:rsidRDefault="00686DFE" w:rsidP="00ED6C99">
            <w:pPr>
              <w:spacing w:after="0" w:line="276" w:lineRule="auto"/>
              <w:rPr>
                <w:rFonts w:ascii="Times New Roman" w:hAnsi="Times New Roman"/>
                <w:sz w:val="20"/>
                <w:szCs w:val="20"/>
              </w:rPr>
            </w:pPr>
          </w:p>
        </w:tc>
        <w:tc>
          <w:tcPr>
            <w:tcW w:w="1183" w:type="pct"/>
            <w:shd w:val="clear" w:color="auto" w:fill="auto"/>
            <w:vAlign w:val="center"/>
          </w:tcPr>
          <w:p w14:paraId="3FF7B51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zrealizowanych wniosków</w:t>
            </w:r>
          </w:p>
        </w:tc>
        <w:tc>
          <w:tcPr>
            <w:tcW w:w="514" w:type="pct"/>
            <w:shd w:val="clear" w:color="auto" w:fill="auto"/>
            <w:vAlign w:val="center"/>
          </w:tcPr>
          <w:p w14:paraId="1CEA2DF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82</w:t>
            </w:r>
          </w:p>
        </w:tc>
        <w:tc>
          <w:tcPr>
            <w:tcW w:w="514" w:type="pct"/>
            <w:shd w:val="clear" w:color="auto" w:fill="auto"/>
            <w:vAlign w:val="center"/>
          </w:tcPr>
          <w:p w14:paraId="5EF2EA1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113</w:t>
            </w:r>
          </w:p>
        </w:tc>
        <w:tc>
          <w:tcPr>
            <w:tcW w:w="514" w:type="pct"/>
            <w:shd w:val="clear" w:color="auto" w:fill="auto"/>
            <w:vAlign w:val="center"/>
          </w:tcPr>
          <w:p w14:paraId="280B9AD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89</w:t>
            </w:r>
          </w:p>
        </w:tc>
        <w:tc>
          <w:tcPr>
            <w:tcW w:w="514" w:type="pct"/>
            <w:shd w:val="clear" w:color="auto" w:fill="auto"/>
            <w:vAlign w:val="center"/>
          </w:tcPr>
          <w:p w14:paraId="6040418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81</w:t>
            </w:r>
          </w:p>
        </w:tc>
        <w:tc>
          <w:tcPr>
            <w:tcW w:w="514" w:type="pct"/>
            <w:shd w:val="clear" w:color="auto" w:fill="auto"/>
            <w:vAlign w:val="center"/>
          </w:tcPr>
          <w:p w14:paraId="1C1F0248"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100</w:t>
            </w:r>
          </w:p>
        </w:tc>
      </w:tr>
      <w:tr w:rsidR="00686DFE" w:rsidRPr="00CE5D9A" w14:paraId="455CEA9A" w14:textId="77777777" w:rsidTr="00ED6C99">
        <w:trPr>
          <w:trHeight w:val="340"/>
          <w:jc w:val="center"/>
        </w:trPr>
        <w:tc>
          <w:tcPr>
            <w:tcW w:w="1247" w:type="pct"/>
            <w:vMerge w:val="restart"/>
            <w:shd w:val="clear" w:color="auto" w:fill="auto"/>
            <w:vAlign w:val="center"/>
          </w:tcPr>
          <w:p w14:paraId="6A01E600"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Moduł III</w:t>
            </w:r>
          </w:p>
        </w:tc>
        <w:tc>
          <w:tcPr>
            <w:tcW w:w="1183" w:type="pct"/>
            <w:shd w:val="clear" w:color="auto" w:fill="auto"/>
            <w:vAlign w:val="center"/>
          </w:tcPr>
          <w:p w14:paraId="65E16EBB"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złożonych wniosków</w:t>
            </w:r>
          </w:p>
        </w:tc>
        <w:tc>
          <w:tcPr>
            <w:tcW w:w="514" w:type="pct"/>
            <w:shd w:val="clear" w:color="auto" w:fill="auto"/>
            <w:vAlign w:val="center"/>
          </w:tcPr>
          <w:p w14:paraId="1461E8E2"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0B2FDDA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46560D74"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6E4EFC2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672D0670"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582</w:t>
            </w:r>
          </w:p>
        </w:tc>
      </w:tr>
      <w:tr w:rsidR="00686DFE" w:rsidRPr="00CE5D9A" w14:paraId="539332F8" w14:textId="77777777" w:rsidTr="00ED6C99">
        <w:trPr>
          <w:trHeight w:val="340"/>
          <w:jc w:val="center"/>
        </w:trPr>
        <w:tc>
          <w:tcPr>
            <w:tcW w:w="1247" w:type="pct"/>
            <w:vMerge/>
            <w:shd w:val="clear" w:color="auto" w:fill="auto"/>
            <w:vAlign w:val="center"/>
          </w:tcPr>
          <w:p w14:paraId="18A0EFB6" w14:textId="77777777" w:rsidR="00686DFE" w:rsidRPr="00CE5D9A" w:rsidRDefault="00686DFE" w:rsidP="00ED6C99">
            <w:pPr>
              <w:spacing w:after="0" w:line="276" w:lineRule="auto"/>
              <w:rPr>
                <w:rFonts w:ascii="Times New Roman" w:hAnsi="Times New Roman"/>
                <w:sz w:val="20"/>
                <w:szCs w:val="20"/>
              </w:rPr>
            </w:pPr>
          </w:p>
        </w:tc>
        <w:tc>
          <w:tcPr>
            <w:tcW w:w="1183" w:type="pct"/>
            <w:shd w:val="clear" w:color="auto" w:fill="auto"/>
            <w:vAlign w:val="center"/>
          </w:tcPr>
          <w:p w14:paraId="7118E3D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zrealizowanych wniosków</w:t>
            </w:r>
          </w:p>
        </w:tc>
        <w:tc>
          <w:tcPr>
            <w:tcW w:w="514" w:type="pct"/>
            <w:shd w:val="clear" w:color="auto" w:fill="auto"/>
            <w:vAlign w:val="center"/>
          </w:tcPr>
          <w:p w14:paraId="62E8CCC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1805A253"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2B31196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15A94B2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1AB602B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495</w:t>
            </w:r>
          </w:p>
        </w:tc>
      </w:tr>
      <w:tr w:rsidR="00686DFE" w:rsidRPr="00CE5D9A" w14:paraId="6593F753" w14:textId="77777777" w:rsidTr="00ED6C99">
        <w:trPr>
          <w:trHeight w:val="340"/>
          <w:jc w:val="center"/>
        </w:trPr>
        <w:tc>
          <w:tcPr>
            <w:tcW w:w="1247" w:type="pct"/>
            <w:vMerge w:val="restart"/>
            <w:shd w:val="clear" w:color="auto" w:fill="auto"/>
            <w:vAlign w:val="center"/>
          </w:tcPr>
          <w:p w14:paraId="51174409"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Przedmioty ortopedyczne</w:t>
            </w:r>
          </w:p>
        </w:tc>
        <w:tc>
          <w:tcPr>
            <w:tcW w:w="1183" w:type="pct"/>
            <w:shd w:val="clear" w:color="auto" w:fill="auto"/>
            <w:vAlign w:val="center"/>
          </w:tcPr>
          <w:p w14:paraId="0499F559"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złożonych wniosków</w:t>
            </w:r>
          </w:p>
        </w:tc>
        <w:tc>
          <w:tcPr>
            <w:tcW w:w="514" w:type="pct"/>
            <w:shd w:val="clear" w:color="auto" w:fill="auto"/>
            <w:vAlign w:val="center"/>
          </w:tcPr>
          <w:p w14:paraId="21661646"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460</w:t>
            </w:r>
          </w:p>
        </w:tc>
        <w:tc>
          <w:tcPr>
            <w:tcW w:w="514" w:type="pct"/>
            <w:shd w:val="clear" w:color="auto" w:fill="auto"/>
            <w:vAlign w:val="center"/>
          </w:tcPr>
          <w:p w14:paraId="64714515"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486</w:t>
            </w:r>
          </w:p>
        </w:tc>
        <w:tc>
          <w:tcPr>
            <w:tcW w:w="514" w:type="pct"/>
            <w:shd w:val="clear" w:color="auto" w:fill="auto"/>
            <w:vAlign w:val="center"/>
          </w:tcPr>
          <w:p w14:paraId="687425AC"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486</w:t>
            </w:r>
          </w:p>
        </w:tc>
        <w:tc>
          <w:tcPr>
            <w:tcW w:w="514" w:type="pct"/>
            <w:shd w:val="clear" w:color="auto" w:fill="auto"/>
            <w:vAlign w:val="center"/>
          </w:tcPr>
          <w:p w14:paraId="4AD618AB"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481</w:t>
            </w:r>
          </w:p>
        </w:tc>
        <w:tc>
          <w:tcPr>
            <w:tcW w:w="514" w:type="pct"/>
            <w:shd w:val="clear" w:color="auto" w:fill="auto"/>
            <w:vAlign w:val="center"/>
          </w:tcPr>
          <w:p w14:paraId="127D222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505</w:t>
            </w:r>
          </w:p>
        </w:tc>
      </w:tr>
      <w:tr w:rsidR="00686DFE" w:rsidRPr="00CE5D9A" w14:paraId="3325AC09" w14:textId="77777777" w:rsidTr="00ED6C99">
        <w:trPr>
          <w:trHeight w:val="340"/>
          <w:jc w:val="center"/>
        </w:trPr>
        <w:tc>
          <w:tcPr>
            <w:tcW w:w="1247" w:type="pct"/>
            <w:vMerge/>
            <w:shd w:val="clear" w:color="auto" w:fill="auto"/>
            <w:vAlign w:val="center"/>
          </w:tcPr>
          <w:p w14:paraId="78841E17" w14:textId="77777777" w:rsidR="00686DFE" w:rsidRPr="00CE5D9A" w:rsidRDefault="00686DFE" w:rsidP="00ED6C99">
            <w:pPr>
              <w:spacing w:after="0" w:line="276" w:lineRule="auto"/>
              <w:rPr>
                <w:rFonts w:ascii="Times New Roman" w:hAnsi="Times New Roman"/>
                <w:sz w:val="20"/>
                <w:szCs w:val="20"/>
              </w:rPr>
            </w:pPr>
          </w:p>
        </w:tc>
        <w:tc>
          <w:tcPr>
            <w:tcW w:w="1183" w:type="pct"/>
            <w:shd w:val="clear" w:color="auto" w:fill="auto"/>
            <w:vAlign w:val="center"/>
          </w:tcPr>
          <w:p w14:paraId="7F834A9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zrealizowanych wniosków</w:t>
            </w:r>
          </w:p>
        </w:tc>
        <w:tc>
          <w:tcPr>
            <w:tcW w:w="514" w:type="pct"/>
            <w:shd w:val="clear" w:color="auto" w:fill="auto"/>
            <w:vAlign w:val="center"/>
          </w:tcPr>
          <w:p w14:paraId="6AD28FC0"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447</w:t>
            </w:r>
          </w:p>
        </w:tc>
        <w:tc>
          <w:tcPr>
            <w:tcW w:w="514" w:type="pct"/>
            <w:shd w:val="clear" w:color="auto" w:fill="auto"/>
            <w:vAlign w:val="center"/>
          </w:tcPr>
          <w:p w14:paraId="2AE1986F"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466</w:t>
            </w:r>
          </w:p>
        </w:tc>
        <w:tc>
          <w:tcPr>
            <w:tcW w:w="514" w:type="pct"/>
            <w:shd w:val="clear" w:color="auto" w:fill="auto"/>
            <w:vAlign w:val="center"/>
          </w:tcPr>
          <w:p w14:paraId="2BA1B284"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379</w:t>
            </w:r>
          </w:p>
        </w:tc>
        <w:tc>
          <w:tcPr>
            <w:tcW w:w="514" w:type="pct"/>
            <w:shd w:val="clear" w:color="auto" w:fill="auto"/>
            <w:vAlign w:val="center"/>
          </w:tcPr>
          <w:p w14:paraId="754A43C6"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433</w:t>
            </w:r>
          </w:p>
        </w:tc>
        <w:tc>
          <w:tcPr>
            <w:tcW w:w="514" w:type="pct"/>
            <w:shd w:val="clear" w:color="auto" w:fill="auto"/>
            <w:vAlign w:val="center"/>
          </w:tcPr>
          <w:p w14:paraId="3D16EA42"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467</w:t>
            </w:r>
          </w:p>
        </w:tc>
      </w:tr>
      <w:tr w:rsidR="00686DFE" w:rsidRPr="00CE5D9A" w14:paraId="517CC43D" w14:textId="77777777" w:rsidTr="00ED6C99">
        <w:trPr>
          <w:trHeight w:val="340"/>
          <w:jc w:val="center"/>
        </w:trPr>
        <w:tc>
          <w:tcPr>
            <w:tcW w:w="1247" w:type="pct"/>
            <w:vMerge w:val="restart"/>
            <w:shd w:val="clear" w:color="auto" w:fill="auto"/>
            <w:vAlign w:val="center"/>
          </w:tcPr>
          <w:p w14:paraId="4745A8BD" w14:textId="77777777" w:rsidR="00686DFE" w:rsidRPr="00CE5D9A" w:rsidRDefault="00686DFE" w:rsidP="00ED6C99">
            <w:pPr>
              <w:spacing w:after="0" w:line="276" w:lineRule="auto"/>
              <w:rPr>
                <w:rFonts w:ascii="Times New Roman" w:hAnsi="Times New Roman"/>
                <w:sz w:val="20"/>
                <w:szCs w:val="20"/>
              </w:rPr>
            </w:pPr>
            <w:r w:rsidRPr="00CE5D9A">
              <w:rPr>
                <w:rFonts w:ascii="Times New Roman" w:hAnsi="Times New Roman"/>
                <w:sz w:val="20"/>
                <w:szCs w:val="20"/>
              </w:rPr>
              <w:t>Turnusy rehabilitacyjne</w:t>
            </w:r>
          </w:p>
        </w:tc>
        <w:tc>
          <w:tcPr>
            <w:tcW w:w="1183" w:type="pct"/>
            <w:shd w:val="clear" w:color="auto" w:fill="auto"/>
            <w:vAlign w:val="center"/>
          </w:tcPr>
          <w:p w14:paraId="566741D6"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złożonych wniosków</w:t>
            </w:r>
          </w:p>
        </w:tc>
        <w:tc>
          <w:tcPr>
            <w:tcW w:w="514" w:type="pct"/>
            <w:shd w:val="clear" w:color="auto" w:fill="auto"/>
            <w:vAlign w:val="center"/>
          </w:tcPr>
          <w:p w14:paraId="52558D27"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97</w:t>
            </w:r>
          </w:p>
        </w:tc>
        <w:tc>
          <w:tcPr>
            <w:tcW w:w="514" w:type="pct"/>
            <w:shd w:val="clear" w:color="auto" w:fill="auto"/>
            <w:vAlign w:val="center"/>
          </w:tcPr>
          <w:p w14:paraId="3714E5EA"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67</w:t>
            </w:r>
          </w:p>
        </w:tc>
        <w:tc>
          <w:tcPr>
            <w:tcW w:w="514" w:type="pct"/>
            <w:shd w:val="clear" w:color="auto" w:fill="auto"/>
            <w:vAlign w:val="center"/>
          </w:tcPr>
          <w:p w14:paraId="37C50632"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129</w:t>
            </w:r>
          </w:p>
        </w:tc>
        <w:tc>
          <w:tcPr>
            <w:tcW w:w="514" w:type="pct"/>
            <w:shd w:val="clear" w:color="auto" w:fill="auto"/>
            <w:vAlign w:val="center"/>
          </w:tcPr>
          <w:p w14:paraId="1C8B6AE2"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148</w:t>
            </w:r>
          </w:p>
        </w:tc>
        <w:tc>
          <w:tcPr>
            <w:tcW w:w="514" w:type="pct"/>
            <w:shd w:val="clear" w:color="auto" w:fill="auto"/>
            <w:vAlign w:val="center"/>
          </w:tcPr>
          <w:p w14:paraId="2B9014DA"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155</w:t>
            </w:r>
          </w:p>
        </w:tc>
      </w:tr>
      <w:tr w:rsidR="00686DFE" w:rsidRPr="00CE5D9A" w14:paraId="5B0C5806" w14:textId="77777777" w:rsidTr="00ED6C99">
        <w:trPr>
          <w:trHeight w:val="340"/>
          <w:jc w:val="center"/>
        </w:trPr>
        <w:tc>
          <w:tcPr>
            <w:tcW w:w="1247" w:type="pct"/>
            <w:vMerge/>
            <w:shd w:val="clear" w:color="auto" w:fill="auto"/>
            <w:vAlign w:val="center"/>
          </w:tcPr>
          <w:p w14:paraId="3A813838" w14:textId="77777777" w:rsidR="00686DFE" w:rsidRPr="00CE5D9A" w:rsidRDefault="00686DFE" w:rsidP="00ED6C99">
            <w:pPr>
              <w:spacing w:after="0" w:line="276" w:lineRule="auto"/>
              <w:rPr>
                <w:rFonts w:ascii="Times New Roman" w:hAnsi="Times New Roman"/>
                <w:sz w:val="20"/>
                <w:szCs w:val="20"/>
              </w:rPr>
            </w:pPr>
          </w:p>
        </w:tc>
        <w:tc>
          <w:tcPr>
            <w:tcW w:w="1183" w:type="pct"/>
            <w:shd w:val="clear" w:color="auto" w:fill="auto"/>
            <w:vAlign w:val="center"/>
          </w:tcPr>
          <w:p w14:paraId="0A5690F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liczba zrealizowanych wniosków</w:t>
            </w:r>
          </w:p>
        </w:tc>
        <w:tc>
          <w:tcPr>
            <w:tcW w:w="514" w:type="pct"/>
            <w:shd w:val="clear" w:color="auto" w:fill="auto"/>
            <w:vAlign w:val="center"/>
          </w:tcPr>
          <w:p w14:paraId="360323CD"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w:t>
            </w:r>
          </w:p>
        </w:tc>
        <w:tc>
          <w:tcPr>
            <w:tcW w:w="514" w:type="pct"/>
            <w:shd w:val="clear" w:color="auto" w:fill="auto"/>
            <w:vAlign w:val="center"/>
          </w:tcPr>
          <w:p w14:paraId="3181366E"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23</w:t>
            </w:r>
          </w:p>
        </w:tc>
        <w:tc>
          <w:tcPr>
            <w:tcW w:w="514" w:type="pct"/>
            <w:shd w:val="clear" w:color="auto" w:fill="auto"/>
            <w:vAlign w:val="center"/>
          </w:tcPr>
          <w:p w14:paraId="4511F453"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35</w:t>
            </w:r>
          </w:p>
        </w:tc>
        <w:tc>
          <w:tcPr>
            <w:tcW w:w="514" w:type="pct"/>
            <w:shd w:val="clear" w:color="auto" w:fill="auto"/>
            <w:vAlign w:val="center"/>
          </w:tcPr>
          <w:p w14:paraId="5CD6F03D"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41</w:t>
            </w:r>
          </w:p>
        </w:tc>
        <w:tc>
          <w:tcPr>
            <w:tcW w:w="514" w:type="pct"/>
            <w:shd w:val="clear" w:color="auto" w:fill="auto"/>
            <w:vAlign w:val="center"/>
          </w:tcPr>
          <w:p w14:paraId="3CCB371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30</w:t>
            </w:r>
          </w:p>
        </w:tc>
      </w:tr>
    </w:tbl>
    <w:p w14:paraId="0399B7A6" w14:textId="77777777" w:rsidR="00686DFE" w:rsidRPr="00CE5D9A" w:rsidRDefault="00686DFE">
      <w:pPr>
        <w:spacing w:line="276" w:lineRule="auto"/>
        <w:jc w:val="center"/>
        <w:rPr>
          <w:rFonts w:ascii="Times New Roman" w:hAnsi="Times New Roman"/>
          <w:i/>
          <w:iCs/>
          <w:sz w:val="20"/>
          <w:szCs w:val="20"/>
        </w:rPr>
      </w:pPr>
      <w:r w:rsidRPr="00CE5D9A">
        <w:rPr>
          <w:rFonts w:ascii="Times New Roman" w:hAnsi="Times New Roman"/>
          <w:i/>
          <w:iCs/>
          <w:sz w:val="20"/>
          <w:szCs w:val="20"/>
        </w:rPr>
        <w:t>Źródło: na podstawie danych Powiatowego Zespołu do Spraw Orzekania o Niepełnosprawności w Myślenicach</w:t>
      </w:r>
    </w:p>
    <w:p w14:paraId="3B270A2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Do grupy osób w niekorzystnej sytuacji zaliczono osoby z niepełnosprawnościami i ich opiekunów – osoby te mierzą się z problem dostępności. Uczestnicy spotkań w trakcie dyskusji zwrócili uwagę na niewystarczająco przystosowane otoczenie do potrzeb osób z niepełnosprawnościami. Spostrzeżenia mieszkańców potwierdzają powyższe dane oraz wyniki badania ankietowego. Podczas dyskusji na temat sytuacji osób zagrożonych wykluczeniem stwierdzono, że wciąż wiele osób z niepełnosprawnościami, szczególnie na terenach wiejskich, ma utrudniony dostęp do podstawowych usług, przez co mają ograniczone szanse na rozwój osobisty i społeczny. Uczestnicy spotkań zdając sobie sprawę, że wsparcie takich osób wymaga wielu nakładów zarówno finansowych jak i osobowych, zadecydowali, iż konieczne jest podjęcie nawet niewielkich działań, które pozwolą na włączenie osób z niepełnosprawnościami i ich opiekunów. </w:t>
      </w:r>
    </w:p>
    <w:p w14:paraId="63BCA858" w14:textId="77777777" w:rsidR="00686DFE" w:rsidRPr="00CE5D9A" w:rsidRDefault="00686DFE">
      <w:pPr>
        <w:pStyle w:val="Akapitzlist"/>
        <w:numPr>
          <w:ilvl w:val="1"/>
          <w:numId w:val="15"/>
        </w:numPr>
        <w:spacing w:before="240"/>
        <w:rPr>
          <w:rFonts w:ascii="Times New Roman" w:hAnsi="Times New Roman"/>
          <w:b/>
          <w:bCs/>
        </w:rPr>
      </w:pPr>
      <w:r w:rsidRPr="00CE5D9A">
        <w:rPr>
          <w:rFonts w:ascii="Times New Roman" w:hAnsi="Times New Roman"/>
          <w:b/>
          <w:bCs/>
        </w:rPr>
        <w:t>Finanse samorządowe</w:t>
      </w:r>
    </w:p>
    <w:p w14:paraId="57932AAF" w14:textId="04612EEC"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Sytuację finansową samorządów z obszaru</w:t>
      </w:r>
      <w:r w:rsidR="00EB66C4">
        <w:rPr>
          <w:rFonts w:ascii="Times New Roman" w:hAnsi="Times New Roman"/>
        </w:rPr>
        <w:t xml:space="preserve"> </w:t>
      </w:r>
      <w:r w:rsidR="00EB66C4" w:rsidRPr="00EB66C4">
        <w:rPr>
          <w:rFonts w:ascii="Times New Roman" w:hAnsi="Times New Roman"/>
          <w:color w:val="FF0000"/>
        </w:rPr>
        <w:t>LGD Regionu Myślenickiego</w:t>
      </w:r>
      <w:r w:rsidRPr="00CE5D9A">
        <w:rPr>
          <w:rFonts w:ascii="Times New Roman" w:hAnsi="Times New Roman"/>
        </w:rPr>
        <w:t xml:space="preserve"> </w:t>
      </w:r>
      <w:r w:rsidRPr="00EB66C4">
        <w:rPr>
          <w:rFonts w:ascii="Times New Roman" w:hAnsi="Times New Roman"/>
          <w:strike/>
          <w:color w:val="FF0000"/>
        </w:rPr>
        <w:t>LGD „MDiG”</w:t>
      </w:r>
      <w:r w:rsidRPr="00CE5D9A">
        <w:rPr>
          <w:rFonts w:ascii="Times New Roman" w:hAnsi="Times New Roman"/>
        </w:rPr>
        <w:t xml:space="preserve"> obrazują m.in. wskaźniki dochodów ogółem i dochodów własnych gmin w przeliczeniu na 1 mieszkańca. Średnie wartości tych wskaźników dla LGD, województwa małopolskiego i Polski w latach 2016–2021 przedstawiono w tabeli 12.</w:t>
      </w:r>
    </w:p>
    <w:p w14:paraId="43D958EF"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lastRenderedPageBreak/>
        <w:t>Dochody ogółem w przeliczeniu na 1 mieszkańca dla wszystkich analizowanych podmiotów corocznie rosły, podobna sytuacja dotyczy dochodów własnych gmin w przeliczeniu na 1 mieszkańca. Zdecydowanie najwyższe wartości dochodów ogółem na 1 mieszkańca wśród gmin LGD osiągała Gmina Raciechowice: w 2021 r. wyniosły 7 884 zł. Najwyższe dochody własne na 1 mieszkańca wśród gmin LGD osiągnęła natomiast Gmina Myślenice: w 2021 r. wyniosły 2 681 zł (dane GUS).</w:t>
      </w:r>
    </w:p>
    <w:p w14:paraId="0435AF1B" w14:textId="1FDA260E" w:rsidR="00686DFE" w:rsidRPr="00CE5D9A" w:rsidRDefault="00686DFE">
      <w:pPr>
        <w:pStyle w:val="Legenda"/>
        <w:spacing w:after="0"/>
        <w:jc w:val="center"/>
        <w:rPr>
          <w:rFonts w:ascii="Times New Roman" w:hAnsi="Times New Roman"/>
          <w:b/>
          <w:bCs/>
          <w:i w:val="0"/>
          <w:iCs w:val="0"/>
          <w:color w:val="auto"/>
          <w:sz w:val="20"/>
          <w:szCs w:val="20"/>
        </w:rPr>
      </w:pPr>
      <w:bookmarkStart w:id="95" w:name="_Toc134966359"/>
      <w:bookmarkStart w:id="96" w:name="_Toc194581436"/>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12</w:t>
      </w:r>
      <w:r w:rsidRPr="00CE5D9A">
        <w:rPr>
          <w:rFonts w:ascii="Times New Roman" w:hAnsi="Times New Roman"/>
          <w:b/>
          <w:bCs/>
          <w:i w:val="0"/>
          <w:iCs w:val="0"/>
          <w:color w:val="auto"/>
          <w:sz w:val="20"/>
          <w:szCs w:val="20"/>
        </w:rPr>
        <w:fldChar w:fldCharType="end"/>
      </w:r>
      <w:r w:rsidRPr="00CE5D9A">
        <w:rPr>
          <w:color w:val="auto"/>
        </w:rPr>
        <w:t xml:space="preserve"> </w:t>
      </w:r>
      <w:r w:rsidRPr="00CE5D9A">
        <w:rPr>
          <w:rFonts w:ascii="Times New Roman" w:hAnsi="Times New Roman"/>
          <w:b/>
          <w:bCs/>
          <w:i w:val="0"/>
          <w:iCs w:val="0"/>
          <w:color w:val="auto"/>
          <w:sz w:val="20"/>
          <w:szCs w:val="20"/>
        </w:rPr>
        <w:t>Dochody ogółem i dochody własne na 1 mieszkańca (zł) na obszarze LGD oraz porównanie do województwa i kraju w latach 2016–2021</w:t>
      </w:r>
      <w:bookmarkEnd w:id="95"/>
      <w:bookmarkEnd w:id="96"/>
    </w:p>
    <w:tbl>
      <w:tblPr>
        <w:tblW w:w="0" w:type="auto"/>
        <w:tblLayout w:type="fixed"/>
        <w:tblCellMar>
          <w:left w:w="70" w:type="dxa"/>
          <w:right w:w="70" w:type="dxa"/>
        </w:tblCellMar>
        <w:tblLook w:val="0000" w:firstRow="0" w:lastRow="0" w:firstColumn="0" w:lastColumn="0" w:noHBand="0" w:noVBand="0"/>
      </w:tblPr>
      <w:tblGrid>
        <w:gridCol w:w="2929"/>
        <w:gridCol w:w="601"/>
        <w:gridCol w:w="601"/>
        <w:gridCol w:w="601"/>
        <w:gridCol w:w="601"/>
        <w:gridCol w:w="601"/>
        <w:gridCol w:w="608"/>
        <w:gridCol w:w="590"/>
        <w:gridCol w:w="660"/>
        <w:gridCol w:w="631"/>
        <w:gridCol w:w="590"/>
        <w:gridCol w:w="590"/>
        <w:gridCol w:w="591"/>
      </w:tblGrid>
      <w:tr w:rsidR="00686DFE" w:rsidRPr="00CE5D9A" w14:paraId="0B1C28E5" w14:textId="77777777">
        <w:trPr>
          <w:trHeight w:val="340"/>
        </w:trPr>
        <w:tc>
          <w:tcPr>
            <w:tcW w:w="2929" w:type="dxa"/>
            <w:vMerge w:val="restart"/>
            <w:tcBorders>
              <w:top w:val="single" w:sz="4" w:space="0" w:color="auto"/>
              <w:left w:val="single" w:sz="4" w:space="0" w:color="auto"/>
              <w:bottom w:val="single" w:sz="4" w:space="0" w:color="auto"/>
              <w:right w:val="single" w:sz="4" w:space="0" w:color="auto"/>
            </w:tcBorders>
            <w:vAlign w:val="center"/>
          </w:tcPr>
          <w:p w14:paraId="1A8B4FF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3613" w:type="dxa"/>
            <w:gridSpan w:val="6"/>
            <w:tcBorders>
              <w:top w:val="single" w:sz="4" w:space="0" w:color="auto"/>
              <w:left w:val="nil"/>
              <w:bottom w:val="single" w:sz="4" w:space="0" w:color="auto"/>
              <w:right w:val="single" w:sz="4" w:space="0" w:color="auto"/>
            </w:tcBorders>
            <w:noWrap/>
            <w:vAlign w:val="center"/>
          </w:tcPr>
          <w:p w14:paraId="6D87703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Dochody ogółem na 1 mieszkańca (zł)</w:t>
            </w:r>
          </w:p>
        </w:tc>
        <w:tc>
          <w:tcPr>
            <w:tcW w:w="3652" w:type="dxa"/>
            <w:gridSpan w:val="6"/>
            <w:tcBorders>
              <w:top w:val="single" w:sz="4" w:space="0" w:color="auto"/>
              <w:left w:val="nil"/>
              <w:bottom w:val="single" w:sz="4" w:space="0" w:color="auto"/>
              <w:right w:val="single" w:sz="4" w:space="0" w:color="auto"/>
            </w:tcBorders>
            <w:noWrap/>
            <w:vAlign w:val="center"/>
          </w:tcPr>
          <w:p w14:paraId="7FE83A9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Dochody własne na 1 mieszkańca (zł)</w:t>
            </w:r>
          </w:p>
        </w:tc>
      </w:tr>
      <w:tr w:rsidR="00686DFE" w:rsidRPr="00CE5D9A" w14:paraId="5B98CD39" w14:textId="77777777">
        <w:trPr>
          <w:trHeight w:val="340"/>
        </w:trPr>
        <w:tc>
          <w:tcPr>
            <w:tcW w:w="2929" w:type="dxa"/>
            <w:vMerge/>
            <w:tcBorders>
              <w:top w:val="single" w:sz="4" w:space="0" w:color="auto"/>
              <w:left w:val="single" w:sz="4" w:space="0" w:color="auto"/>
              <w:bottom w:val="single" w:sz="4" w:space="0" w:color="auto"/>
              <w:right w:val="single" w:sz="4" w:space="0" w:color="auto"/>
            </w:tcBorders>
            <w:vAlign w:val="center"/>
          </w:tcPr>
          <w:p w14:paraId="525986AC"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601" w:type="dxa"/>
            <w:tcBorders>
              <w:top w:val="nil"/>
              <w:left w:val="nil"/>
              <w:bottom w:val="single" w:sz="4" w:space="0" w:color="auto"/>
              <w:right w:val="single" w:sz="4" w:space="0" w:color="auto"/>
            </w:tcBorders>
            <w:noWrap/>
            <w:vAlign w:val="center"/>
          </w:tcPr>
          <w:p w14:paraId="4F90582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601" w:type="dxa"/>
            <w:tcBorders>
              <w:top w:val="nil"/>
              <w:left w:val="nil"/>
              <w:bottom w:val="single" w:sz="4" w:space="0" w:color="auto"/>
              <w:right w:val="single" w:sz="4" w:space="0" w:color="auto"/>
            </w:tcBorders>
            <w:noWrap/>
            <w:vAlign w:val="center"/>
          </w:tcPr>
          <w:p w14:paraId="6F9226E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601" w:type="dxa"/>
            <w:tcBorders>
              <w:top w:val="nil"/>
              <w:left w:val="nil"/>
              <w:bottom w:val="single" w:sz="4" w:space="0" w:color="auto"/>
              <w:right w:val="single" w:sz="4" w:space="0" w:color="auto"/>
            </w:tcBorders>
            <w:noWrap/>
            <w:vAlign w:val="center"/>
          </w:tcPr>
          <w:p w14:paraId="54EA82B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601" w:type="dxa"/>
            <w:tcBorders>
              <w:top w:val="nil"/>
              <w:left w:val="nil"/>
              <w:bottom w:val="single" w:sz="4" w:space="0" w:color="auto"/>
              <w:right w:val="single" w:sz="4" w:space="0" w:color="auto"/>
            </w:tcBorders>
            <w:noWrap/>
            <w:vAlign w:val="center"/>
          </w:tcPr>
          <w:p w14:paraId="43A5A5C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601" w:type="dxa"/>
            <w:tcBorders>
              <w:top w:val="nil"/>
              <w:left w:val="nil"/>
              <w:bottom w:val="single" w:sz="4" w:space="0" w:color="auto"/>
              <w:right w:val="single" w:sz="4" w:space="0" w:color="auto"/>
            </w:tcBorders>
            <w:noWrap/>
            <w:vAlign w:val="center"/>
          </w:tcPr>
          <w:p w14:paraId="44D5DAC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608" w:type="dxa"/>
            <w:tcBorders>
              <w:top w:val="nil"/>
              <w:left w:val="nil"/>
              <w:bottom w:val="single" w:sz="4" w:space="0" w:color="auto"/>
              <w:right w:val="single" w:sz="4" w:space="0" w:color="auto"/>
            </w:tcBorders>
            <w:noWrap/>
            <w:vAlign w:val="center"/>
          </w:tcPr>
          <w:p w14:paraId="5B37A89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590" w:type="dxa"/>
            <w:tcBorders>
              <w:top w:val="nil"/>
              <w:left w:val="nil"/>
              <w:bottom w:val="single" w:sz="4" w:space="0" w:color="auto"/>
              <w:right w:val="single" w:sz="4" w:space="0" w:color="auto"/>
            </w:tcBorders>
            <w:noWrap/>
            <w:vAlign w:val="center"/>
          </w:tcPr>
          <w:p w14:paraId="014B729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660" w:type="dxa"/>
            <w:tcBorders>
              <w:top w:val="nil"/>
              <w:left w:val="nil"/>
              <w:bottom w:val="single" w:sz="4" w:space="0" w:color="auto"/>
              <w:right w:val="single" w:sz="4" w:space="0" w:color="auto"/>
            </w:tcBorders>
            <w:noWrap/>
            <w:vAlign w:val="center"/>
          </w:tcPr>
          <w:p w14:paraId="4677B42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631" w:type="dxa"/>
            <w:tcBorders>
              <w:top w:val="nil"/>
              <w:left w:val="nil"/>
              <w:bottom w:val="single" w:sz="4" w:space="0" w:color="auto"/>
              <w:right w:val="single" w:sz="4" w:space="0" w:color="auto"/>
            </w:tcBorders>
            <w:noWrap/>
            <w:vAlign w:val="center"/>
          </w:tcPr>
          <w:p w14:paraId="7946A62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590" w:type="dxa"/>
            <w:tcBorders>
              <w:top w:val="nil"/>
              <w:left w:val="nil"/>
              <w:bottom w:val="single" w:sz="4" w:space="0" w:color="auto"/>
              <w:right w:val="single" w:sz="4" w:space="0" w:color="auto"/>
            </w:tcBorders>
            <w:noWrap/>
            <w:vAlign w:val="center"/>
          </w:tcPr>
          <w:p w14:paraId="266088F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590" w:type="dxa"/>
            <w:tcBorders>
              <w:top w:val="nil"/>
              <w:left w:val="nil"/>
              <w:bottom w:val="single" w:sz="4" w:space="0" w:color="auto"/>
              <w:right w:val="single" w:sz="4" w:space="0" w:color="auto"/>
            </w:tcBorders>
            <w:noWrap/>
            <w:vAlign w:val="center"/>
          </w:tcPr>
          <w:p w14:paraId="60728C0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591" w:type="dxa"/>
            <w:tcBorders>
              <w:top w:val="nil"/>
              <w:left w:val="nil"/>
              <w:bottom w:val="single" w:sz="4" w:space="0" w:color="auto"/>
              <w:right w:val="single" w:sz="4" w:space="0" w:color="auto"/>
            </w:tcBorders>
            <w:noWrap/>
            <w:vAlign w:val="center"/>
          </w:tcPr>
          <w:p w14:paraId="257383E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r>
      <w:tr w:rsidR="00686DFE" w:rsidRPr="00CE5D9A" w14:paraId="27AFEC34"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1005F16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601" w:type="dxa"/>
            <w:tcBorders>
              <w:top w:val="nil"/>
              <w:left w:val="nil"/>
              <w:bottom w:val="single" w:sz="4" w:space="0" w:color="auto"/>
              <w:right w:val="single" w:sz="4" w:space="0" w:color="auto"/>
            </w:tcBorders>
            <w:noWrap/>
            <w:vAlign w:val="center"/>
          </w:tcPr>
          <w:p w14:paraId="4F0AD34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3 750</w:t>
            </w:r>
          </w:p>
        </w:tc>
        <w:tc>
          <w:tcPr>
            <w:tcW w:w="601" w:type="dxa"/>
            <w:tcBorders>
              <w:top w:val="nil"/>
              <w:left w:val="nil"/>
              <w:bottom w:val="single" w:sz="4" w:space="0" w:color="auto"/>
              <w:right w:val="single" w:sz="4" w:space="0" w:color="auto"/>
            </w:tcBorders>
            <w:noWrap/>
            <w:vAlign w:val="center"/>
          </w:tcPr>
          <w:p w14:paraId="6D5778D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4 115</w:t>
            </w:r>
          </w:p>
        </w:tc>
        <w:tc>
          <w:tcPr>
            <w:tcW w:w="601" w:type="dxa"/>
            <w:tcBorders>
              <w:top w:val="nil"/>
              <w:left w:val="nil"/>
              <w:bottom w:val="single" w:sz="4" w:space="0" w:color="auto"/>
              <w:right w:val="single" w:sz="4" w:space="0" w:color="auto"/>
            </w:tcBorders>
            <w:noWrap/>
            <w:vAlign w:val="center"/>
          </w:tcPr>
          <w:p w14:paraId="4FC2F51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4 316</w:t>
            </w:r>
          </w:p>
        </w:tc>
        <w:tc>
          <w:tcPr>
            <w:tcW w:w="601" w:type="dxa"/>
            <w:tcBorders>
              <w:top w:val="nil"/>
              <w:left w:val="nil"/>
              <w:bottom w:val="single" w:sz="4" w:space="0" w:color="auto"/>
              <w:right w:val="single" w:sz="4" w:space="0" w:color="auto"/>
            </w:tcBorders>
            <w:noWrap/>
            <w:vAlign w:val="center"/>
          </w:tcPr>
          <w:p w14:paraId="054072D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4 871</w:t>
            </w:r>
          </w:p>
        </w:tc>
        <w:tc>
          <w:tcPr>
            <w:tcW w:w="601" w:type="dxa"/>
            <w:tcBorders>
              <w:top w:val="nil"/>
              <w:left w:val="nil"/>
              <w:bottom w:val="single" w:sz="4" w:space="0" w:color="auto"/>
              <w:right w:val="single" w:sz="4" w:space="0" w:color="auto"/>
            </w:tcBorders>
            <w:noWrap/>
            <w:vAlign w:val="center"/>
          </w:tcPr>
          <w:p w14:paraId="148301B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5 206</w:t>
            </w:r>
          </w:p>
        </w:tc>
        <w:tc>
          <w:tcPr>
            <w:tcW w:w="608" w:type="dxa"/>
            <w:tcBorders>
              <w:top w:val="nil"/>
              <w:left w:val="nil"/>
              <w:bottom w:val="single" w:sz="4" w:space="0" w:color="auto"/>
              <w:right w:val="single" w:sz="4" w:space="0" w:color="auto"/>
            </w:tcBorders>
            <w:noWrap/>
            <w:vAlign w:val="center"/>
          </w:tcPr>
          <w:p w14:paraId="00E4BDB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5 889</w:t>
            </w:r>
          </w:p>
        </w:tc>
        <w:tc>
          <w:tcPr>
            <w:tcW w:w="590" w:type="dxa"/>
            <w:tcBorders>
              <w:top w:val="single" w:sz="4" w:space="0" w:color="auto"/>
              <w:left w:val="single" w:sz="8" w:space="0" w:color="auto"/>
              <w:bottom w:val="single" w:sz="4" w:space="0" w:color="auto"/>
              <w:right w:val="single" w:sz="4" w:space="0" w:color="auto"/>
            </w:tcBorders>
            <w:noWrap/>
            <w:vAlign w:val="center"/>
          </w:tcPr>
          <w:p w14:paraId="624FDEB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732</w:t>
            </w:r>
          </w:p>
        </w:tc>
        <w:tc>
          <w:tcPr>
            <w:tcW w:w="660" w:type="dxa"/>
            <w:tcBorders>
              <w:top w:val="single" w:sz="4" w:space="0" w:color="auto"/>
              <w:left w:val="nil"/>
              <w:bottom w:val="single" w:sz="4" w:space="0" w:color="auto"/>
              <w:right w:val="single" w:sz="4" w:space="0" w:color="auto"/>
            </w:tcBorders>
            <w:noWrap/>
            <w:vAlign w:val="center"/>
          </w:tcPr>
          <w:p w14:paraId="2D1FF14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846</w:t>
            </w:r>
          </w:p>
        </w:tc>
        <w:tc>
          <w:tcPr>
            <w:tcW w:w="631" w:type="dxa"/>
            <w:tcBorders>
              <w:top w:val="single" w:sz="4" w:space="0" w:color="auto"/>
              <w:left w:val="nil"/>
              <w:bottom w:val="single" w:sz="4" w:space="0" w:color="auto"/>
              <w:right w:val="single" w:sz="4" w:space="0" w:color="auto"/>
            </w:tcBorders>
            <w:noWrap/>
            <w:vAlign w:val="center"/>
          </w:tcPr>
          <w:p w14:paraId="3D779A6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851</w:t>
            </w:r>
          </w:p>
        </w:tc>
        <w:tc>
          <w:tcPr>
            <w:tcW w:w="590" w:type="dxa"/>
            <w:tcBorders>
              <w:top w:val="single" w:sz="4" w:space="0" w:color="auto"/>
              <w:left w:val="nil"/>
              <w:bottom w:val="single" w:sz="4" w:space="0" w:color="auto"/>
              <w:right w:val="single" w:sz="4" w:space="0" w:color="auto"/>
            </w:tcBorders>
            <w:noWrap/>
            <w:vAlign w:val="center"/>
          </w:tcPr>
          <w:p w14:paraId="306ABC4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1 004</w:t>
            </w:r>
          </w:p>
        </w:tc>
        <w:tc>
          <w:tcPr>
            <w:tcW w:w="590" w:type="dxa"/>
            <w:tcBorders>
              <w:top w:val="single" w:sz="4" w:space="0" w:color="auto"/>
              <w:left w:val="nil"/>
              <w:bottom w:val="single" w:sz="4" w:space="0" w:color="auto"/>
              <w:right w:val="single" w:sz="4" w:space="0" w:color="auto"/>
            </w:tcBorders>
            <w:noWrap/>
            <w:vAlign w:val="center"/>
          </w:tcPr>
          <w:p w14:paraId="09C4DF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1 091</w:t>
            </w:r>
          </w:p>
        </w:tc>
        <w:tc>
          <w:tcPr>
            <w:tcW w:w="591" w:type="dxa"/>
            <w:tcBorders>
              <w:top w:val="single" w:sz="4" w:space="0" w:color="auto"/>
              <w:left w:val="nil"/>
              <w:bottom w:val="single" w:sz="4" w:space="0" w:color="auto"/>
              <w:right w:val="single" w:sz="8" w:space="0" w:color="auto"/>
            </w:tcBorders>
            <w:noWrap/>
            <w:vAlign w:val="center"/>
          </w:tcPr>
          <w:p w14:paraId="60CCB10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1 176</w:t>
            </w:r>
          </w:p>
        </w:tc>
      </w:tr>
      <w:tr w:rsidR="00686DFE" w:rsidRPr="00CE5D9A" w14:paraId="4AB9C38B"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2305432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601" w:type="dxa"/>
            <w:tcBorders>
              <w:top w:val="nil"/>
              <w:left w:val="nil"/>
              <w:bottom w:val="single" w:sz="4" w:space="0" w:color="auto"/>
              <w:right w:val="single" w:sz="4" w:space="0" w:color="auto"/>
            </w:tcBorders>
            <w:noWrap/>
            <w:vAlign w:val="center"/>
          </w:tcPr>
          <w:p w14:paraId="1BED4AB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4 272</w:t>
            </w:r>
          </w:p>
        </w:tc>
        <w:tc>
          <w:tcPr>
            <w:tcW w:w="601" w:type="dxa"/>
            <w:tcBorders>
              <w:top w:val="nil"/>
              <w:left w:val="nil"/>
              <w:bottom w:val="single" w:sz="4" w:space="0" w:color="auto"/>
              <w:right w:val="single" w:sz="4" w:space="0" w:color="auto"/>
            </w:tcBorders>
            <w:noWrap/>
            <w:vAlign w:val="center"/>
          </w:tcPr>
          <w:p w14:paraId="79572BE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4 288</w:t>
            </w:r>
          </w:p>
        </w:tc>
        <w:tc>
          <w:tcPr>
            <w:tcW w:w="601" w:type="dxa"/>
            <w:tcBorders>
              <w:top w:val="nil"/>
              <w:left w:val="nil"/>
              <w:bottom w:val="single" w:sz="4" w:space="0" w:color="auto"/>
              <w:right w:val="single" w:sz="4" w:space="0" w:color="auto"/>
            </w:tcBorders>
            <w:noWrap/>
            <w:vAlign w:val="center"/>
          </w:tcPr>
          <w:p w14:paraId="203B772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4 332</w:t>
            </w:r>
          </w:p>
        </w:tc>
        <w:tc>
          <w:tcPr>
            <w:tcW w:w="601" w:type="dxa"/>
            <w:tcBorders>
              <w:top w:val="nil"/>
              <w:left w:val="nil"/>
              <w:bottom w:val="single" w:sz="4" w:space="0" w:color="auto"/>
              <w:right w:val="single" w:sz="4" w:space="0" w:color="auto"/>
            </w:tcBorders>
            <w:noWrap/>
            <w:vAlign w:val="center"/>
          </w:tcPr>
          <w:p w14:paraId="245735B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5 090</w:t>
            </w:r>
          </w:p>
        </w:tc>
        <w:tc>
          <w:tcPr>
            <w:tcW w:w="601" w:type="dxa"/>
            <w:tcBorders>
              <w:top w:val="nil"/>
              <w:left w:val="nil"/>
              <w:bottom w:val="single" w:sz="4" w:space="0" w:color="auto"/>
              <w:right w:val="single" w:sz="4" w:space="0" w:color="auto"/>
            </w:tcBorders>
            <w:noWrap/>
            <w:vAlign w:val="center"/>
          </w:tcPr>
          <w:p w14:paraId="40B379F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5 900</w:t>
            </w:r>
          </w:p>
        </w:tc>
        <w:tc>
          <w:tcPr>
            <w:tcW w:w="608" w:type="dxa"/>
            <w:tcBorders>
              <w:top w:val="nil"/>
              <w:left w:val="nil"/>
              <w:bottom w:val="single" w:sz="4" w:space="0" w:color="auto"/>
              <w:right w:val="single" w:sz="4" w:space="0" w:color="auto"/>
            </w:tcBorders>
            <w:noWrap/>
            <w:vAlign w:val="center"/>
          </w:tcPr>
          <w:p w14:paraId="405A576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6 145</w:t>
            </w:r>
          </w:p>
        </w:tc>
        <w:tc>
          <w:tcPr>
            <w:tcW w:w="590" w:type="dxa"/>
            <w:tcBorders>
              <w:top w:val="nil"/>
              <w:left w:val="single" w:sz="8" w:space="0" w:color="auto"/>
              <w:bottom w:val="single" w:sz="4" w:space="0" w:color="auto"/>
              <w:right w:val="single" w:sz="4" w:space="0" w:color="auto"/>
            </w:tcBorders>
            <w:noWrap/>
            <w:vAlign w:val="center"/>
          </w:tcPr>
          <w:p w14:paraId="64D7515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2 274</w:t>
            </w:r>
          </w:p>
        </w:tc>
        <w:tc>
          <w:tcPr>
            <w:tcW w:w="660" w:type="dxa"/>
            <w:tcBorders>
              <w:top w:val="nil"/>
              <w:left w:val="nil"/>
              <w:bottom w:val="single" w:sz="4" w:space="0" w:color="auto"/>
              <w:right w:val="single" w:sz="4" w:space="0" w:color="auto"/>
            </w:tcBorders>
            <w:noWrap/>
            <w:vAlign w:val="center"/>
          </w:tcPr>
          <w:p w14:paraId="3357A74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2 105</w:t>
            </w:r>
          </w:p>
        </w:tc>
        <w:tc>
          <w:tcPr>
            <w:tcW w:w="631" w:type="dxa"/>
            <w:tcBorders>
              <w:top w:val="nil"/>
              <w:left w:val="nil"/>
              <w:bottom w:val="single" w:sz="4" w:space="0" w:color="auto"/>
              <w:right w:val="single" w:sz="4" w:space="0" w:color="auto"/>
            </w:tcBorders>
            <w:noWrap/>
            <w:vAlign w:val="center"/>
          </w:tcPr>
          <w:p w14:paraId="44B85B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2 142</w:t>
            </w:r>
          </w:p>
        </w:tc>
        <w:tc>
          <w:tcPr>
            <w:tcW w:w="590" w:type="dxa"/>
            <w:tcBorders>
              <w:top w:val="nil"/>
              <w:left w:val="nil"/>
              <w:bottom w:val="single" w:sz="4" w:space="0" w:color="auto"/>
              <w:right w:val="single" w:sz="4" w:space="0" w:color="auto"/>
            </w:tcBorders>
            <w:noWrap/>
            <w:vAlign w:val="center"/>
          </w:tcPr>
          <w:p w14:paraId="6F8BE3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2 395</w:t>
            </w:r>
          </w:p>
        </w:tc>
        <w:tc>
          <w:tcPr>
            <w:tcW w:w="590" w:type="dxa"/>
            <w:tcBorders>
              <w:top w:val="nil"/>
              <w:left w:val="nil"/>
              <w:bottom w:val="single" w:sz="4" w:space="0" w:color="auto"/>
              <w:right w:val="single" w:sz="4" w:space="0" w:color="auto"/>
            </w:tcBorders>
            <w:noWrap/>
            <w:vAlign w:val="center"/>
          </w:tcPr>
          <w:p w14:paraId="649A73F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2 963</w:t>
            </w:r>
          </w:p>
        </w:tc>
        <w:tc>
          <w:tcPr>
            <w:tcW w:w="591" w:type="dxa"/>
            <w:tcBorders>
              <w:top w:val="nil"/>
              <w:left w:val="nil"/>
              <w:bottom w:val="single" w:sz="4" w:space="0" w:color="auto"/>
              <w:right w:val="single" w:sz="8" w:space="0" w:color="auto"/>
            </w:tcBorders>
            <w:noWrap/>
            <w:vAlign w:val="center"/>
          </w:tcPr>
          <w:p w14:paraId="14603AB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2 681</w:t>
            </w:r>
          </w:p>
        </w:tc>
      </w:tr>
      <w:tr w:rsidR="00686DFE" w:rsidRPr="00CE5D9A" w14:paraId="1CD1C12C"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538F7A6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601" w:type="dxa"/>
            <w:tcBorders>
              <w:top w:val="nil"/>
              <w:left w:val="nil"/>
              <w:bottom w:val="single" w:sz="4" w:space="0" w:color="auto"/>
              <w:right w:val="single" w:sz="4" w:space="0" w:color="auto"/>
            </w:tcBorders>
            <w:noWrap/>
            <w:vAlign w:val="center"/>
          </w:tcPr>
          <w:p w14:paraId="425758C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3 753</w:t>
            </w:r>
          </w:p>
        </w:tc>
        <w:tc>
          <w:tcPr>
            <w:tcW w:w="601" w:type="dxa"/>
            <w:tcBorders>
              <w:top w:val="nil"/>
              <w:left w:val="nil"/>
              <w:bottom w:val="single" w:sz="4" w:space="0" w:color="auto"/>
              <w:right w:val="single" w:sz="4" w:space="0" w:color="auto"/>
            </w:tcBorders>
            <w:noWrap/>
            <w:vAlign w:val="center"/>
          </w:tcPr>
          <w:p w14:paraId="2BF6575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4 137</w:t>
            </w:r>
          </w:p>
        </w:tc>
        <w:tc>
          <w:tcPr>
            <w:tcW w:w="601" w:type="dxa"/>
            <w:tcBorders>
              <w:top w:val="nil"/>
              <w:left w:val="nil"/>
              <w:bottom w:val="single" w:sz="4" w:space="0" w:color="auto"/>
              <w:right w:val="single" w:sz="4" w:space="0" w:color="auto"/>
            </w:tcBorders>
            <w:noWrap/>
            <w:vAlign w:val="center"/>
          </w:tcPr>
          <w:p w14:paraId="248248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4 463</w:t>
            </w:r>
          </w:p>
        </w:tc>
        <w:tc>
          <w:tcPr>
            <w:tcW w:w="601" w:type="dxa"/>
            <w:tcBorders>
              <w:top w:val="nil"/>
              <w:left w:val="nil"/>
              <w:bottom w:val="single" w:sz="4" w:space="0" w:color="auto"/>
              <w:right w:val="single" w:sz="4" w:space="0" w:color="auto"/>
            </w:tcBorders>
            <w:noWrap/>
            <w:vAlign w:val="center"/>
          </w:tcPr>
          <w:p w14:paraId="352AF00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4 635</w:t>
            </w:r>
          </w:p>
        </w:tc>
        <w:tc>
          <w:tcPr>
            <w:tcW w:w="601" w:type="dxa"/>
            <w:tcBorders>
              <w:top w:val="nil"/>
              <w:left w:val="nil"/>
              <w:bottom w:val="single" w:sz="4" w:space="0" w:color="auto"/>
              <w:right w:val="single" w:sz="4" w:space="0" w:color="auto"/>
            </w:tcBorders>
            <w:noWrap/>
            <w:vAlign w:val="center"/>
          </w:tcPr>
          <w:p w14:paraId="4B47654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5 557</w:t>
            </w:r>
          </w:p>
        </w:tc>
        <w:tc>
          <w:tcPr>
            <w:tcW w:w="608" w:type="dxa"/>
            <w:tcBorders>
              <w:top w:val="nil"/>
              <w:left w:val="nil"/>
              <w:bottom w:val="single" w:sz="4" w:space="0" w:color="auto"/>
              <w:right w:val="single" w:sz="4" w:space="0" w:color="auto"/>
            </w:tcBorders>
            <w:noWrap/>
            <w:vAlign w:val="center"/>
          </w:tcPr>
          <w:p w14:paraId="0D05571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6 538</w:t>
            </w:r>
          </w:p>
        </w:tc>
        <w:tc>
          <w:tcPr>
            <w:tcW w:w="590" w:type="dxa"/>
            <w:tcBorders>
              <w:top w:val="nil"/>
              <w:left w:val="single" w:sz="8" w:space="0" w:color="auto"/>
              <w:bottom w:val="single" w:sz="4" w:space="0" w:color="auto"/>
              <w:right w:val="single" w:sz="4" w:space="0" w:color="auto"/>
            </w:tcBorders>
            <w:noWrap/>
            <w:vAlign w:val="center"/>
          </w:tcPr>
          <w:p w14:paraId="20EB08B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881</w:t>
            </w:r>
          </w:p>
        </w:tc>
        <w:tc>
          <w:tcPr>
            <w:tcW w:w="660" w:type="dxa"/>
            <w:tcBorders>
              <w:top w:val="nil"/>
              <w:left w:val="nil"/>
              <w:bottom w:val="single" w:sz="4" w:space="0" w:color="auto"/>
              <w:right w:val="single" w:sz="4" w:space="0" w:color="auto"/>
            </w:tcBorders>
            <w:noWrap/>
            <w:vAlign w:val="center"/>
          </w:tcPr>
          <w:p w14:paraId="73B921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975</w:t>
            </w:r>
          </w:p>
        </w:tc>
        <w:tc>
          <w:tcPr>
            <w:tcW w:w="631" w:type="dxa"/>
            <w:tcBorders>
              <w:top w:val="nil"/>
              <w:left w:val="nil"/>
              <w:bottom w:val="single" w:sz="4" w:space="0" w:color="auto"/>
              <w:right w:val="single" w:sz="4" w:space="0" w:color="auto"/>
            </w:tcBorders>
            <w:noWrap/>
            <w:vAlign w:val="center"/>
          </w:tcPr>
          <w:p w14:paraId="2034E2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1 138</w:t>
            </w:r>
          </w:p>
        </w:tc>
        <w:tc>
          <w:tcPr>
            <w:tcW w:w="590" w:type="dxa"/>
            <w:tcBorders>
              <w:top w:val="nil"/>
              <w:left w:val="nil"/>
              <w:bottom w:val="single" w:sz="4" w:space="0" w:color="auto"/>
              <w:right w:val="single" w:sz="4" w:space="0" w:color="auto"/>
            </w:tcBorders>
            <w:noWrap/>
            <w:vAlign w:val="center"/>
          </w:tcPr>
          <w:p w14:paraId="27D8DA3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1 274</w:t>
            </w:r>
          </w:p>
        </w:tc>
        <w:tc>
          <w:tcPr>
            <w:tcW w:w="590" w:type="dxa"/>
            <w:tcBorders>
              <w:top w:val="nil"/>
              <w:left w:val="nil"/>
              <w:bottom w:val="single" w:sz="4" w:space="0" w:color="auto"/>
              <w:right w:val="single" w:sz="4" w:space="0" w:color="auto"/>
            </w:tcBorders>
            <w:noWrap/>
            <w:vAlign w:val="center"/>
          </w:tcPr>
          <w:p w14:paraId="45383A7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1 979</w:t>
            </w:r>
          </w:p>
        </w:tc>
        <w:tc>
          <w:tcPr>
            <w:tcW w:w="591" w:type="dxa"/>
            <w:tcBorders>
              <w:top w:val="nil"/>
              <w:left w:val="nil"/>
              <w:bottom w:val="single" w:sz="4" w:space="0" w:color="auto"/>
              <w:right w:val="single" w:sz="8" w:space="0" w:color="auto"/>
            </w:tcBorders>
            <w:noWrap/>
            <w:vAlign w:val="center"/>
          </w:tcPr>
          <w:p w14:paraId="192789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1 672</w:t>
            </w:r>
          </w:p>
        </w:tc>
      </w:tr>
      <w:tr w:rsidR="00686DFE" w:rsidRPr="00CE5D9A" w14:paraId="5AE63BAE"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35EC832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601" w:type="dxa"/>
            <w:tcBorders>
              <w:top w:val="nil"/>
              <w:left w:val="nil"/>
              <w:bottom w:val="single" w:sz="4" w:space="0" w:color="auto"/>
              <w:right w:val="single" w:sz="4" w:space="0" w:color="auto"/>
            </w:tcBorders>
            <w:noWrap/>
            <w:vAlign w:val="center"/>
          </w:tcPr>
          <w:p w14:paraId="4D6F9A8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4 907</w:t>
            </w:r>
          </w:p>
        </w:tc>
        <w:tc>
          <w:tcPr>
            <w:tcW w:w="601" w:type="dxa"/>
            <w:tcBorders>
              <w:top w:val="nil"/>
              <w:left w:val="nil"/>
              <w:bottom w:val="single" w:sz="4" w:space="0" w:color="auto"/>
              <w:right w:val="single" w:sz="4" w:space="0" w:color="auto"/>
            </w:tcBorders>
            <w:noWrap/>
            <w:vAlign w:val="center"/>
          </w:tcPr>
          <w:p w14:paraId="4D86F09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5 464</w:t>
            </w:r>
          </w:p>
        </w:tc>
        <w:tc>
          <w:tcPr>
            <w:tcW w:w="601" w:type="dxa"/>
            <w:tcBorders>
              <w:top w:val="nil"/>
              <w:left w:val="nil"/>
              <w:bottom w:val="single" w:sz="4" w:space="0" w:color="auto"/>
              <w:right w:val="single" w:sz="4" w:space="0" w:color="auto"/>
            </w:tcBorders>
            <w:noWrap/>
            <w:vAlign w:val="center"/>
          </w:tcPr>
          <w:p w14:paraId="4CC8FE1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5 329</w:t>
            </w:r>
          </w:p>
        </w:tc>
        <w:tc>
          <w:tcPr>
            <w:tcW w:w="601" w:type="dxa"/>
            <w:tcBorders>
              <w:top w:val="nil"/>
              <w:left w:val="nil"/>
              <w:bottom w:val="single" w:sz="4" w:space="0" w:color="auto"/>
              <w:right w:val="single" w:sz="4" w:space="0" w:color="auto"/>
            </w:tcBorders>
            <w:noWrap/>
            <w:vAlign w:val="center"/>
          </w:tcPr>
          <w:p w14:paraId="55C8906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5 747</w:t>
            </w:r>
          </w:p>
        </w:tc>
        <w:tc>
          <w:tcPr>
            <w:tcW w:w="601" w:type="dxa"/>
            <w:tcBorders>
              <w:top w:val="nil"/>
              <w:left w:val="nil"/>
              <w:bottom w:val="single" w:sz="4" w:space="0" w:color="auto"/>
              <w:right w:val="single" w:sz="4" w:space="0" w:color="auto"/>
            </w:tcBorders>
            <w:noWrap/>
            <w:vAlign w:val="center"/>
          </w:tcPr>
          <w:p w14:paraId="0A585CF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6 279</w:t>
            </w:r>
          </w:p>
        </w:tc>
        <w:tc>
          <w:tcPr>
            <w:tcW w:w="608" w:type="dxa"/>
            <w:tcBorders>
              <w:top w:val="nil"/>
              <w:left w:val="nil"/>
              <w:bottom w:val="single" w:sz="4" w:space="0" w:color="auto"/>
              <w:right w:val="single" w:sz="4" w:space="0" w:color="auto"/>
            </w:tcBorders>
            <w:noWrap/>
            <w:vAlign w:val="center"/>
          </w:tcPr>
          <w:p w14:paraId="7AF252C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7 884</w:t>
            </w:r>
          </w:p>
        </w:tc>
        <w:tc>
          <w:tcPr>
            <w:tcW w:w="590" w:type="dxa"/>
            <w:tcBorders>
              <w:top w:val="nil"/>
              <w:left w:val="single" w:sz="8" w:space="0" w:color="auto"/>
              <w:bottom w:val="single" w:sz="4" w:space="0" w:color="auto"/>
              <w:right w:val="single" w:sz="4" w:space="0" w:color="auto"/>
            </w:tcBorders>
            <w:noWrap/>
            <w:vAlign w:val="center"/>
          </w:tcPr>
          <w:p w14:paraId="3D5DA1B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947</w:t>
            </w:r>
          </w:p>
        </w:tc>
        <w:tc>
          <w:tcPr>
            <w:tcW w:w="660" w:type="dxa"/>
            <w:tcBorders>
              <w:top w:val="nil"/>
              <w:left w:val="nil"/>
              <w:bottom w:val="single" w:sz="4" w:space="0" w:color="auto"/>
              <w:right w:val="single" w:sz="4" w:space="0" w:color="auto"/>
            </w:tcBorders>
            <w:noWrap/>
            <w:vAlign w:val="center"/>
          </w:tcPr>
          <w:p w14:paraId="4C1196A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1 217</w:t>
            </w:r>
          </w:p>
        </w:tc>
        <w:tc>
          <w:tcPr>
            <w:tcW w:w="631" w:type="dxa"/>
            <w:tcBorders>
              <w:top w:val="nil"/>
              <w:left w:val="nil"/>
              <w:bottom w:val="single" w:sz="4" w:space="0" w:color="auto"/>
              <w:right w:val="single" w:sz="4" w:space="0" w:color="auto"/>
            </w:tcBorders>
            <w:noWrap/>
            <w:vAlign w:val="center"/>
          </w:tcPr>
          <w:p w14:paraId="59CDBF8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1 145</w:t>
            </w:r>
          </w:p>
        </w:tc>
        <w:tc>
          <w:tcPr>
            <w:tcW w:w="590" w:type="dxa"/>
            <w:tcBorders>
              <w:top w:val="nil"/>
              <w:left w:val="nil"/>
              <w:bottom w:val="single" w:sz="4" w:space="0" w:color="auto"/>
              <w:right w:val="single" w:sz="4" w:space="0" w:color="auto"/>
            </w:tcBorders>
            <w:noWrap/>
            <w:vAlign w:val="center"/>
          </w:tcPr>
          <w:p w14:paraId="4539EB6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1 363</w:t>
            </w:r>
          </w:p>
        </w:tc>
        <w:tc>
          <w:tcPr>
            <w:tcW w:w="590" w:type="dxa"/>
            <w:tcBorders>
              <w:top w:val="nil"/>
              <w:left w:val="nil"/>
              <w:bottom w:val="single" w:sz="4" w:space="0" w:color="auto"/>
              <w:right w:val="single" w:sz="4" w:space="0" w:color="auto"/>
            </w:tcBorders>
            <w:noWrap/>
            <w:vAlign w:val="center"/>
          </w:tcPr>
          <w:p w14:paraId="5A09635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1 450</w:t>
            </w:r>
          </w:p>
        </w:tc>
        <w:tc>
          <w:tcPr>
            <w:tcW w:w="591" w:type="dxa"/>
            <w:tcBorders>
              <w:top w:val="nil"/>
              <w:left w:val="nil"/>
              <w:bottom w:val="single" w:sz="4" w:space="0" w:color="auto"/>
              <w:right w:val="single" w:sz="8" w:space="0" w:color="auto"/>
            </w:tcBorders>
            <w:noWrap/>
            <w:vAlign w:val="center"/>
          </w:tcPr>
          <w:p w14:paraId="35355AB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1 856</w:t>
            </w:r>
          </w:p>
        </w:tc>
      </w:tr>
      <w:tr w:rsidR="007E43BE" w:rsidRPr="00CE5D9A" w14:paraId="70162750" w14:textId="77777777" w:rsidTr="007E43BE">
        <w:trPr>
          <w:trHeight w:val="340"/>
        </w:trPr>
        <w:tc>
          <w:tcPr>
            <w:tcW w:w="2929" w:type="dxa"/>
            <w:tcBorders>
              <w:top w:val="nil"/>
              <w:left w:val="single" w:sz="4" w:space="0" w:color="auto"/>
              <w:bottom w:val="single" w:sz="4" w:space="0" w:color="auto"/>
              <w:right w:val="single" w:sz="4" w:space="0" w:color="auto"/>
            </w:tcBorders>
            <w:noWrap/>
            <w:vAlign w:val="center"/>
          </w:tcPr>
          <w:p w14:paraId="4D8C5F32" w14:textId="77777777" w:rsidR="007E43BE" w:rsidRPr="00CE5D9A" w:rsidRDefault="007E43B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601" w:type="dxa"/>
            <w:tcBorders>
              <w:top w:val="nil"/>
              <w:left w:val="nil"/>
              <w:bottom w:val="single" w:sz="4" w:space="0" w:color="auto"/>
              <w:right w:val="single" w:sz="4" w:space="0" w:color="auto"/>
            </w:tcBorders>
            <w:noWrap/>
            <w:vAlign w:val="center"/>
          </w:tcPr>
          <w:p w14:paraId="1D2CEAF7"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4 027</w:t>
            </w:r>
          </w:p>
        </w:tc>
        <w:tc>
          <w:tcPr>
            <w:tcW w:w="601" w:type="dxa"/>
            <w:tcBorders>
              <w:top w:val="nil"/>
              <w:left w:val="nil"/>
              <w:bottom w:val="single" w:sz="4" w:space="0" w:color="auto"/>
              <w:right w:val="single" w:sz="4" w:space="0" w:color="auto"/>
            </w:tcBorders>
            <w:noWrap/>
            <w:vAlign w:val="center"/>
          </w:tcPr>
          <w:p w14:paraId="5F3ECB7D"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4 199</w:t>
            </w:r>
          </w:p>
        </w:tc>
        <w:tc>
          <w:tcPr>
            <w:tcW w:w="601" w:type="dxa"/>
            <w:tcBorders>
              <w:top w:val="nil"/>
              <w:left w:val="nil"/>
              <w:bottom w:val="single" w:sz="4" w:space="0" w:color="auto"/>
              <w:right w:val="single" w:sz="4" w:space="0" w:color="auto"/>
            </w:tcBorders>
            <w:noWrap/>
            <w:vAlign w:val="center"/>
          </w:tcPr>
          <w:p w14:paraId="07115860"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4 587</w:t>
            </w:r>
          </w:p>
        </w:tc>
        <w:tc>
          <w:tcPr>
            <w:tcW w:w="601" w:type="dxa"/>
            <w:tcBorders>
              <w:top w:val="nil"/>
              <w:left w:val="nil"/>
              <w:bottom w:val="single" w:sz="4" w:space="0" w:color="auto"/>
              <w:right w:val="single" w:sz="4" w:space="0" w:color="auto"/>
            </w:tcBorders>
            <w:noWrap/>
            <w:vAlign w:val="center"/>
          </w:tcPr>
          <w:p w14:paraId="3F7805CF"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5 231</w:t>
            </w:r>
          </w:p>
        </w:tc>
        <w:tc>
          <w:tcPr>
            <w:tcW w:w="601" w:type="dxa"/>
            <w:tcBorders>
              <w:top w:val="nil"/>
              <w:left w:val="nil"/>
              <w:bottom w:val="single" w:sz="4" w:space="0" w:color="auto"/>
              <w:right w:val="single" w:sz="4" w:space="0" w:color="auto"/>
            </w:tcBorders>
            <w:noWrap/>
            <w:vAlign w:val="center"/>
          </w:tcPr>
          <w:p w14:paraId="7A83B31B"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5 637</w:t>
            </w:r>
          </w:p>
        </w:tc>
        <w:tc>
          <w:tcPr>
            <w:tcW w:w="608" w:type="dxa"/>
            <w:tcBorders>
              <w:top w:val="nil"/>
              <w:left w:val="nil"/>
              <w:bottom w:val="single" w:sz="4" w:space="0" w:color="auto"/>
              <w:right w:val="single" w:sz="4" w:space="0" w:color="auto"/>
            </w:tcBorders>
            <w:noWrap/>
            <w:vAlign w:val="center"/>
          </w:tcPr>
          <w:p w14:paraId="297B1C01" w14:textId="77777777" w:rsidR="007E43BE" w:rsidRPr="00CE5D9A" w:rsidRDefault="007E43BE" w:rsidP="00053C5A">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6 110</w:t>
            </w:r>
          </w:p>
        </w:tc>
        <w:tc>
          <w:tcPr>
            <w:tcW w:w="590" w:type="dxa"/>
            <w:tcBorders>
              <w:top w:val="nil"/>
              <w:left w:val="single" w:sz="8" w:space="0" w:color="auto"/>
              <w:bottom w:val="single" w:sz="4" w:space="0" w:color="auto"/>
              <w:right w:val="single" w:sz="4" w:space="0" w:color="auto"/>
            </w:tcBorders>
            <w:noWrap/>
            <w:vAlign w:val="center"/>
          </w:tcPr>
          <w:p w14:paraId="72EE1C51"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1 556</w:t>
            </w:r>
          </w:p>
        </w:tc>
        <w:tc>
          <w:tcPr>
            <w:tcW w:w="660" w:type="dxa"/>
            <w:tcBorders>
              <w:top w:val="nil"/>
              <w:left w:val="nil"/>
              <w:bottom w:val="single" w:sz="4" w:space="0" w:color="auto"/>
              <w:right w:val="single" w:sz="4" w:space="0" w:color="auto"/>
            </w:tcBorders>
            <w:noWrap/>
            <w:vAlign w:val="center"/>
          </w:tcPr>
          <w:p w14:paraId="33C133FB"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1 632</w:t>
            </w:r>
          </w:p>
        </w:tc>
        <w:tc>
          <w:tcPr>
            <w:tcW w:w="631" w:type="dxa"/>
            <w:tcBorders>
              <w:top w:val="nil"/>
              <w:left w:val="nil"/>
              <w:bottom w:val="single" w:sz="4" w:space="0" w:color="auto"/>
              <w:right w:val="single" w:sz="4" w:space="0" w:color="auto"/>
            </w:tcBorders>
            <w:noWrap/>
            <w:vAlign w:val="center"/>
          </w:tcPr>
          <w:p w14:paraId="15F3F509"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1 878</w:t>
            </w:r>
          </w:p>
        </w:tc>
        <w:tc>
          <w:tcPr>
            <w:tcW w:w="590" w:type="dxa"/>
            <w:tcBorders>
              <w:top w:val="nil"/>
              <w:left w:val="nil"/>
              <w:bottom w:val="single" w:sz="4" w:space="0" w:color="auto"/>
              <w:right w:val="single" w:sz="4" w:space="0" w:color="auto"/>
            </w:tcBorders>
            <w:noWrap/>
            <w:vAlign w:val="center"/>
          </w:tcPr>
          <w:p w14:paraId="4B0C0D5F"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2 157</w:t>
            </w:r>
          </w:p>
        </w:tc>
        <w:tc>
          <w:tcPr>
            <w:tcW w:w="590" w:type="dxa"/>
            <w:tcBorders>
              <w:top w:val="nil"/>
              <w:left w:val="nil"/>
              <w:bottom w:val="single" w:sz="4" w:space="0" w:color="auto"/>
              <w:right w:val="single" w:sz="4" w:space="0" w:color="auto"/>
            </w:tcBorders>
            <w:noWrap/>
            <w:vAlign w:val="center"/>
          </w:tcPr>
          <w:p w14:paraId="2869CAB5"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2 472</w:t>
            </w:r>
          </w:p>
        </w:tc>
        <w:tc>
          <w:tcPr>
            <w:tcW w:w="591" w:type="dxa"/>
            <w:tcBorders>
              <w:top w:val="nil"/>
              <w:left w:val="nil"/>
              <w:bottom w:val="single" w:sz="4" w:space="0" w:color="auto"/>
              <w:right w:val="single" w:sz="8" w:space="0" w:color="auto"/>
            </w:tcBorders>
            <w:noWrap/>
            <w:vAlign w:val="center"/>
          </w:tcPr>
          <w:p w14:paraId="7D924962" w14:textId="77777777" w:rsidR="007E43BE" w:rsidRPr="00CE5D9A" w:rsidRDefault="007E43BE" w:rsidP="007E43BE">
            <w:pPr>
              <w:spacing w:after="0" w:line="240" w:lineRule="auto"/>
              <w:jc w:val="center"/>
              <w:rPr>
                <w:rFonts w:ascii="Times New Roman" w:hAnsi="Times New Roman"/>
                <w:sz w:val="20"/>
                <w:szCs w:val="20"/>
              </w:rPr>
            </w:pPr>
            <w:r w:rsidRPr="00CE5D9A">
              <w:rPr>
                <w:rFonts w:ascii="Times New Roman" w:hAnsi="Times New Roman"/>
                <w:sz w:val="20"/>
                <w:szCs w:val="20"/>
              </w:rPr>
              <w:t>2 454</w:t>
            </w:r>
          </w:p>
        </w:tc>
      </w:tr>
      <w:tr w:rsidR="00686DFE" w:rsidRPr="00CE5D9A" w14:paraId="3B596572"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1CEF2BDD"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601" w:type="dxa"/>
            <w:tcBorders>
              <w:top w:val="nil"/>
              <w:left w:val="nil"/>
              <w:bottom w:val="single" w:sz="4" w:space="0" w:color="auto"/>
              <w:right w:val="single" w:sz="4" w:space="0" w:color="auto"/>
            </w:tcBorders>
            <w:noWrap/>
            <w:vAlign w:val="center"/>
          </w:tcPr>
          <w:p w14:paraId="1E72843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3 713</w:t>
            </w:r>
          </w:p>
        </w:tc>
        <w:tc>
          <w:tcPr>
            <w:tcW w:w="601" w:type="dxa"/>
            <w:tcBorders>
              <w:top w:val="nil"/>
              <w:left w:val="nil"/>
              <w:bottom w:val="single" w:sz="4" w:space="0" w:color="auto"/>
              <w:right w:val="single" w:sz="4" w:space="0" w:color="auto"/>
            </w:tcBorders>
            <w:noWrap/>
            <w:vAlign w:val="center"/>
          </w:tcPr>
          <w:p w14:paraId="2A4818E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3 806</w:t>
            </w:r>
          </w:p>
        </w:tc>
        <w:tc>
          <w:tcPr>
            <w:tcW w:w="601" w:type="dxa"/>
            <w:tcBorders>
              <w:top w:val="nil"/>
              <w:left w:val="nil"/>
              <w:bottom w:val="single" w:sz="4" w:space="0" w:color="auto"/>
              <w:right w:val="single" w:sz="4" w:space="0" w:color="auto"/>
            </w:tcBorders>
            <w:noWrap/>
            <w:vAlign w:val="center"/>
          </w:tcPr>
          <w:p w14:paraId="2AEF988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4 007</w:t>
            </w:r>
          </w:p>
        </w:tc>
        <w:tc>
          <w:tcPr>
            <w:tcW w:w="601" w:type="dxa"/>
            <w:tcBorders>
              <w:top w:val="nil"/>
              <w:left w:val="nil"/>
              <w:bottom w:val="single" w:sz="4" w:space="0" w:color="auto"/>
              <w:right w:val="single" w:sz="4" w:space="0" w:color="auto"/>
            </w:tcBorders>
            <w:noWrap/>
            <w:vAlign w:val="center"/>
          </w:tcPr>
          <w:p w14:paraId="44BC3C2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4 369</w:t>
            </w:r>
          </w:p>
        </w:tc>
        <w:tc>
          <w:tcPr>
            <w:tcW w:w="601" w:type="dxa"/>
            <w:tcBorders>
              <w:top w:val="nil"/>
              <w:left w:val="nil"/>
              <w:bottom w:val="single" w:sz="4" w:space="0" w:color="auto"/>
              <w:right w:val="single" w:sz="4" w:space="0" w:color="auto"/>
            </w:tcBorders>
            <w:noWrap/>
            <w:vAlign w:val="center"/>
          </w:tcPr>
          <w:p w14:paraId="045B8ED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4 936</w:t>
            </w:r>
          </w:p>
        </w:tc>
        <w:tc>
          <w:tcPr>
            <w:tcW w:w="608" w:type="dxa"/>
            <w:tcBorders>
              <w:top w:val="nil"/>
              <w:left w:val="nil"/>
              <w:bottom w:val="single" w:sz="4" w:space="0" w:color="auto"/>
              <w:right w:val="single" w:sz="4" w:space="0" w:color="auto"/>
            </w:tcBorders>
            <w:noWrap/>
            <w:vAlign w:val="center"/>
          </w:tcPr>
          <w:p w14:paraId="4783813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5 601</w:t>
            </w:r>
          </w:p>
        </w:tc>
        <w:tc>
          <w:tcPr>
            <w:tcW w:w="590" w:type="dxa"/>
            <w:tcBorders>
              <w:top w:val="nil"/>
              <w:left w:val="single" w:sz="8" w:space="0" w:color="auto"/>
              <w:bottom w:val="single" w:sz="4" w:space="0" w:color="auto"/>
              <w:right w:val="single" w:sz="4" w:space="0" w:color="auto"/>
            </w:tcBorders>
            <w:noWrap/>
            <w:vAlign w:val="center"/>
          </w:tcPr>
          <w:p w14:paraId="1B00A3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1 095</w:t>
            </w:r>
          </w:p>
        </w:tc>
        <w:tc>
          <w:tcPr>
            <w:tcW w:w="660" w:type="dxa"/>
            <w:tcBorders>
              <w:top w:val="nil"/>
              <w:left w:val="nil"/>
              <w:bottom w:val="single" w:sz="4" w:space="0" w:color="auto"/>
              <w:right w:val="single" w:sz="4" w:space="0" w:color="auto"/>
            </w:tcBorders>
            <w:noWrap/>
            <w:vAlign w:val="center"/>
          </w:tcPr>
          <w:p w14:paraId="028B3A6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1 182</w:t>
            </w:r>
          </w:p>
        </w:tc>
        <w:tc>
          <w:tcPr>
            <w:tcW w:w="631" w:type="dxa"/>
            <w:tcBorders>
              <w:top w:val="nil"/>
              <w:left w:val="nil"/>
              <w:bottom w:val="single" w:sz="4" w:space="0" w:color="auto"/>
              <w:right w:val="single" w:sz="4" w:space="0" w:color="auto"/>
            </w:tcBorders>
            <w:noWrap/>
            <w:vAlign w:val="center"/>
          </w:tcPr>
          <w:p w14:paraId="324C9A7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1 354</w:t>
            </w:r>
          </w:p>
        </w:tc>
        <w:tc>
          <w:tcPr>
            <w:tcW w:w="590" w:type="dxa"/>
            <w:tcBorders>
              <w:top w:val="nil"/>
              <w:left w:val="nil"/>
              <w:bottom w:val="single" w:sz="4" w:space="0" w:color="auto"/>
              <w:right w:val="single" w:sz="4" w:space="0" w:color="auto"/>
            </w:tcBorders>
            <w:noWrap/>
            <w:vAlign w:val="center"/>
          </w:tcPr>
          <w:p w14:paraId="3FCFD78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1 480</w:t>
            </w:r>
          </w:p>
        </w:tc>
        <w:tc>
          <w:tcPr>
            <w:tcW w:w="590" w:type="dxa"/>
            <w:tcBorders>
              <w:top w:val="nil"/>
              <w:left w:val="nil"/>
              <w:bottom w:val="single" w:sz="4" w:space="0" w:color="auto"/>
              <w:right w:val="single" w:sz="4" w:space="0" w:color="auto"/>
            </w:tcBorders>
            <w:noWrap/>
            <w:vAlign w:val="center"/>
          </w:tcPr>
          <w:p w14:paraId="238B206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1 705</w:t>
            </w:r>
          </w:p>
        </w:tc>
        <w:tc>
          <w:tcPr>
            <w:tcW w:w="591" w:type="dxa"/>
            <w:tcBorders>
              <w:top w:val="nil"/>
              <w:left w:val="nil"/>
              <w:bottom w:val="single" w:sz="4" w:space="0" w:color="auto"/>
              <w:right w:val="single" w:sz="8" w:space="0" w:color="auto"/>
            </w:tcBorders>
            <w:noWrap/>
            <w:vAlign w:val="center"/>
          </w:tcPr>
          <w:p w14:paraId="2B67775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1 761</w:t>
            </w:r>
          </w:p>
        </w:tc>
      </w:tr>
      <w:tr w:rsidR="00686DFE" w:rsidRPr="00CE5D9A" w14:paraId="56F6C933"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6F95AC64"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601" w:type="dxa"/>
            <w:tcBorders>
              <w:top w:val="nil"/>
              <w:left w:val="nil"/>
              <w:bottom w:val="single" w:sz="4" w:space="0" w:color="auto"/>
              <w:right w:val="single" w:sz="4" w:space="0" w:color="auto"/>
            </w:tcBorders>
            <w:noWrap/>
            <w:vAlign w:val="center"/>
          </w:tcPr>
          <w:p w14:paraId="5C035A5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3 804</w:t>
            </w:r>
          </w:p>
        </w:tc>
        <w:tc>
          <w:tcPr>
            <w:tcW w:w="601" w:type="dxa"/>
            <w:tcBorders>
              <w:top w:val="nil"/>
              <w:left w:val="nil"/>
              <w:bottom w:val="single" w:sz="4" w:space="0" w:color="auto"/>
              <w:right w:val="single" w:sz="4" w:space="0" w:color="auto"/>
            </w:tcBorders>
            <w:noWrap/>
            <w:vAlign w:val="center"/>
          </w:tcPr>
          <w:p w14:paraId="07AD5F3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4 274</w:t>
            </w:r>
          </w:p>
        </w:tc>
        <w:tc>
          <w:tcPr>
            <w:tcW w:w="601" w:type="dxa"/>
            <w:tcBorders>
              <w:top w:val="nil"/>
              <w:left w:val="nil"/>
              <w:bottom w:val="single" w:sz="4" w:space="0" w:color="auto"/>
              <w:right w:val="single" w:sz="4" w:space="0" w:color="auto"/>
            </w:tcBorders>
            <w:noWrap/>
            <w:vAlign w:val="center"/>
          </w:tcPr>
          <w:p w14:paraId="2129E5B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4 487</w:t>
            </w:r>
          </w:p>
        </w:tc>
        <w:tc>
          <w:tcPr>
            <w:tcW w:w="601" w:type="dxa"/>
            <w:tcBorders>
              <w:top w:val="nil"/>
              <w:left w:val="nil"/>
              <w:bottom w:val="single" w:sz="4" w:space="0" w:color="auto"/>
              <w:right w:val="single" w:sz="4" w:space="0" w:color="auto"/>
            </w:tcBorders>
            <w:noWrap/>
            <w:vAlign w:val="center"/>
          </w:tcPr>
          <w:p w14:paraId="5F5E948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4 799</w:t>
            </w:r>
          </w:p>
        </w:tc>
        <w:tc>
          <w:tcPr>
            <w:tcW w:w="601" w:type="dxa"/>
            <w:tcBorders>
              <w:top w:val="nil"/>
              <w:left w:val="nil"/>
              <w:bottom w:val="single" w:sz="4" w:space="0" w:color="auto"/>
              <w:right w:val="single" w:sz="4" w:space="0" w:color="auto"/>
            </w:tcBorders>
            <w:noWrap/>
            <w:vAlign w:val="center"/>
          </w:tcPr>
          <w:p w14:paraId="4A7564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5 820</w:t>
            </w:r>
          </w:p>
        </w:tc>
        <w:tc>
          <w:tcPr>
            <w:tcW w:w="608" w:type="dxa"/>
            <w:tcBorders>
              <w:top w:val="nil"/>
              <w:left w:val="nil"/>
              <w:bottom w:val="single" w:sz="4" w:space="0" w:color="auto"/>
              <w:right w:val="single" w:sz="4" w:space="0" w:color="auto"/>
            </w:tcBorders>
            <w:noWrap/>
            <w:vAlign w:val="center"/>
          </w:tcPr>
          <w:p w14:paraId="148B179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6 743</w:t>
            </w:r>
          </w:p>
        </w:tc>
        <w:tc>
          <w:tcPr>
            <w:tcW w:w="590" w:type="dxa"/>
            <w:tcBorders>
              <w:top w:val="nil"/>
              <w:left w:val="single" w:sz="8" w:space="0" w:color="auto"/>
              <w:bottom w:val="single" w:sz="4" w:space="0" w:color="auto"/>
              <w:right w:val="single" w:sz="4" w:space="0" w:color="auto"/>
            </w:tcBorders>
            <w:noWrap/>
            <w:vAlign w:val="center"/>
          </w:tcPr>
          <w:p w14:paraId="3715CF4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692</w:t>
            </w:r>
          </w:p>
        </w:tc>
        <w:tc>
          <w:tcPr>
            <w:tcW w:w="660" w:type="dxa"/>
            <w:tcBorders>
              <w:top w:val="nil"/>
              <w:left w:val="nil"/>
              <w:bottom w:val="single" w:sz="4" w:space="0" w:color="auto"/>
              <w:right w:val="single" w:sz="4" w:space="0" w:color="auto"/>
            </w:tcBorders>
            <w:noWrap/>
            <w:vAlign w:val="center"/>
          </w:tcPr>
          <w:p w14:paraId="5ABDD08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729</w:t>
            </w:r>
          </w:p>
        </w:tc>
        <w:tc>
          <w:tcPr>
            <w:tcW w:w="631" w:type="dxa"/>
            <w:tcBorders>
              <w:top w:val="nil"/>
              <w:left w:val="nil"/>
              <w:bottom w:val="single" w:sz="4" w:space="0" w:color="auto"/>
              <w:right w:val="single" w:sz="4" w:space="0" w:color="auto"/>
            </w:tcBorders>
            <w:noWrap/>
            <w:vAlign w:val="center"/>
          </w:tcPr>
          <w:p w14:paraId="3EF6916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836</w:t>
            </w:r>
          </w:p>
        </w:tc>
        <w:tc>
          <w:tcPr>
            <w:tcW w:w="590" w:type="dxa"/>
            <w:tcBorders>
              <w:top w:val="nil"/>
              <w:left w:val="nil"/>
              <w:bottom w:val="single" w:sz="4" w:space="0" w:color="auto"/>
              <w:right w:val="single" w:sz="4" w:space="0" w:color="auto"/>
            </w:tcBorders>
            <w:noWrap/>
            <w:vAlign w:val="center"/>
          </w:tcPr>
          <w:p w14:paraId="14360B7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922</w:t>
            </w:r>
          </w:p>
        </w:tc>
        <w:tc>
          <w:tcPr>
            <w:tcW w:w="590" w:type="dxa"/>
            <w:tcBorders>
              <w:top w:val="nil"/>
              <w:left w:val="nil"/>
              <w:bottom w:val="single" w:sz="4" w:space="0" w:color="auto"/>
              <w:right w:val="single" w:sz="4" w:space="0" w:color="auto"/>
            </w:tcBorders>
            <w:noWrap/>
            <w:vAlign w:val="center"/>
          </w:tcPr>
          <w:p w14:paraId="7863B52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1 588</w:t>
            </w:r>
          </w:p>
        </w:tc>
        <w:tc>
          <w:tcPr>
            <w:tcW w:w="591" w:type="dxa"/>
            <w:tcBorders>
              <w:top w:val="nil"/>
              <w:left w:val="nil"/>
              <w:bottom w:val="single" w:sz="4" w:space="0" w:color="auto"/>
              <w:right w:val="single" w:sz="8" w:space="0" w:color="auto"/>
            </w:tcBorders>
            <w:noWrap/>
            <w:vAlign w:val="center"/>
          </w:tcPr>
          <w:p w14:paraId="2429142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1 351</w:t>
            </w:r>
          </w:p>
        </w:tc>
      </w:tr>
      <w:tr w:rsidR="00686DFE" w:rsidRPr="00CE5D9A" w14:paraId="49F28A73"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549189B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601" w:type="dxa"/>
            <w:tcBorders>
              <w:top w:val="nil"/>
              <w:left w:val="nil"/>
              <w:bottom w:val="single" w:sz="4" w:space="0" w:color="auto"/>
              <w:right w:val="single" w:sz="4" w:space="0" w:color="auto"/>
            </w:tcBorders>
            <w:noWrap/>
            <w:vAlign w:val="center"/>
          </w:tcPr>
          <w:p w14:paraId="6E5DD3D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4 103</w:t>
            </w:r>
          </w:p>
        </w:tc>
        <w:tc>
          <w:tcPr>
            <w:tcW w:w="601" w:type="dxa"/>
            <w:tcBorders>
              <w:top w:val="nil"/>
              <w:left w:val="nil"/>
              <w:bottom w:val="single" w:sz="4" w:space="0" w:color="auto"/>
              <w:right w:val="single" w:sz="4" w:space="0" w:color="auto"/>
            </w:tcBorders>
            <w:noWrap/>
            <w:vAlign w:val="center"/>
          </w:tcPr>
          <w:p w14:paraId="2094406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4 448</w:t>
            </w:r>
          </w:p>
        </w:tc>
        <w:tc>
          <w:tcPr>
            <w:tcW w:w="601" w:type="dxa"/>
            <w:tcBorders>
              <w:top w:val="nil"/>
              <w:left w:val="nil"/>
              <w:bottom w:val="single" w:sz="4" w:space="0" w:color="auto"/>
              <w:right w:val="single" w:sz="4" w:space="0" w:color="auto"/>
            </w:tcBorders>
            <w:noWrap/>
            <w:vAlign w:val="center"/>
          </w:tcPr>
          <w:p w14:paraId="7276DDD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4 775</w:t>
            </w:r>
          </w:p>
        </w:tc>
        <w:tc>
          <w:tcPr>
            <w:tcW w:w="601" w:type="dxa"/>
            <w:tcBorders>
              <w:top w:val="nil"/>
              <w:left w:val="nil"/>
              <w:bottom w:val="single" w:sz="4" w:space="0" w:color="auto"/>
              <w:right w:val="single" w:sz="4" w:space="0" w:color="auto"/>
            </w:tcBorders>
            <w:noWrap/>
            <w:vAlign w:val="center"/>
          </w:tcPr>
          <w:p w14:paraId="5528A28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5 794</w:t>
            </w:r>
          </w:p>
        </w:tc>
        <w:tc>
          <w:tcPr>
            <w:tcW w:w="601" w:type="dxa"/>
            <w:tcBorders>
              <w:top w:val="nil"/>
              <w:left w:val="nil"/>
              <w:bottom w:val="single" w:sz="4" w:space="0" w:color="auto"/>
              <w:right w:val="single" w:sz="4" w:space="0" w:color="auto"/>
            </w:tcBorders>
            <w:noWrap/>
            <w:vAlign w:val="center"/>
          </w:tcPr>
          <w:p w14:paraId="12F0A60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6 433</w:t>
            </w:r>
          </w:p>
        </w:tc>
        <w:tc>
          <w:tcPr>
            <w:tcW w:w="608" w:type="dxa"/>
            <w:tcBorders>
              <w:top w:val="nil"/>
              <w:left w:val="nil"/>
              <w:bottom w:val="single" w:sz="4" w:space="0" w:color="auto"/>
              <w:right w:val="single" w:sz="4" w:space="0" w:color="auto"/>
            </w:tcBorders>
            <w:noWrap/>
            <w:vAlign w:val="center"/>
          </w:tcPr>
          <w:p w14:paraId="351D69B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7 452</w:t>
            </w:r>
          </w:p>
        </w:tc>
        <w:tc>
          <w:tcPr>
            <w:tcW w:w="590" w:type="dxa"/>
            <w:tcBorders>
              <w:top w:val="nil"/>
              <w:left w:val="single" w:sz="8" w:space="0" w:color="auto"/>
              <w:bottom w:val="single" w:sz="4" w:space="0" w:color="auto"/>
              <w:right w:val="single" w:sz="4" w:space="0" w:color="auto"/>
            </w:tcBorders>
            <w:noWrap/>
            <w:vAlign w:val="center"/>
          </w:tcPr>
          <w:p w14:paraId="446CE31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1 000</w:t>
            </w:r>
          </w:p>
        </w:tc>
        <w:tc>
          <w:tcPr>
            <w:tcW w:w="660" w:type="dxa"/>
            <w:tcBorders>
              <w:top w:val="nil"/>
              <w:left w:val="nil"/>
              <w:bottom w:val="single" w:sz="4" w:space="0" w:color="auto"/>
              <w:right w:val="single" w:sz="4" w:space="0" w:color="auto"/>
            </w:tcBorders>
            <w:noWrap/>
            <w:vAlign w:val="center"/>
          </w:tcPr>
          <w:p w14:paraId="2051259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1 049</w:t>
            </w:r>
          </w:p>
        </w:tc>
        <w:tc>
          <w:tcPr>
            <w:tcW w:w="631" w:type="dxa"/>
            <w:tcBorders>
              <w:top w:val="nil"/>
              <w:left w:val="nil"/>
              <w:bottom w:val="single" w:sz="4" w:space="0" w:color="auto"/>
              <w:right w:val="single" w:sz="4" w:space="0" w:color="auto"/>
            </w:tcBorders>
            <w:noWrap/>
            <w:vAlign w:val="center"/>
          </w:tcPr>
          <w:p w14:paraId="641B5D0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1 221</w:t>
            </w:r>
          </w:p>
        </w:tc>
        <w:tc>
          <w:tcPr>
            <w:tcW w:w="590" w:type="dxa"/>
            <w:tcBorders>
              <w:top w:val="nil"/>
              <w:left w:val="nil"/>
              <w:bottom w:val="single" w:sz="4" w:space="0" w:color="auto"/>
              <w:right w:val="single" w:sz="4" w:space="0" w:color="auto"/>
            </w:tcBorders>
            <w:noWrap/>
            <w:vAlign w:val="center"/>
          </w:tcPr>
          <w:p w14:paraId="08CCD39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1 357</w:t>
            </w:r>
          </w:p>
        </w:tc>
        <w:tc>
          <w:tcPr>
            <w:tcW w:w="590" w:type="dxa"/>
            <w:tcBorders>
              <w:top w:val="nil"/>
              <w:left w:val="nil"/>
              <w:bottom w:val="single" w:sz="4" w:space="0" w:color="auto"/>
              <w:right w:val="single" w:sz="4" w:space="0" w:color="auto"/>
            </w:tcBorders>
            <w:noWrap/>
            <w:vAlign w:val="center"/>
          </w:tcPr>
          <w:p w14:paraId="34DD75C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1 680</w:t>
            </w:r>
          </w:p>
        </w:tc>
        <w:tc>
          <w:tcPr>
            <w:tcW w:w="591" w:type="dxa"/>
            <w:tcBorders>
              <w:top w:val="nil"/>
              <w:left w:val="nil"/>
              <w:bottom w:val="single" w:sz="4" w:space="0" w:color="auto"/>
              <w:right w:val="single" w:sz="8" w:space="0" w:color="auto"/>
            </w:tcBorders>
            <w:noWrap/>
            <w:vAlign w:val="center"/>
          </w:tcPr>
          <w:p w14:paraId="2EFD640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1 661</w:t>
            </w:r>
          </w:p>
        </w:tc>
      </w:tr>
      <w:tr w:rsidR="007E43BE" w:rsidRPr="00CE5D9A" w14:paraId="2CBE684C" w14:textId="77777777" w:rsidTr="007E43BE">
        <w:trPr>
          <w:trHeight w:val="340"/>
        </w:trPr>
        <w:tc>
          <w:tcPr>
            <w:tcW w:w="2929" w:type="dxa"/>
            <w:tcBorders>
              <w:top w:val="nil"/>
              <w:left w:val="single" w:sz="4" w:space="0" w:color="auto"/>
              <w:bottom w:val="single" w:sz="4" w:space="0" w:color="auto"/>
              <w:right w:val="single" w:sz="4" w:space="0" w:color="auto"/>
            </w:tcBorders>
            <w:noWrap/>
            <w:vAlign w:val="center"/>
          </w:tcPr>
          <w:p w14:paraId="1B721CC5" w14:textId="77777777" w:rsidR="007E43BE" w:rsidRPr="008F6A9A" w:rsidRDefault="007E43BE">
            <w:pPr>
              <w:spacing w:after="0" w:line="240" w:lineRule="auto"/>
              <w:rPr>
                <w:rFonts w:ascii="Times New Roman" w:eastAsia="Times New Roman" w:hAnsi="Times New Roman"/>
                <w:b/>
                <w:bCs/>
                <w:strike/>
                <w:color w:val="FF0000"/>
                <w:sz w:val="20"/>
                <w:szCs w:val="20"/>
                <w:lang w:eastAsia="pl-PL"/>
              </w:rPr>
            </w:pPr>
            <w:r w:rsidRPr="008F6A9A">
              <w:rPr>
                <w:rFonts w:ascii="Times New Roman" w:eastAsia="Times New Roman" w:hAnsi="Times New Roman"/>
                <w:b/>
                <w:bCs/>
                <w:strike/>
                <w:color w:val="FF0000"/>
                <w:sz w:val="20"/>
                <w:szCs w:val="20"/>
                <w:lang w:eastAsia="pl-PL"/>
              </w:rPr>
              <w:t>LGD Między Dalinem i Gościbią</w:t>
            </w:r>
          </w:p>
          <w:p w14:paraId="78B642ED" w14:textId="72E0D44E" w:rsidR="008F6A9A" w:rsidRPr="00CE5D9A" w:rsidRDefault="008F6A9A">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601" w:type="dxa"/>
            <w:tcBorders>
              <w:top w:val="nil"/>
              <w:left w:val="nil"/>
              <w:bottom w:val="single" w:sz="4" w:space="0" w:color="auto"/>
              <w:right w:val="single" w:sz="4" w:space="0" w:color="auto"/>
            </w:tcBorders>
            <w:noWrap/>
            <w:vAlign w:val="center"/>
          </w:tcPr>
          <w:p w14:paraId="0332868C"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4 068</w:t>
            </w:r>
          </w:p>
        </w:tc>
        <w:tc>
          <w:tcPr>
            <w:tcW w:w="601" w:type="dxa"/>
            <w:tcBorders>
              <w:top w:val="nil"/>
              <w:left w:val="nil"/>
              <w:bottom w:val="single" w:sz="4" w:space="0" w:color="auto"/>
              <w:right w:val="single" w:sz="4" w:space="0" w:color="auto"/>
            </w:tcBorders>
            <w:noWrap/>
            <w:vAlign w:val="center"/>
          </w:tcPr>
          <w:p w14:paraId="4460537E"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4 263</w:t>
            </w:r>
          </w:p>
        </w:tc>
        <w:tc>
          <w:tcPr>
            <w:tcW w:w="601" w:type="dxa"/>
            <w:tcBorders>
              <w:top w:val="nil"/>
              <w:left w:val="nil"/>
              <w:bottom w:val="single" w:sz="4" w:space="0" w:color="auto"/>
              <w:right w:val="single" w:sz="4" w:space="0" w:color="auto"/>
            </w:tcBorders>
            <w:noWrap/>
            <w:vAlign w:val="center"/>
          </w:tcPr>
          <w:p w14:paraId="3E6FF02D"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4 419</w:t>
            </w:r>
          </w:p>
        </w:tc>
        <w:tc>
          <w:tcPr>
            <w:tcW w:w="601" w:type="dxa"/>
            <w:tcBorders>
              <w:top w:val="nil"/>
              <w:left w:val="nil"/>
              <w:bottom w:val="single" w:sz="4" w:space="0" w:color="auto"/>
              <w:right w:val="single" w:sz="4" w:space="0" w:color="auto"/>
            </w:tcBorders>
            <w:noWrap/>
            <w:vAlign w:val="center"/>
          </w:tcPr>
          <w:p w14:paraId="675DD24D"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5 002</w:t>
            </w:r>
          </w:p>
        </w:tc>
        <w:tc>
          <w:tcPr>
            <w:tcW w:w="601" w:type="dxa"/>
            <w:tcBorders>
              <w:top w:val="nil"/>
              <w:left w:val="nil"/>
              <w:bottom w:val="single" w:sz="4" w:space="0" w:color="auto"/>
              <w:right w:val="single" w:sz="4" w:space="0" w:color="auto"/>
            </w:tcBorders>
            <w:noWrap/>
            <w:vAlign w:val="center"/>
          </w:tcPr>
          <w:p w14:paraId="1559B9A7"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5 705</w:t>
            </w:r>
          </w:p>
        </w:tc>
        <w:tc>
          <w:tcPr>
            <w:tcW w:w="608" w:type="dxa"/>
            <w:tcBorders>
              <w:top w:val="nil"/>
              <w:left w:val="nil"/>
              <w:bottom w:val="single" w:sz="4" w:space="0" w:color="auto"/>
              <w:right w:val="single" w:sz="4" w:space="0" w:color="auto"/>
            </w:tcBorders>
            <w:noWrap/>
            <w:vAlign w:val="center"/>
          </w:tcPr>
          <w:p w14:paraId="2E3401CD" w14:textId="77777777" w:rsidR="007E43BE" w:rsidRPr="00CE5D9A" w:rsidRDefault="007E43BE" w:rsidP="002422F5">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6 315</w:t>
            </w:r>
          </w:p>
        </w:tc>
        <w:tc>
          <w:tcPr>
            <w:tcW w:w="590" w:type="dxa"/>
            <w:tcBorders>
              <w:top w:val="nil"/>
              <w:left w:val="single" w:sz="8" w:space="0" w:color="auto"/>
              <w:bottom w:val="single" w:sz="4" w:space="0" w:color="auto"/>
              <w:right w:val="single" w:sz="4" w:space="0" w:color="auto"/>
            </w:tcBorders>
            <w:noWrap/>
            <w:vAlign w:val="center"/>
          </w:tcPr>
          <w:p w14:paraId="1C35EFEA"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1 498</w:t>
            </w:r>
          </w:p>
        </w:tc>
        <w:tc>
          <w:tcPr>
            <w:tcW w:w="660" w:type="dxa"/>
            <w:tcBorders>
              <w:top w:val="nil"/>
              <w:left w:val="nil"/>
              <w:bottom w:val="single" w:sz="4" w:space="0" w:color="auto"/>
              <w:right w:val="single" w:sz="4" w:space="0" w:color="auto"/>
            </w:tcBorders>
            <w:noWrap/>
            <w:vAlign w:val="center"/>
          </w:tcPr>
          <w:p w14:paraId="5C41A0B3"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1 490</w:t>
            </w:r>
          </w:p>
        </w:tc>
        <w:tc>
          <w:tcPr>
            <w:tcW w:w="631" w:type="dxa"/>
            <w:tcBorders>
              <w:top w:val="nil"/>
              <w:left w:val="nil"/>
              <w:bottom w:val="single" w:sz="4" w:space="0" w:color="auto"/>
              <w:right w:val="single" w:sz="4" w:space="0" w:color="auto"/>
            </w:tcBorders>
            <w:noWrap/>
            <w:vAlign w:val="center"/>
          </w:tcPr>
          <w:p w14:paraId="5CBED1CF"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1 580</w:t>
            </w:r>
          </w:p>
        </w:tc>
        <w:tc>
          <w:tcPr>
            <w:tcW w:w="590" w:type="dxa"/>
            <w:tcBorders>
              <w:top w:val="nil"/>
              <w:left w:val="nil"/>
              <w:bottom w:val="single" w:sz="4" w:space="0" w:color="auto"/>
              <w:right w:val="single" w:sz="4" w:space="0" w:color="auto"/>
            </w:tcBorders>
            <w:noWrap/>
            <w:vAlign w:val="center"/>
          </w:tcPr>
          <w:p w14:paraId="1F83E9C9"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1 775</w:t>
            </w:r>
          </w:p>
        </w:tc>
        <w:tc>
          <w:tcPr>
            <w:tcW w:w="590" w:type="dxa"/>
            <w:tcBorders>
              <w:top w:val="nil"/>
              <w:left w:val="nil"/>
              <w:bottom w:val="single" w:sz="4" w:space="0" w:color="auto"/>
              <w:right w:val="single" w:sz="4" w:space="0" w:color="auto"/>
            </w:tcBorders>
            <w:noWrap/>
            <w:vAlign w:val="center"/>
          </w:tcPr>
          <w:p w14:paraId="22AC99F7"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2 215</w:t>
            </w:r>
          </w:p>
        </w:tc>
        <w:tc>
          <w:tcPr>
            <w:tcW w:w="591" w:type="dxa"/>
            <w:tcBorders>
              <w:top w:val="nil"/>
              <w:left w:val="nil"/>
              <w:bottom w:val="single" w:sz="4" w:space="0" w:color="auto"/>
              <w:right w:val="single" w:sz="8" w:space="0" w:color="auto"/>
            </w:tcBorders>
            <w:noWrap/>
            <w:vAlign w:val="center"/>
          </w:tcPr>
          <w:p w14:paraId="529B5951" w14:textId="77777777" w:rsidR="007E43BE" w:rsidRPr="00CE5D9A" w:rsidRDefault="007E43BE" w:rsidP="007E43B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2 091</w:t>
            </w:r>
          </w:p>
        </w:tc>
      </w:tr>
      <w:tr w:rsidR="00686DFE" w:rsidRPr="00CE5D9A" w14:paraId="0C695B94"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1FB3E65B"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601" w:type="dxa"/>
            <w:tcBorders>
              <w:top w:val="nil"/>
              <w:left w:val="nil"/>
              <w:bottom w:val="single" w:sz="4" w:space="0" w:color="auto"/>
              <w:right w:val="single" w:sz="4" w:space="0" w:color="auto"/>
            </w:tcBorders>
            <w:noWrap/>
            <w:vAlign w:val="center"/>
          </w:tcPr>
          <w:p w14:paraId="5398F4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4 455</w:t>
            </w:r>
          </w:p>
        </w:tc>
        <w:tc>
          <w:tcPr>
            <w:tcW w:w="601" w:type="dxa"/>
            <w:tcBorders>
              <w:top w:val="nil"/>
              <w:left w:val="nil"/>
              <w:bottom w:val="single" w:sz="4" w:space="0" w:color="auto"/>
              <w:right w:val="single" w:sz="4" w:space="0" w:color="auto"/>
            </w:tcBorders>
            <w:noWrap/>
            <w:vAlign w:val="center"/>
          </w:tcPr>
          <w:p w14:paraId="2DDA128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4 800</w:t>
            </w:r>
          </w:p>
        </w:tc>
        <w:tc>
          <w:tcPr>
            <w:tcW w:w="601" w:type="dxa"/>
            <w:tcBorders>
              <w:top w:val="nil"/>
              <w:left w:val="nil"/>
              <w:bottom w:val="single" w:sz="4" w:space="0" w:color="auto"/>
              <w:right w:val="single" w:sz="4" w:space="0" w:color="auto"/>
            </w:tcBorders>
            <w:noWrap/>
            <w:vAlign w:val="center"/>
          </w:tcPr>
          <w:p w14:paraId="22062AB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5 204</w:t>
            </w:r>
          </w:p>
        </w:tc>
        <w:tc>
          <w:tcPr>
            <w:tcW w:w="601" w:type="dxa"/>
            <w:tcBorders>
              <w:top w:val="nil"/>
              <w:left w:val="nil"/>
              <w:bottom w:val="single" w:sz="4" w:space="0" w:color="auto"/>
              <w:right w:val="single" w:sz="4" w:space="0" w:color="auto"/>
            </w:tcBorders>
            <w:noWrap/>
            <w:vAlign w:val="center"/>
          </w:tcPr>
          <w:p w14:paraId="61A0E4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5 830</w:t>
            </w:r>
          </w:p>
        </w:tc>
        <w:tc>
          <w:tcPr>
            <w:tcW w:w="601" w:type="dxa"/>
            <w:tcBorders>
              <w:top w:val="nil"/>
              <w:left w:val="nil"/>
              <w:bottom w:val="single" w:sz="4" w:space="0" w:color="auto"/>
              <w:right w:val="single" w:sz="4" w:space="0" w:color="auto"/>
            </w:tcBorders>
            <w:noWrap/>
            <w:vAlign w:val="center"/>
          </w:tcPr>
          <w:p w14:paraId="7468FE4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6 356</w:t>
            </w:r>
          </w:p>
        </w:tc>
        <w:tc>
          <w:tcPr>
            <w:tcW w:w="608" w:type="dxa"/>
            <w:tcBorders>
              <w:top w:val="nil"/>
              <w:left w:val="nil"/>
              <w:bottom w:val="single" w:sz="4" w:space="0" w:color="auto"/>
              <w:right w:val="single" w:sz="4" w:space="0" w:color="auto"/>
            </w:tcBorders>
            <w:noWrap/>
            <w:vAlign w:val="center"/>
          </w:tcPr>
          <w:p w14:paraId="7AF0806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7 186</w:t>
            </w:r>
          </w:p>
        </w:tc>
        <w:tc>
          <w:tcPr>
            <w:tcW w:w="590" w:type="dxa"/>
            <w:tcBorders>
              <w:top w:val="nil"/>
              <w:left w:val="single" w:sz="8" w:space="0" w:color="auto"/>
              <w:bottom w:val="single" w:sz="4" w:space="0" w:color="auto"/>
              <w:right w:val="single" w:sz="4" w:space="0" w:color="auto"/>
            </w:tcBorders>
            <w:noWrap/>
            <w:vAlign w:val="center"/>
          </w:tcPr>
          <w:p w14:paraId="7779C9E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2 126</w:t>
            </w:r>
          </w:p>
        </w:tc>
        <w:tc>
          <w:tcPr>
            <w:tcW w:w="660" w:type="dxa"/>
            <w:tcBorders>
              <w:top w:val="nil"/>
              <w:left w:val="nil"/>
              <w:bottom w:val="single" w:sz="4" w:space="0" w:color="auto"/>
              <w:right w:val="single" w:sz="4" w:space="0" w:color="auto"/>
            </w:tcBorders>
            <w:noWrap/>
            <w:vAlign w:val="center"/>
          </w:tcPr>
          <w:p w14:paraId="1643737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2 277</w:t>
            </w:r>
          </w:p>
        </w:tc>
        <w:tc>
          <w:tcPr>
            <w:tcW w:w="631" w:type="dxa"/>
            <w:tcBorders>
              <w:top w:val="nil"/>
              <w:left w:val="nil"/>
              <w:bottom w:val="single" w:sz="4" w:space="0" w:color="auto"/>
              <w:right w:val="single" w:sz="4" w:space="0" w:color="auto"/>
            </w:tcBorders>
            <w:noWrap/>
            <w:vAlign w:val="center"/>
          </w:tcPr>
          <w:p w14:paraId="34B180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2 482</w:t>
            </w:r>
          </w:p>
        </w:tc>
        <w:tc>
          <w:tcPr>
            <w:tcW w:w="590" w:type="dxa"/>
            <w:tcBorders>
              <w:top w:val="nil"/>
              <w:left w:val="nil"/>
              <w:bottom w:val="single" w:sz="4" w:space="0" w:color="auto"/>
              <w:right w:val="single" w:sz="4" w:space="0" w:color="auto"/>
            </w:tcBorders>
            <w:noWrap/>
            <w:vAlign w:val="center"/>
          </w:tcPr>
          <w:p w14:paraId="189250A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2 708</w:t>
            </w:r>
          </w:p>
        </w:tc>
        <w:tc>
          <w:tcPr>
            <w:tcW w:w="590" w:type="dxa"/>
            <w:tcBorders>
              <w:top w:val="nil"/>
              <w:left w:val="nil"/>
              <w:bottom w:val="single" w:sz="4" w:space="0" w:color="auto"/>
              <w:right w:val="single" w:sz="4" w:space="0" w:color="auto"/>
            </w:tcBorders>
            <w:noWrap/>
            <w:vAlign w:val="center"/>
          </w:tcPr>
          <w:p w14:paraId="402BCC2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2 954</w:t>
            </w:r>
          </w:p>
        </w:tc>
        <w:tc>
          <w:tcPr>
            <w:tcW w:w="591" w:type="dxa"/>
            <w:tcBorders>
              <w:top w:val="nil"/>
              <w:left w:val="nil"/>
              <w:bottom w:val="single" w:sz="4" w:space="0" w:color="auto"/>
              <w:right w:val="single" w:sz="8" w:space="0" w:color="auto"/>
            </w:tcBorders>
            <w:noWrap/>
            <w:vAlign w:val="center"/>
          </w:tcPr>
          <w:p w14:paraId="6B43358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3 265</w:t>
            </w:r>
          </w:p>
        </w:tc>
      </w:tr>
      <w:tr w:rsidR="00686DFE" w:rsidRPr="00CE5D9A" w14:paraId="06C08D16" w14:textId="77777777">
        <w:trPr>
          <w:trHeight w:val="340"/>
        </w:trPr>
        <w:tc>
          <w:tcPr>
            <w:tcW w:w="2929" w:type="dxa"/>
            <w:tcBorders>
              <w:top w:val="nil"/>
              <w:left w:val="single" w:sz="4" w:space="0" w:color="auto"/>
              <w:bottom w:val="single" w:sz="4" w:space="0" w:color="auto"/>
              <w:right w:val="single" w:sz="4" w:space="0" w:color="auto"/>
            </w:tcBorders>
            <w:noWrap/>
            <w:vAlign w:val="center"/>
          </w:tcPr>
          <w:p w14:paraId="40EB070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601" w:type="dxa"/>
            <w:tcBorders>
              <w:top w:val="nil"/>
              <w:left w:val="nil"/>
              <w:bottom w:val="single" w:sz="4" w:space="0" w:color="auto"/>
              <w:right w:val="single" w:sz="4" w:space="0" w:color="auto"/>
            </w:tcBorders>
            <w:noWrap/>
            <w:vAlign w:val="center"/>
          </w:tcPr>
          <w:p w14:paraId="137924E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4 585</w:t>
            </w:r>
          </w:p>
        </w:tc>
        <w:tc>
          <w:tcPr>
            <w:tcW w:w="601" w:type="dxa"/>
            <w:tcBorders>
              <w:top w:val="nil"/>
              <w:left w:val="nil"/>
              <w:bottom w:val="single" w:sz="4" w:space="0" w:color="auto"/>
              <w:right w:val="single" w:sz="4" w:space="0" w:color="auto"/>
            </w:tcBorders>
            <w:noWrap/>
            <w:vAlign w:val="center"/>
          </w:tcPr>
          <w:p w14:paraId="2988B25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4 936</w:t>
            </w:r>
          </w:p>
        </w:tc>
        <w:tc>
          <w:tcPr>
            <w:tcW w:w="601" w:type="dxa"/>
            <w:tcBorders>
              <w:top w:val="nil"/>
              <w:left w:val="nil"/>
              <w:bottom w:val="single" w:sz="4" w:space="0" w:color="auto"/>
              <w:right w:val="single" w:sz="4" w:space="0" w:color="auto"/>
            </w:tcBorders>
            <w:noWrap/>
            <w:vAlign w:val="center"/>
          </w:tcPr>
          <w:p w14:paraId="7C2D9A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5 387</w:t>
            </w:r>
          </w:p>
        </w:tc>
        <w:tc>
          <w:tcPr>
            <w:tcW w:w="601" w:type="dxa"/>
            <w:tcBorders>
              <w:top w:val="nil"/>
              <w:left w:val="nil"/>
              <w:bottom w:val="single" w:sz="4" w:space="0" w:color="auto"/>
              <w:right w:val="single" w:sz="4" w:space="0" w:color="auto"/>
            </w:tcBorders>
            <w:noWrap/>
            <w:vAlign w:val="center"/>
          </w:tcPr>
          <w:p w14:paraId="7C8B237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5 968</w:t>
            </w:r>
          </w:p>
        </w:tc>
        <w:tc>
          <w:tcPr>
            <w:tcW w:w="601" w:type="dxa"/>
            <w:tcBorders>
              <w:top w:val="nil"/>
              <w:left w:val="nil"/>
              <w:bottom w:val="single" w:sz="4" w:space="0" w:color="auto"/>
              <w:right w:val="single" w:sz="4" w:space="0" w:color="auto"/>
            </w:tcBorders>
            <w:noWrap/>
            <w:vAlign w:val="center"/>
          </w:tcPr>
          <w:p w14:paraId="00DD5A0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6 548</w:t>
            </w:r>
          </w:p>
        </w:tc>
        <w:tc>
          <w:tcPr>
            <w:tcW w:w="608" w:type="dxa"/>
            <w:tcBorders>
              <w:top w:val="nil"/>
              <w:left w:val="nil"/>
              <w:bottom w:val="single" w:sz="4" w:space="0" w:color="auto"/>
              <w:right w:val="single" w:sz="4" w:space="0" w:color="auto"/>
            </w:tcBorders>
            <w:noWrap/>
            <w:vAlign w:val="center"/>
          </w:tcPr>
          <w:p w14:paraId="46D3ED3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7 242</w:t>
            </w:r>
          </w:p>
        </w:tc>
        <w:tc>
          <w:tcPr>
            <w:tcW w:w="590" w:type="dxa"/>
            <w:tcBorders>
              <w:top w:val="nil"/>
              <w:left w:val="single" w:sz="8" w:space="0" w:color="auto"/>
              <w:bottom w:val="single" w:sz="8" w:space="0" w:color="auto"/>
              <w:right w:val="single" w:sz="4" w:space="0" w:color="auto"/>
            </w:tcBorders>
            <w:noWrap/>
            <w:vAlign w:val="center"/>
          </w:tcPr>
          <w:p w14:paraId="4B3FA6E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2 368</w:t>
            </w:r>
          </w:p>
        </w:tc>
        <w:tc>
          <w:tcPr>
            <w:tcW w:w="660" w:type="dxa"/>
            <w:tcBorders>
              <w:top w:val="nil"/>
              <w:left w:val="nil"/>
              <w:bottom w:val="single" w:sz="8" w:space="0" w:color="auto"/>
              <w:right w:val="single" w:sz="4" w:space="0" w:color="auto"/>
            </w:tcBorders>
            <w:noWrap/>
            <w:vAlign w:val="center"/>
          </w:tcPr>
          <w:p w14:paraId="63F1D38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2 508</w:t>
            </w:r>
          </w:p>
        </w:tc>
        <w:tc>
          <w:tcPr>
            <w:tcW w:w="631" w:type="dxa"/>
            <w:tcBorders>
              <w:top w:val="nil"/>
              <w:left w:val="nil"/>
              <w:bottom w:val="single" w:sz="8" w:space="0" w:color="auto"/>
              <w:right w:val="single" w:sz="4" w:space="0" w:color="auto"/>
            </w:tcBorders>
            <w:noWrap/>
            <w:vAlign w:val="center"/>
          </w:tcPr>
          <w:p w14:paraId="4F4C374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2 732</w:t>
            </w:r>
          </w:p>
        </w:tc>
        <w:tc>
          <w:tcPr>
            <w:tcW w:w="590" w:type="dxa"/>
            <w:tcBorders>
              <w:top w:val="nil"/>
              <w:left w:val="nil"/>
              <w:bottom w:val="single" w:sz="8" w:space="0" w:color="auto"/>
              <w:right w:val="single" w:sz="4" w:space="0" w:color="auto"/>
            </w:tcBorders>
            <w:noWrap/>
            <w:vAlign w:val="center"/>
          </w:tcPr>
          <w:p w14:paraId="39F0C3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2 958</w:t>
            </w:r>
          </w:p>
        </w:tc>
        <w:tc>
          <w:tcPr>
            <w:tcW w:w="590" w:type="dxa"/>
            <w:tcBorders>
              <w:top w:val="nil"/>
              <w:left w:val="nil"/>
              <w:bottom w:val="single" w:sz="8" w:space="0" w:color="auto"/>
              <w:right w:val="single" w:sz="4" w:space="0" w:color="auto"/>
            </w:tcBorders>
            <w:noWrap/>
            <w:vAlign w:val="center"/>
          </w:tcPr>
          <w:p w14:paraId="648FC8D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3 195</w:t>
            </w:r>
          </w:p>
        </w:tc>
        <w:tc>
          <w:tcPr>
            <w:tcW w:w="591" w:type="dxa"/>
            <w:tcBorders>
              <w:top w:val="nil"/>
              <w:left w:val="nil"/>
              <w:bottom w:val="single" w:sz="8" w:space="0" w:color="auto"/>
              <w:right w:val="single" w:sz="8" w:space="0" w:color="auto"/>
            </w:tcBorders>
            <w:noWrap/>
            <w:vAlign w:val="center"/>
          </w:tcPr>
          <w:p w14:paraId="7B18F01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3 487</w:t>
            </w:r>
          </w:p>
        </w:tc>
      </w:tr>
    </w:tbl>
    <w:p w14:paraId="23F144E8" w14:textId="77777777" w:rsidR="00686DFE" w:rsidRPr="00CE5D9A" w:rsidRDefault="00686DFE">
      <w:pPr>
        <w:jc w:val="center"/>
      </w:pPr>
      <w:r w:rsidRPr="00CE5D9A">
        <w:rPr>
          <w:rFonts w:ascii="Times New Roman" w:hAnsi="Times New Roman"/>
          <w:i/>
          <w:iCs/>
          <w:sz w:val="20"/>
          <w:szCs w:val="20"/>
        </w:rPr>
        <w:t>Źródło: opracowanie własne na podstawie danych GUS</w:t>
      </w:r>
    </w:p>
    <w:p w14:paraId="79ED4FCB" w14:textId="77777777" w:rsidR="00686DFE" w:rsidRPr="00CE5D9A" w:rsidRDefault="00686DFE" w:rsidP="008E010E">
      <w:pPr>
        <w:spacing w:after="0" w:line="276" w:lineRule="auto"/>
        <w:ind w:firstLine="708"/>
        <w:jc w:val="both"/>
        <w:rPr>
          <w:rFonts w:ascii="Times New Roman" w:hAnsi="Times New Roman"/>
        </w:rPr>
      </w:pPr>
      <w:r w:rsidRPr="00CE5D9A">
        <w:rPr>
          <w:rFonts w:ascii="Times New Roman" w:hAnsi="Times New Roman"/>
        </w:rPr>
        <w:t>Źródłami dochodów własnych jednostek samorządu terytorialnego (JST) są m.in.: wpływy z podatków, opłat, dochody z majątku JST, odsetki od nieterminowo przekazywanych należności stanowiących dochody JST, odsetki od środków finansowych gromadzonych na rachunkach bankowych, o ile odrębne przepisy nie stanowią inaczej i inne. W rozumieniu ustawy dochodami własnymi JST są również udziały we wpływach z podatku dochodowego od osób fizycznych (PIT) oraz z podatku dochodowego od osób prawnych (CIT)</w:t>
      </w:r>
      <w:r w:rsidRPr="00CE5D9A">
        <w:rPr>
          <w:rStyle w:val="Odwoanieprzypisudolnego"/>
          <w:rFonts w:ascii="Times New Roman" w:hAnsi="Times New Roman"/>
        </w:rPr>
        <w:footnoteReference w:id="12"/>
      </w:r>
      <w:r w:rsidRPr="00CE5D9A">
        <w:rPr>
          <w:rFonts w:ascii="Times New Roman" w:hAnsi="Times New Roman"/>
        </w:rPr>
        <w:t xml:space="preserve">. 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Myślenice (1 159 zł), a najniższą Gmina Tokarnia (499 zł). Wskaźnik </w:t>
      </w:r>
      <w:r w:rsidRPr="00CE5D9A">
        <w:rPr>
          <w:rFonts w:ascii="Times New Roman" w:hAnsi="Times New Roman"/>
          <w:i/>
          <w:iCs/>
        </w:rPr>
        <w:t>udział w podatkach stanowiących dochody budżetu państwa – podatek dochodowy od osób prawnych w przeliczeniu na 1 mieszkańca</w:t>
      </w:r>
      <w:r w:rsidRPr="00CE5D9A">
        <w:rPr>
          <w:rFonts w:ascii="Times New Roman" w:hAnsi="Times New Roman"/>
        </w:rPr>
        <w:t xml:space="preserve"> LGD w 2021 r. był o wiele niższy niż średnio w województwie, najwyższą wartością wśród gmin LGD wyróżniała się Gmina Myślenice (51 zł), najniższą zaś Gmina Lubień (3 zł)</w:t>
      </w:r>
      <w:r w:rsidRPr="00CE5D9A">
        <w:rPr>
          <w:rStyle w:val="Odwoanieprzypisudolnego"/>
          <w:rFonts w:ascii="Times New Roman" w:hAnsi="Times New Roman"/>
        </w:rPr>
        <w:footnoteReference w:id="13"/>
      </w:r>
      <w:r w:rsidRPr="00CE5D9A">
        <w:rPr>
          <w:rFonts w:ascii="Times New Roman" w:hAnsi="Times New Roman"/>
        </w:rPr>
        <w:t xml:space="preserve">. </w:t>
      </w:r>
    </w:p>
    <w:p w14:paraId="201B24F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2021 r. średnia wartość wydatków ogółem na obszarze LGD wyniosła 5 5</w:t>
      </w:r>
      <w:r w:rsidR="007A313B" w:rsidRPr="00CE5D9A">
        <w:rPr>
          <w:rFonts w:ascii="Times New Roman" w:hAnsi="Times New Roman"/>
        </w:rPr>
        <w:t>71</w:t>
      </w:r>
      <w:r w:rsidRPr="00CE5D9A">
        <w:rPr>
          <w:rFonts w:ascii="Times New Roman" w:hAnsi="Times New Roman"/>
        </w:rPr>
        <w:t xml:space="preserve"> zł i była niższa niż średnia krajowa (6 857 zł) i wojewódzka (6 885 zł). Średnie wydatki bieżące samorządów z obszaru LGD w przeliczeniu na 1 mieszkańca systematycznie wzrastają, jednak w 2021 r. wynosiły 5 0</w:t>
      </w:r>
      <w:r w:rsidR="007A313B" w:rsidRPr="00CE5D9A">
        <w:rPr>
          <w:rFonts w:ascii="Times New Roman" w:hAnsi="Times New Roman"/>
        </w:rPr>
        <w:t>30</w:t>
      </w:r>
      <w:r w:rsidRPr="00CE5D9A">
        <w:rPr>
          <w:rFonts w:ascii="Times New Roman" w:hAnsi="Times New Roman"/>
        </w:rPr>
        <w:t xml:space="preserve"> zł i były niższe niż średnia w województwie (5 789 zł) i niższe niż średnio w Polsce (5 859 zł). Wewnątrz LGD największe wydatki bieżące na 1 mieszkańca ponosi Gmina Raciechowice (5 798 zł), natomiast najniższe Gmina Sułkowice (4 543 zł)</w:t>
      </w:r>
      <w:r w:rsidRPr="00CE5D9A">
        <w:rPr>
          <w:rStyle w:val="Odwoanieprzypisudolnego"/>
          <w:rFonts w:ascii="Times New Roman" w:hAnsi="Times New Roman"/>
        </w:rPr>
        <w:footnoteReference w:id="14"/>
      </w:r>
      <w:r w:rsidRPr="00CE5D9A">
        <w:rPr>
          <w:rFonts w:ascii="Times New Roman" w:hAnsi="Times New Roman"/>
        </w:rPr>
        <w:t>.</w:t>
      </w:r>
    </w:p>
    <w:p w14:paraId="4C6517AD" w14:textId="77777777" w:rsidR="007A313B" w:rsidRPr="00CE5D9A" w:rsidRDefault="00686DFE">
      <w:pPr>
        <w:spacing w:line="276" w:lineRule="auto"/>
        <w:jc w:val="both"/>
        <w:rPr>
          <w:rFonts w:ascii="Times New Roman" w:hAnsi="Times New Roman"/>
        </w:rPr>
      </w:pPr>
      <w:r w:rsidRPr="00CE5D9A">
        <w:rPr>
          <w:rFonts w:ascii="Times New Roman" w:hAnsi="Times New Roman"/>
        </w:rPr>
        <w:tab/>
      </w:r>
      <w:r w:rsidRPr="00CE5D9A">
        <w:rPr>
          <w:rFonts w:ascii="Times New Roman" w:eastAsia="SimSun" w:hAnsi="Times New Roman"/>
          <w:szCs w:val="20"/>
          <w:lang w:eastAsia="ar-SA"/>
        </w:rPr>
        <w:t>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w:t>
      </w:r>
      <w:r w:rsidRPr="00CE5D9A">
        <w:rPr>
          <w:rFonts w:ascii="Times New Roman" w:hAnsi="Times New Roman"/>
        </w:rPr>
        <w:t xml:space="preserve"> W tabeli 13 przedstawiono wartość wskaźnika G dla każdej z gmin LGD i średnio dla LGD w latach 2020–2022. </w:t>
      </w:r>
    </w:p>
    <w:p w14:paraId="5D4A37CA" w14:textId="77777777" w:rsidR="00686DFE" w:rsidRPr="00CE5D9A" w:rsidRDefault="00686DFE">
      <w:pPr>
        <w:spacing w:line="276" w:lineRule="auto"/>
        <w:jc w:val="center"/>
        <w:rPr>
          <w:rFonts w:ascii="Times New Roman" w:hAnsi="Times New Roman"/>
          <w:b/>
          <w:bCs/>
        </w:rPr>
      </w:pPr>
      <w:r w:rsidRPr="00CE5D9A">
        <w:rPr>
          <w:rFonts w:ascii="Times New Roman" w:hAnsi="Times New Roman"/>
          <w:b/>
          <w:bCs/>
        </w:rPr>
        <w:t xml:space="preserve">Dochód podatkowy na obszarze LSR obliczony jako wskaźnik </w:t>
      </w:r>
      <w:r w:rsidRPr="00CE5D9A">
        <w:rPr>
          <w:rFonts w:ascii="Times New Roman" w:hAnsi="Times New Roman"/>
          <w:b/>
          <w:bCs/>
          <w:i/>
          <w:iCs/>
        </w:rPr>
        <w:t xml:space="preserve">średnia arytmetyczna wskaźnika G gmin objętych obszarem LSR, według stanu na koniec 2020 r. </w:t>
      </w:r>
      <w:r w:rsidRPr="00CE5D9A">
        <w:rPr>
          <w:rFonts w:ascii="Times New Roman" w:hAnsi="Times New Roman"/>
          <w:b/>
          <w:bCs/>
        </w:rPr>
        <w:t>ze wzoru:</w:t>
      </w:r>
    </w:p>
    <w:p w14:paraId="034B2876" w14:textId="77777777" w:rsidR="00686DFE" w:rsidRPr="00CE5D9A" w:rsidRDefault="00970EF5">
      <w:pPr>
        <w:spacing w:line="276" w:lineRule="auto"/>
        <w:jc w:val="center"/>
        <w:rPr>
          <w:rFonts w:ascii="Times New Roman" w:eastAsia="DengXian" w:hAnsi="Times New Roman"/>
          <w:b/>
          <w:bCs/>
        </w:rPr>
      </w:pPr>
      <m:oMath>
        <m:f>
          <m:fPr>
            <m:ctrlPr>
              <w:rPr>
                <w:rFonts w:ascii="Cambria Math" w:hAnsi="Cambria Math"/>
                <w:b/>
                <w:bCs/>
                <w:i/>
              </w:rPr>
            </m:ctrlPr>
          </m:fPr>
          <m:num>
            <m:r>
              <m:rPr>
                <m:sty m:val="bi"/>
              </m:rPr>
              <w:rPr>
                <w:rFonts w:ascii="Cambria Math" w:hAnsi="Cambria Math"/>
              </w:rPr>
              <m:t>3750</m:t>
            </m:r>
          </m:num>
          <m:den>
            <m:r>
              <m:rPr>
                <m:sty m:val="bi"/>
              </m:rPr>
              <w:rPr>
                <w:rFonts w:ascii="Cambria Math" w:hAnsi="Cambria Math"/>
              </w:rPr>
              <m:t>średnia wartość wskaźnika G gmin objętych LSR</m:t>
            </m:r>
          </m:den>
        </m:f>
      </m:oMath>
      <w:r w:rsidR="00131D5F" w:rsidRPr="00CE5D9A">
        <w:rPr>
          <w:rFonts w:ascii="Times New Roman" w:eastAsiaTheme="minorEastAsia" w:hAnsi="Times New Roman"/>
          <w:b/>
          <w:bCs/>
        </w:rPr>
        <w:t xml:space="preserve"> wynosi </w:t>
      </w:r>
      <w:r w:rsidR="00686DFE" w:rsidRPr="00CE5D9A">
        <w:rPr>
          <w:rFonts w:ascii="Times New Roman" w:eastAsia="DengXian" w:hAnsi="Times New Roman"/>
          <w:b/>
          <w:bCs/>
        </w:rPr>
        <w:t>3,</w:t>
      </w:r>
      <w:r w:rsidR="00A00217" w:rsidRPr="00CE5D9A">
        <w:rPr>
          <w:rFonts w:ascii="Times New Roman" w:eastAsia="DengXian" w:hAnsi="Times New Roman"/>
          <w:b/>
          <w:bCs/>
        </w:rPr>
        <w:t>30</w:t>
      </w:r>
    </w:p>
    <w:p w14:paraId="755BF5CE" w14:textId="77777777" w:rsidR="00B95DAC" w:rsidRPr="00CE5D9A" w:rsidRDefault="00B95DAC">
      <w:pPr>
        <w:spacing w:line="276" w:lineRule="auto"/>
        <w:jc w:val="center"/>
        <w:rPr>
          <w:rFonts w:ascii="Times New Roman" w:eastAsia="DengXian" w:hAnsi="Times New Roman"/>
          <w:b/>
          <w:bCs/>
        </w:rPr>
      </w:pPr>
    </w:p>
    <w:p w14:paraId="63F1CFDB" w14:textId="01201E27" w:rsidR="00686DFE" w:rsidRPr="00CE5D9A" w:rsidRDefault="00686DFE">
      <w:pPr>
        <w:pStyle w:val="Legenda"/>
        <w:spacing w:after="0"/>
        <w:jc w:val="center"/>
        <w:rPr>
          <w:rFonts w:ascii="Times New Roman" w:hAnsi="Times New Roman"/>
          <w:color w:val="auto"/>
        </w:rPr>
      </w:pPr>
      <w:bookmarkStart w:id="98" w:name="_Toc134966360"/>
      <w:bookmarkStart w:id="99" w:name="_Toc194581437"/>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13</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Wskaźnik G (zł) dla poszczególnych gmin LGD oraz średnia wartość obszaru LGD w latach 2020–2022</w:t>
      </w:r>
      <w:bookmarkEnd w:id="98"/>
      <w:bookmarkEnd w:id="99"/>
    </w:p>
    <w:tbl>
      <w:tblPr>
        <w:tblW w:w="5000" w:type="pct"/>
        <w:tblCellMar>
          <w:left w:w="70" w:type="dxa"/>
          <w:right w:w="70" w:type="dxa"/>
        </w:tblCellMar>
        <w:tblLook w:val="0000" w:firstRow="0" w:lastRow="0" w:firstColumn="0" w:lastColumn="0" w:noHBand="0" w:noVBand="0"/>
      </w:tblPr>
      <w:tblGrid>
        <w:gridCol w:w="3274"/>
        <w:gridCol w:w="2358"/>
        <w:gridCol w:w="2358"/>
        <w:gridCol w:w="2354"/>
      </w:tblGrid>
      <w:tr w:rsidR="00686DFE" w:rsidRPr="00CE5D9A" w14:paraId="323588C1" w14:textId="77777777" w:rsidTr="00A00217">
        <w:trPr>
          <w:trHeight w:val="340"/>
        </w:trPr>
        <w:tc>
          <w:tcPr>
            <w:tcW w:w="1582" w:type="pct"/>
            <w:tcBorders>
              <w:top w:val="single" w:sz="4" w:space="0" w:color="auto"/>
              <w:left w:val="single" w:sz="4" w:space="0" w:color="auto"/>
              <w:bottom w:val="single" w:sz="4" w:space="0" w:color="auto"/>
              <w:right w:val="single" w:sz="4" w:space="0" w:color="auto"/>
            </w:tcBorders>
            <w:noWrap/>
            <w:vAlign w:val="center"/>
          </w:tcPr>
          <w:p w14:paraId="4EBFE43E"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140" w:type="pct"/>
            <w:tcBorders>
              <w:top w:val="single" w:sz="4" w:space="0" w:color="auto"/>
              <w:left w:val="nil"/>
              <w:bottom w:val="single" w:sz="4" w:space="0" w:color="auto"/>
              <w:right w:val="single" w:sz="4" w:space="0" w:color="auto"/>
            </w:tcBorders>
            <w:noWrap/>
            <w:vAlign w:val="center"/>
          </w:tcPr>
          <w:p w14:paraId="32A3F6A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1140" w:type="pct"/>
            <w:tcBorders>
              <w:top w:val="single" w:sz="4" w:space="0" w:color="auto"/>
              <w:left w:val="nil"/>
              <w:bottom w:val="single" w:sz="4" w:space="0" w:color="auto"/>
              <w:right w:val="single" w:sz="4" w:space="0" w:color="auto"/>
            </w:tcBorders>
            <w:noWrap/>
            <w:vAlign w:val="center"/>
          </w:tcPr>
          <w:p w14:paraId="5739BC6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1139" w:type="pct"/>
            <w:tcBorders>
              <w:top w:val="single" w:sz="4" w:space="0" w:color="auto"/>
              <w:left w:val="nil"/>
              <w:bottom w:val="single" w:sz="4" w:space="0" w:color="auto"/>
              <w:right w:val="single" w:sz="4" w:space="0" w:color="auto"/>
            </w:tcBorders>
            <w:noWrap/>
            <w:vAlign w:val="center"/>
          </w:tcPr>
          <w:p w14:paraId="5CFEB36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2022</w:t>
            </w:r>
          </w:p>
        </w:tc>
      </w:tr>
      <w:tr w:rsidR="00686DFE" w:rsidRPr="00CE5D9A" w14:paraId="0BB4C9A4"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4ACC242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1140" w:type="pct"/>
            <w:tcBorders>
              <w:top w:val="nil"/>
              <w:left w:val="nil"/>
              <w:bottom w:val="single" w:sz="4" w:space="0" w:color="auto"/>
              <w:right w:val="single" w:sz="4" w:space="0" w:color="auto"/>
            </w:tcBorders>
            <w:noWrap/>
            <w:vAlign w:val="center"/>
          </w:tcPr>
          <w:p w14:paraId="14932C4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782,43</w:t>
            </w:r>
          </w:p>
        </w:tc>
        <w:tc>
          <w:tcPr>
            <w:tcW w:w="1140" w:type="pct"/>
            <w:tcBorders>
              <w:top w:val="nil"/>
              <w:left w:val="nil"/>
              <w:bottom w:val="single" w:sz="4" w:space="0" w:color="auto"/>
              <w:right w:val="single" w:sz="4" w:space="0" w:color="auto"/>
            </w:tcBorders>
            <w:noWrap/>
            <w:vAlign w:val="center"/>
          </w:tcPr>
          <w:p w14:paraId="6D1595C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893,54</w:t>
            </w:r>
          </w:p>
        </w:tc>
        <w:tc>
          <w:tcPr>
            <w:tcW w:w="1139" w:type="pct"/>
            <w:tcBorders>
              <w:top w:val="nil"/>
              <w:left w:val="nil"/>
              <w:bottom w:val="single" w:sz="4" w:space="0" w:color="auto"/>
              <w:right w:val="single" w:sz="4" w:space="0" w:color="auto"/>
            </w:tcBorders>
            <w:noWrap/>
            <w:vAlign w:val="center"/>
          </w:tcPr>
          <w:p w14:paraId="701FB6C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905,88</w:t>
            </w:r>
          </w:p>
        </w:tc>
      </w:tr>
      <w:tr w:rsidR="00686DFE" w:rsidRPr="00CE5D9A" w14:paraId="29231CD1"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31A8531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1140" w:type="pct"/>
            <w:tcBorders>
              <w:top w:val="nil"/>
              <w:left w:val="nil"/>
              <w:bottom w:val="single" w:sz="4" w:space="0" w:color="auto"/>
              <w:right w:val="single" w:sz="4" w:space="0" w:color="auto"/>
            </w:tcBorders>
            <w:noWrap/>
            <w:vAlign w:val="center"/>
          </w:tcPr>
          <w:p w14:paraId="2188BA9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1 718,41</w:t>
            </w:r>
          </w:p>
        </w:tc>
        <w:tc>
          <w:tcPr>
            <w:tcW w:w="1140" w:type="pct"/>
            <w:tcBorders>
              <w:top w:val="nil"/>
              <w:left w:val="nil"/>
              <w:bottom w:val="single" w:sz="4" w:space="0" w:color="auto"/>
              <w:right w:val="single" w:sz="4" w:space="0" w:color="auto"/>
            </w:tcBorders>
            <w:noWrap/>
            <w:vAlign w:val="center"/>
          </w:tcPr>
          <w:p w14:paraId="156B7B9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1 849,69</w:t>
            </w:r>
          </w:p>
        </w:tc>
        <w:tc>
          <w:tcPr>
            <w:tcW w:w="1139" w:type="pct"/>
            <w:tcBorders>
              <w:top w:val="nil"/>
              <w:left w:val="nil"/>
              <w:bottom w:val="single" w:sz="4" w:space="0" w:color="auto"/>
              <w:right w:val="single" w:sz="4" w:space="0" w:color="auto"/>
            </w:tcBorders>
            <w:noWrap/>
            <w:vAlign w:val="center"/>
          </w:tcPr>
          <w:p w14:paraId="57711AE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1 970,43</w:t>
            </w:r>
          </w:p>
        </w:tc>
      </w:tr>
      <w:tr w:rsidR="00686DFE" w:rsidRPr="00CE5D9A" w14:paraId="7242DC33"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4315372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1140" w:type="pct"/>
            <w:tcBorders>
              <w:top w:val="nil"/>
              <w:left w:val="nil"/>
              <w:bottom w:val="single" w:sz="4" w:space="0" w:color="auto"/>
              <w:right w:val="single" w:sz="4" w:space="0" w:color="auto"/>
            </w:tcBorders>
            <w:noWrap/>
            <w:vAlign w:val="center"/>
          </w:tcPr>
          <w:p w14:paraId="1FF26422"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1 210,85</w:t>
            </w:r>
          </w:p>
        </w:tc>
        <w:tc>
          <w:tcPr>
            <w:tcW w:w="1140" w:type="pct"/>
            <w:tcBorders>
              <w:top w:val="nil"/>
              <w:left w:val="nil"/>
              <w:bottom w:val="single" w:sz="4" w:space="0" w:color="auto"/>
              <w:right w:val="single" w:sz="4" w:space="0" w:color="auto"/>
            </w:tcBorders>
            <w:noWrap/>
            <w:vAlign w:val="center"/>
          </w:tcPr>
          <w:p w14:paraId="30F83B54"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1 202,18</w:t>
            </w:r>
          </w:p>
        </w:tc>
        <w:tc>
          <w:tcPr>
            <w:tcW w:w="1139" w:type="pct"/>
            <w:tcBorders>
              <w:top w:val="nil"/>
              <w:left w:val="nil"/>
              <w:bottom w:val="single" w:sz="4" w:space="0" w:color="auto"/>
              <w:right w:val="single" w:sz="4" w:space="0" w:color="auto"/>
            </w:tcBorders>
            <w:noWrap/>
            <w:vAlign w:val="center"/>
          </w:tcPr>
          <w:p w14:paraId="3E08CA3A"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1 276,81</w:t>
            </w:r>
          </w:p>
        </w:tc>
      </w:tr>
      <w:tr w:rsidR="00686DFE" w:rsidRPr="00CE5D9A" w14:paraId="6CE26CC7"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0A06752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1140" w:type="pct"/>
            <w:tcBorders>
              <w:top w:val="nil"/>
              <w:left w:val="nil"/>
              <w:bottom w:val="single" w:sz="4" w:space="0" w:color="auto"/>
              <w:right w:val="single" w:sz="4" w:space="0" w:color="auto"/>
            </w:tcBorders>
            <w:noWrap/>
            <w:vAlign w:val="center"/>
          </w:tcPr>
          <w:p w14:paraId="34C95746"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1 017,42</w:t>
            </w:r>
          </w:p>
        </w:tc>
        <w:tc>
          <w:tcPr>
            <w:tcW w:w="1140" w:type="pct"/>
            <w:tcBorders>
              <w:top w:val="nil"/>
              <w:left w:val="nil"/>
              <w:bottom w:val="single" w:sz="4" w:space="0" w:color="auto"/>
              <w:right w:val="single" w:sz="4" w:space="0" w:color="auto"/>
            </w:tcBorders>
            <w:noWrap/>
            <w:vAlign w:val="center"/>
          </w:tcPr>
          <w:p w14:paraId="2B25E6CE"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1 172,33</w:t>
            </w:r>
          </w:p>
        </w:tc>
        <w:tc>
          <w:tcPr>
            <w:tcW w:w="1139" w:type="pct"/>
            <w:tcBorders>
              <w:top w:val="nil"/>
              <w:left w:val="nil"/>
              <w:bottom w:val="single" w:sz="4" w:space="0" w:color="auto"/>
              <w:right w:val="single" w:sz="4" w:space="0" w:color="auto"/>
            </w:tcBorders>
            <w:noWrap/>
            <w:vAlign w:val="center"/>
          </w:tcPr>
          <w:p w14:paraId="68144686"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1 113,19</w:t>
            </w:r>
          </w:p>
        </w:tc>
      </w:tr>
      <w:tr w:rsidR="00A00217" w:rsidRPr="00CE5D9A" w14:paraId="703E4F08"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4573EFED" w14:textId="77777777" w:rsidR="00A00217" w:rsidRPr="00CE5D9A" w:rsidRDefault="00A00217">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1140" w:type="pct"/>
            <w:tcBorders>
              <w:top w:val="nil"/>
              <w:left w:val="nil"/>
              <w:bottom w:val="single" w:sz="4" w:space="0" w:color="auto"/>
              <w:right w:val="single" w:sz="4" w:space="0" w:color="auto"/>
            </w:tcBorders>
            <w:noWrap/>
            <w:vAlign w:val="center"/>
          </w:tcPr>
          <w:p w14:paraId="0BC824A7" w14:textId="77777777" w:rsidR="00A00217" w:rsidRPr="00CE5D9A" w:rsidRDefault="00A00217"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1 444,31</w:t>
            </w:r>
          </w:p>
        </w:tc>
        <w:tc>
          <w:tcPr>
            <w:tcW w:w="1140" w:type="pct"/>
            <w:tcBorders>
              <w:top w:val="nil"/>
              <w:left w:val="nil"/>
              <w:bottom w:val="single" w:sz="4" w:space="0" w:color="auto"/>
              <w:right w:val="single" w:sz="4" w:space="0" w:color="auto"/>
            </w:tcBorders>
            <w:noWrap/>
            <w:vAlign w:val="center"/>
          </w:tcPr>
          <w:p w14:paraId="1832CE12" w14:textId="77777777" w:rsidR="00A00217" w:rsidRPr="00CE5D9A" w:rsidRDefault="00A00217"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1 615,84</w:t>
            </w:r>
          </w:p>
        </w:tc>
        <w:tc>
          <w:tcPr>
            <w:tcW w:w="1139" w:type="pct"/>
            <w:tcBorders>
              <w:top w:val="nil"/>
              <w:left w:val="nil"/>
              <w:bottom w:val="single" w:sz="4" w:space="0" w:color="auto"/>
              <w:right w:val="single" w:sz="4" w:space="0" w:color="auto"/>
            </w:tcBorders>
            <w:noWrap/>
            <w:vAlign w:val="center"/>
          </w:tcPr>
          <w:p w14:paraId="7018533D" w14:textId="77777777" w:rsidR="00A00217" w:rsidRPr="00CE5D9A" w:rsidRDefault="00A00217"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1 708,40</w:t>
            </w:r>
          </w:p>
        </w:tc>
      </w:tr>
      <w:tr w:rsidR="00686DFE" w:rsidRPr="00CE5D9A" w14:paraId="3B7524B9"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216ADA1F"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1140" w:type="pct"/>
            <w:tcBorders>
              <w:top w:val="nil"/>
              <w:left w:val="nil"/>
              <w:bottom w:val="single" w:sz="4" w:space="0" w:color="auto"/>
              <w:right w:val="single" w:sz="4" w:space="0" w:color="auto"/>
            </w:tcBorders>
            <w:noWrap/>
            <w:vAlign w:val="center"/>
          </w:tcPr>
          <w:p w14:paraId="1B3EA69D"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1 134,36</w:t>
            </w:r>
          </w:p>
        </w:tc>
        <w:tc>
          <w:tcPr>
            <w:tcW w:w="1140" w:type="pct"/>
            <w:tcBorders>
              <w:top w:val="nil"/>
              <w:left w:val="nil"/>
              <w:bottom w:val="single" w:sz="4" w:space="0" w:color="auto"/>
              <w:right w:val="single" w:sz="4" w:space="0" w:color="auto"/>
            </w:tcBorders>
            <w:noWrap/>
            <w:vAlign w:val="center"/>
          </w:tcPr>
          <w:p w14:paraId="4D8A9639"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1 232,57</w:t>
            </w:r>
          </w:p>
        </w:tc>
        <w:tc>
          <w:tcPr>
            <w:tcW w:w="1139" w:type="pct"/>
            <w:tcBorders>
              <w:top w:val="nil"/>
              <w:left w:val="nil"/>
              <w:bottom w:val="single" w:sz="4" w:space="0" w:color="auto"/>
              <w:right w:val="single" w:sz="4" w:space="0" w:color="auto"/>
            </w:tcBorders>
            <w:noWrap/>
            <w:vAlign w:val="center"/>
          </w:tcPr>
          <w:p w14:paraId="58B1E398"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1 243,73</w:t>
            </w:r>
          </w:p>
        </w:tc>
      </w:tr>
      <w:tr w:rsidR="00686DFE" w:rsidRPr="00CE5D9A" w14:paraId="5B228115"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180E934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1140" w:type="pct"/>
            <w:tcBorders>
              <w:top w:val="nil"/>
              <w:left w:val="nil"/>
              <w:bottom w:val="single" w:sz="4" w:space="0" w:color="auto"/>
              <w:right w:val="single" w:sz="4" w:space="0" w:color="auto"/>
            </w:tcBorders>
            <w:noWrap/>
            <w:vAlign w:val="center"/>
          </w:tcPr>
          <w:p w14:paraId="02346B2D"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836,72</w:t>
            </w:r>
          </w:p>
        </w:tc>
        <w:tc>
          <w:tcPr>
            <w:tcW w:w="1140" w:type="pct"/>
            <w:tcBorders>
              <w:top w:val="nil"/>
              <w:left w:val="nil"/>
              <w:bottom w:val="single" w:sz="4" w:space="0" w:color="auto"/>
              <w:right w:val="single" w:sz="4" w:space="0" w:color="auto"/>
            </w:tcBorders>
            <w:noWrap/>
            <w:vAlign w:val="center"/>
          </w:tcPr>
          <w:p w14:paraId="30005E29"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912,12</w:t>
            </w:r>
          </w:p>
        </w:tc>
        <w:tc>
          <w:tcPr>
            <w:tcW w:w="1139" w:type="pct"/>
            <w:tcBorders>
              <w:top w:val="nil"/>
              <w:left w:val="nil"/>
              <w:bottom w:val="single" w:sz="4" w:space="0" w:color="auto"/>
              <w:right w:val="single" w:sz="4" w:space="0" w:color="auto"/>
            </w:tcBorders>
            <w:noWrap/>
            <w:vAlign w:val="center"/>
          </w:tcPr>
          <w:p w14:paraId="1929294F"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839,28</w:t>
            </w:r>
          </w:p>
        </w:tc>
      </w:tr>
      <w:tr w:rsidR="00686DFE" w:rsidRPr="00CE5D9A" w14:paraId="1AF0644F"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55BEE41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1140" w:type="pct"/>
            <w:tcBorders>
              <w:top w:val="nil"/>
              <w:left w:val="nil"/>
              <w:bottom w:val="single" w:sz="4" w:space="0" w:color="auto"/>
              <w:right w:val="single" w:sz="4" w:space="0" w:color="auto"/>
            </w:tcBorders>
            <w:noWrap/>
            <w:vAlign w:val="center"/>
          </w:tcPr>
          <w:p w14:paraId="1741EC14"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958,47</w:t>
            </w:r>
          </w:p>
        </w:tc>
        <w:tc>
          <w:tcPr>
            <w:tcW w:w="1140" w:type="pct"/>
            <w:tcBorders>
              <w:top w:val="nil"/>
              <w:left w:val="nil"/>
              <w:bottom w:val="single" w:sz="4" w:space="0" w:color="auto"/>
              <w:right w:val="single" w:sz="4" w:space="0" w:color="auto"/>
            </w:tcBorders>
            <w:noWrap/>
            <w:vAlign w:val="center"/>
          </w:tcPr>
          <w:p w14:paraId="570A6FF0"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1 148,07</w:t>
            </w:r>
          </w:p>
        </w:tc>
        <w:tc>
          <w:tcPr>
            <w:tcW w:w="1139" w:type="pct"/>
            <w:tcBorders>
              <w:top w:val="nil"/>
              <w:left w:val="nil"/>
              <w:bottom w:val="single" w:sz="4" w:space="0" w:color="auto"/>
              <w:right w:val="single" w:sz="4" w:space="0" w:color="auto"/>
            </w:tcBorders>
            <w:noWrap/>
            <w:vAlign w:val="center"/>
          </w:tcPr>
          <w:p w14:paraId="46753EA0" w14:textId="77777777" w:rsidR="00686DFE" w:rsidRPr="00CE5D9A" w:rsidRDefault="00686DFE" w:rsidP="00A00217">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1 133,47</w:t>
            </w:r>
          </w:p>
        </w:tc>
      </w:tr>
      <w:tr w:rsidR="00A00217" w:rsidRPr="00CE5D9A" w14:paraId="33F2B3C3" w14:textId="77777777" w:rsidTr="00A00217">
        <w:trPr>
          <w:trHeight w:val="340"/>
        </w:trPr>
        <w:tc>
          <w:tcPr>
            <w:tcW w:w="1582" w:type="pct"/>
            <w:tcBorders>
              <w:top w:val="nil"/>
              <w:left w:val="single" w:sz="4" w:space="0" w:color="auto"/>
              <w:bottom w:val="single" w:sz="4" w:space="0" w:color="auto"/>
              <w:right w:val="single" w:sz="4" w:space="0" w:color="auto"/>
            </w:tcBorders>
            <w:noWrap/>
            <w:vAlign w:val="center"/>
          </w:tcPr>
          <w:p w14:paraId="52E0E83E" w14:textId="77777777" w:rsidR="00A00217" w:rsidRPr="00F12128" w:rsidRDefault="00A00217">
            <w:pPr>
              <w:spacing w:after="0" w:line="240" w:lineRule="auto"/>
              <w:rPr>
                <w:rFonts w:ascii="Times New Roman" w:eastAsia="Times New Roman" w:hAnsi="Times New Roman"/>
                <w:b/>
                <w:bCs/>
                <w:strike/>
                <w:color w:val="FF0000"/>
                <w:sz w:val="20"/>
                <w:szCs w:val="20"/>
                <w:lang w:eastAsia="pl-PL"/>
              </w:rPr>
            </w:pPr>
            <w:r w:rsidRPr="00F12128">
              <w:rPr>
                <w:rFonts w:ascii="Times New Roman" w:eastAsia="Times New Roman" w:hAnsi="Times New Roman"/>
                <w:b/>
                <w:bCs/>
                <w:strike/>
                <w:color w:val="FF0000"/>
                <w:sz w:val="20"/>
                <w:szCs w:val="20"/>
                <w:lang w:eastAsia="pl-PL"/>
              </w:rPr>
              <w:t>LGD Między Dalinem i Gościbią</w:t>
            </w:r>
          </w:p>
          <w:p w14:paraId="1344D88F" w14:textId="23233C6B" w:rsidR="00F12128" w:rsidRPr="00CE5D9A" w:rsidRDefault="00F12128">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1140" w:type="pct"/>
            <w:tcBorders>
              <w:top w:val="nil"/>
              <w:left w:val="nil"/>
              <w:bottom w:val="single" w:sz="4" w:space="0" w:color="auto"/>
              <w:right w:val="single" w:sz="4" w:space="0" w:color="auto"/>
            </w:tcBorders>
            <w:noWrap/>
            <w:vAlign w:val="center"/>
          </w:tcPr>
          <w:p w14:paraId="53349FB8" w14:textId="77777777" w:rsidR="00A00217" w:rsidRPr="00CE5D9A" w:rsidRDefault="00A00217" w:rsidP="00A00217">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1 137,87</w:t>
            </w:r>
          </w:p>
        </w:tc>
        <w:tc>
          <w:tcPr>
            <w:tcW w:w="1140" w:type="pct"/>
            <w:tcBorders>
              <w:top w:val="nil"/>
              <w:left w:val="nil"/>
              <w:bottom w:val="single" w:sz="4" w:space="0" w:color="auto"/>
              <w:right w:val="single" w:sz="4" w:space="0" w:color="auto"/>
            </w:tcBorders>
            <w:noWrap/>
            <w:vAlign w:val="center"/>
          </w:tcPr>
          <w:p w14:paraId="24E03168" w14:textId="77777777" w:rsidR="00A00217" w:rsidRPr="00CE5D9A" w:rsidRDefault="00A00217" w:rsidP="00A00217">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1 253,29</w:t>
            </w:r>
          </w:p>
        </w:tc>
        <w:tc>
          <w:tcPr>
            <w:tcW w:w="1139" w:type="pct"/>
            <w:tcBorders>
              <w:top w:val="nil"/>
              <w:left w:val="nil"/>
              <w:bottom w:val="single" w:sz="4" w:space="0" w:color="auto"/>
              <w:right w:val="single" w:sz="4" w:space="0" w:color="auto"/>
            </w:tcBorders>
            <w:noWrap/>
            <w:vAlign w:val="center"/>
          </w:tcPr>
          <w:p w14:paraId="47D43B45" w14:textId="77777777" w:rsidR="00A00217" w:rsidRPr="00CE5D9A" w:rsidRDefault="00A00217" w:rsidP="00A00217">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1 273,90</w:t>
            </w:r>
          </w:p>
        </w:tc>
      </w:tr>
    </w:tbl>
    <w:p w14:paraId="00E716B0" w14:textId="77777777" w:rsidR="00686DFE" w:rsidRPr="00CE5D9A" w:rsidRDefault="00686DFE">
      <w:pPr>
        <w:spacing w:line="27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Ministerstwa Finansów</w:t>
      </w:r>
    </w:p>
    <w:p w14:paraId="3C5DFF0E" w14:textId="77777777" w:rsidR="00686DFE" w:rsidRPr="00CE5D9A" w:rsidRDefault="00686DFE">
      <w:pPr>
        <w:pStyle w:val="Akapitzlist"/>
        <w:numPr>
          <w:ilvl w:val="1"/>
          <w:numId w:val="15"/>
        </w:numPr>
        <w:spacing w:before="240"/>
        <w:rPr>
          <w:rFonts w:ascii="Times New Roman" w:hAnsi="Times New Roman"/>
          <w:b/>
          <w:bCs/>
        </w:rPr>
      </w:pPr>
      <w:r w:rsidRPr="00CE5D9A">
        <w:rPr>
          <w:rFonts w:ascii="Times New Roman" w:hAnsi="Times New Roman"/>
          <w:b/>
          <w:bCs/>
        </w:rPr>
        <w:t>Walory przyrodnicze i krajobrazowe</w:t>
      </w:r>
    </w:p>
    <w:p w14:paraId="7D0EA0DD"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Pod względem fizycznogeograficznym analizowany obszar położony jest w megaregionie Region Karpacki, prowincji Karpaty Zachodnie z Podkarpaciem Zachodnim i Północnym, pomiędzy podprowincjami Zewnętrzne Karpaty Zachodnie i Podkarpacie Północne, w makroregionach Pogórze Zachodniobeskidzkie i Beskidy Zachodnie, w mezoregionach Pogórze Wielickie, Beskid Wyspowy, Beskid Średni, Beskid Makowski</w:t>
      </w:r>
      <w:r w:rsidRPr="00CE5D9A">
        <w:rPr>
          <w:rStyle w:val="Odwoanieprzypisudolnego"/>
          <w:rFonts w:ascii="Times New Roman" w:hAnsi="Times New Roman"/>
        </w:rPr>
        <w:footnoteReference w:id="15"/>
      </w:r>
      <w:r w:rsidRPr="00CE5D9A">
        <w:rPr>
          <w:rFonts w:ascii="Times New Roman" w:hAnsi="Times New Roman"/>
        </w:rPr>
        <w:t xml:space="preserve">. </w:t>
      </w:r>
    </w:p>
    <w:p w14:paraId="353E2F5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Gmina Lubień leży na granicy Beskidu Wyspowego i Beskidu Średniego, podobnie jak Gmina Pcim, przy czym gmina ta położona jest w przeważającej części na Beskidzie Średnim, a w niewielkim fragmencie na Beskidzie Wyspowym. Gmina Myślenice otoczona jest przez wzniesienia Pogórza Wielickiego, które łagodnieją ku dolinie Raby. Natomiast od południa na terenie gminy występuje pasmo Beskidu Makowskiego. Gmina Sułkowice położona jest w przeważającej części na Pogórzu Wielickim, natomiast jej południowa część znajduje się w Beskidzie Makowskim. </w:t>
      </w:r>
      <w:r w:rsidR="00980F95" w:rsidRPr="00CE5D9A">
        <w:rPr>
          <w:rFonts w:ascii="Times New Roman" w:hAnsi="Times New Roman"/>
        </w:rPr>
        <w:t xml:space="preserve">Gmina Siepraw położona jest na Pogórzu Wielickim w zlewni rzek Raby i Skawinki. </w:t>
      </w:r>
      <w:r w:rsidRPr="00CE5D9A">
        <w:rPr>
          <w:rFonts w:ascii="Times New Roman" w:hAnsi="Times New Roman"/>
        </w:rPr>
        <w:t>Na styku Beskidu Makowskiego oraz Beskidu Wyspowego położona jest Gmina Tokarnia. Gmina Wiśniowa w całości leży na terenie Pogórza Wielickiego, na terenie którego rozciąga się również Gmina Raciechowice, przy czym część tej gminy obejmuje również obszar Beskidu Wyspowego. Obszar odznacza się dużą spójnością przyrodniczą, która wynika ze zbliżonych bądź tożsamych uwarunkowań poszczególnych elementów środowiska.</w:t>
      </w:r>
    </w:p>
    <w:p w14:paraId="2DAB6D48"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Główną rzeką obszaru jest Raba, której dorzecze zajmuje centralną i południową część powiatu myślenickiego. Dorzecze Raby stanowią liczne potoki, które spływają ze zboczy górskich i wiją się malowniczo między górami. Do najważniejszych dopływów Raby zalicza się rzeki: Lubieńska. Krzczonówka, Trzebunka, Krzyworzeka i Stradomka. Przez tereny pogórskie przepływają rzeki Harbutówka i Głogoczówka, które należą do dorzeczy Skawinki</w:t>
      </w:r>
      <w:r w:rsidRPr="00CE5D9A">
        <w:rPr>
          <w:rStyle w:val="Odwoanieprzypisudolnego"/>
          <w:rFonts w:ascii="Times New Roman" w:hAnsi="Times New Roman"/>
        </w:rPr>
        <w:footnoteReference w:id="16"/>
      </w:r>
      <w:r w:rsidRPr="00CE5D9A">
        <w:rPr>
          <w:rFonts w:ascii="Times New Roman" w:hAnsi="Times New Roman"/>
        </w:rPr>
        <w:t xml:space="preserve">. </w:t>
      </w:r>
      <w:r w:rsidR="005F0460" w:rsidRPr="00CE5D9A">
        <w:rPr>
          <w:rFonts w:ascii="Times New Roman" w:hAnsi="Times New Roman"/>
        </w:rPr>
        <w:t>Przez Gminę Siepraw przepływa Sieprawka, która wraz z dopływami stanowi część systemu rzecznego Głogoczówki i Skawinki, odprowadzającego wody ze znacznej części Pogórza Wielickiego.</w:t>
      </w:r>
    </w:p>
    <w:p w14:paraId="248C37F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Beskid Makowski zbudowany jest z fliszu karpackiego, czyli kompleksu skał składających się z piaskowców magurskich, łupków, zlepieńców, iłów i margli, wytworzonych w morzu, jakie pokrywało w jurze teren dzisiejszych Karpat. Podobną budowę posiada również Beskid Wyspowy, którego charakterystyczną cechą są wyspowo wznoszące się szczyty ze sfalowanego łagodnymi wzniesieniami krajobrazu. Mają one strome i spadziste stoki, lecz zewnętrzna część z reguły jest płaska i wylesiona. Góry te przeważnie nie łączą się w długie pasma, lecz tworzą szereg wysp otoczonych głębokimi i szerokimi dolinami. Doliny rzeczne, które oddzielają poszczególne szczyty górskie, od dawnych czasów wykorzystywane były jako trakty komunikacyjne. Gleby na obszarze LGD to głównie gleby brunatne kwaśne i wyługowane z niewielką domieszką gleb torfowych oraz mady w dolinach rzecznych. Jednak pod względem przydatności do rolnictwa są to gleby średniej jakości, a w częściach górskich </w:t>
      </w:r>
      <w:r w:rsidRPr="00CE5D9A">
        <w:rPr>
          <w:rFonts w:ascii="Times New Roman" w:hAnsi="Times New Roman"/>
        </w:rPr>
        <w:lastRenderedPageBreak/>
        <w:t>słabe lub wręcz nieprzydatne do uprawy. Ze względu na spore nachylenie zboczy, gleby są narażone na erozję. Zróżnicowana rzeźba terenu wpływa na klimat w Beskidzie Makowskim i Beskidzie Wyspowym. Średnia temperatura wynosi od 5°C do 8°C. Wiosna trwa długo, jest chłodna i deszczowa, a niskie temperatury występuj</w:t>
      </w:r>
      <w:r w:rsidR="00980F95" w:rsidRPr="00CE5D9A">
        <w:rPr>
          <w:rFonts w:ascii="Times New Roman" w:hAnsi="Times New Roman"/>
        </w:rPr>
        <w:t>ą aż do początków maja. Lato w </w:t>
      </w:r>
      <w:r w:rsidRPr="00CE5D9A">
        <w:rPr>
          <w:rFonts w:ascii="Times New Roman" w:hAnsi="Times New Roman"/>
        </w:rPr>
        <w:t xml:space="preserve">Beskidzie Makowskim bywa trochę cieplejsze niż w Beskidzie Wyspowym, lecz trwa </w:t>
      </w:r>
      <w:r w:rsidR="00980F95" w:rsidRPr="00CE5D9A">
        <w:rPr>
          <w:rFonts w:ascii="Times New Roman" w:hAnsi="Times New Roman"/>
        </w:rPr>
        <w:t>tyle samo. Jesień jest długa i </w:t>
      </w:r>
      <w:r w:rsidRPr="00CE5D9A">
        <w:rPr>
          <w:rFonts w:ascii="Times New Roman" w:hAnsi="Times New Roman"/>
        </w:rPr>
        <w:t>przeważnie sucha. Notowane są częste wahania temperatury</w:t>
      </w:r>
      <w:r w:rsidRPr="00CE5D9A">
        <w:rPr>
          <w:rStyle w:val="Odwoanieprzypisudolnego"/>
          <w:rFonts w:ascii="Times New Roman" w:hAnsi="Times New Roman"/>
        </w:rPr>
        <w:footnoteReference w:id="17"/>
      </w:r>
      <w:r w:rsidRPr="00CE5D9A">
        <w:rPr>
          <w:rFonts w:ascii="Times New Roman" w:hAnsi="Times New Roman"/>
        </w:rPr>
        <w:t>. </w:t>
      </w:r>
    </w:p>
    <w:p w14:paraId="324C3CF9" w14:textId="77777777" w:rsidR="00686DFE" w:rsidRPr="00CE5D9A" w:rsidRDefault="00686DFE" w:rsidP="00980F95">
      <w:pPr>
        <w:spacing w:after="0" w:line="276" w:lineRule="auto"/>
        <w:ind w:firstLine="708"/>
        <w:jc w:val="both"/>
        <w:rPr>
          <w:rFonts w:ascii="Times New Roman" w:hAnsi="Times New Roman"/>
        </w:rPr>
      </w:pPr>
      <w:r w:rsidRPr="00CE5D9A">
        <w:rPr>
          <w:rFonts w:ascii="Times New Roman" w:hAnsi="Times New Roman"/>
        </w:rPr>
        <w:t xml:space="preserve">Na terenie gmin obszaru występuje klimat typu górskiego i podgórskiego. Najistotniejszy wpływ na kształtowanie się pogody mają wilgotne masy powietrza polarno-morskiego. Do najbardziej deszczowych miesięcy zalicza się czerwiec, lipiec i sierpień, zaś najniższe opady występują w styczniu i lutym. Największe nasłonecznienie notuje się w lipcu, najmniejsze – w grudniu i styczniu. </w:t>
      </w:r>
    </w:p>
    <w:p w14:paraId="31CBFD6A" w14:textId="39B717EE"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Przez Gminę Myślenice przebiega droga E 77, o znaczeniu międzynarodowym, odcinek przebiegający przez teren gminy potocznie nazwany jest „Zakopianką” (trasa S</w:t>
      </w:r>
      <w:r w:rsidR="008F1F28" w:rsidRPr="00CE5D9A">
        <w:rPr>
          <w:rFonts w:ascii="Times New Roman" w:hAnsi="Times New Roman"/>
        </w:rPr>
        <w:t>7) . Prowadzi</w:t>
      </w:r>
      <w:r w:rsidRPr="00CE5D9A">
        <w:rPr>
          <w:rFonts w:ascii="Times New Roman" w:hAnsi="Times New Roman"/>
        </w:rPr>
        <w:t xml:space="preserve"> z Kr</w:t>
      </w:r>
      <w:r w:rsidR="00980F95" w:rsidRPr="00CE5D9A">
        <w:rPr>
          <w:rFonts w:ascii="Times New Roman" w:hAnsi="Times New Roman"/>
        </w:rPr>
        <w:t>akowa do przejść granicznych w </w:t>
      </w:r>
      <w:r w:rsidRPr="00CE5D9A">
        <w:rPr>
          <w:rFonts w:ascii="Times New Roman" w:hAnsi="Times New Roman"/>
        </w:rPr>
        <w:t xml:space="preserve">Chyżnem i Łysej Polanie. W odległości 35 km od centrum Myślenic znajduje się polski port lotniczy im. Jana Pawła II w Balicach.  </w:t>
      </w:r>
    </w:p>
    <w:p w14:paraId="79C5A6FE" w14:textId="600C3993"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Zgodnie z danymi Centralnego Rejestru Form Ochrony Przyrody prowadzonego przez Generalną Dyrekcję Ochrony Środowiska, na obszarze objętym </w:t>
      </w:r>
      <w:r w:rsidR="00633737" w:rsidRPr="00633737">
        <w:rPr>
          <w:rFonts w:ascii="Times New Roman" w:hAnsi="Times New Roman"/>
          <w:color w:val="FF0000"/>
        </w:rPr>
        <w:t xml:space="preserve">LGD Regionu Myślenickiego </w:t>
      </w:r>
      <w:r w:rsidRPr="00633737">
        <w:rPr>
          <w:rFonts w:ascii="Times New Roman" w:hAnsi="Times New Roman"/>
          <w:strike/>
          <w:color w:val="FF0000"/>
        </w:rPr>
        <w:t xml:space="preserve">LGD Między Dalinem i Gościbią </w:t>
      </w:r>
      <w:r w:rsidRPr="00CE5D9A">
        <w:rPr>
          <w:rFonts w:ascii="Times New Roman" w:hAnsi="Times New Roman"/>
        </w:rPr>
        <w:t>znajdują się następujące formy ochrony przyrody i krajobrazu</w:t>
      </w:r>
      <w:r w:rsidRPr="00CE5D9A">
        <w:rPr>
          <w:rStyle w:val="Odwoanieprzypisudolnego"/>
          <w:rFonts w:ascii="Times New Roman" w:hAnsi="Times New Roman"/>
        </w:rPr>
        <w:footnoteReference w:id="18"/>
      </w:r>
      <w:r w:rsidRPr="00CE5D9A">
        <w:rPr>
          <w:rFonts w:ascii="Times New Roman" w:hAnsi="Times New Roman"/>
        </w:rPr>
        <w:t>:</w:t>
      </w:r>
    </w:p>
    <w:p w14:paraId="2EA45629" w14:textId="77777777" w:rsidR="00686DFE" w:rsidRPr="00CE5D9A" w:rsidRDefault="00686DFE">
      <w:pPr>
        <w:pStyle w:val="Akapitzlist"/>
        <w:numPr>
          <w:ilvl w:val="0"/>
          <w:numId w:val="16"/>
        </w:numPr>
        <w:spacing w:after="0" w:line="276" w:lineRule="auto"/>
        <w:jc w:val="both"/>
        <w:rPr>
          <w:rFonts w:ascii="Times New Roman" w:hAnsi="Times New Roman"/>
        </w:rPr>
      </w:pPr>
      <w:r w:rsidRPr="00CE5D9A">
        <w:rPr>
          <w:rFonts w:ascii="Times New Roman" w:hAnsi="Times New Roman"/>
        </w:rPr>
        <w:t>Południowomałopolski Obszar Chronionego Krajobrazu (gminy: Lubień, Tokarnia),</w:t>
      </w:r>
    </w:p>
    <w:p w14:paraId="718A2E58"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rezerwat przyrody „Zamczysko nad Rabą” (Gmina Myślenice),</w:t>
      </w:r>
    </w:p>
    <w:p w14:paraId="5D20E2CC"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rezerwat przyrody „Las Gościbia” (Gmina Sułkowice),</w:t>
      </w:r>
    </w:p>
    <w:p w14:paraId="51A99DA0"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 xml:space="preserve">rezerwat przyrody „Luboń Wielki” (Gmina Lubień), </w:t>
      </w:r>
    </w:p>
    <w:p w14:paraId="7310E414"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obszar Natura 2000 Luboń Wielki (Gmina Lubień),</w:t>
      </w:r>
    </w:p>
    <w:p w14:paraId="6A0AD51D"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obszar Natura 2000 Raba z Mszanką (gminy: Lubień, Pcim),</w:t>
      </w:r>
    </w:p>
    <w:p w14:paraId="3C9EB17F"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obszar Natura 2000 Ostoje Nietoperzy Beskidu Wyspowego (gminy: Raciechowice, Wiśniowa),</w:t>
      </w:r>
    </w:p>
    <w:p w14:paraId="2F0C278F"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obszar Natura 2000 Kościół w Węglówce (Gmina Wiśniowa),</w:t>
      </w:r>
    </w:p>
    <w:p w14:paraId="00566B4D"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stanowisko dokumentacyjne – Odsłonięcie geologiczne (Gmina Sułkowice),</w:t>
      </w:r>
    </w:p>
    <w:p w14:paraId="0E5F0DFE"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81 pomników przyrody (22 – Gmina Myślenice, 11 – Gmina Sułkowice, 7 – Gmina Lubień, 6 – Gmina Pcim, 14 – Gmina Raciechowice,</w:t>
      </w:r>
      <w:r w:rsidR="00980F95" w:rsidRPr="00CE5D9A">
        <w:rPr>
          <w:rFonts w:ascii="Times New Roman" w:hAnsi="Times New Roman"/>
        </w:rPr>
        <w:t xml:space="preserve"> </w:t>
      </w:r>
      <w:r w:rsidRPr="00CE5D9A">
        <w:rPr>
          <w:rFonts w:ascii="Times New Roman" w:hAnsi="Times New Roman"/>
        </w:rPr>
        <w:t>13 – Gmina Tokarnia, 8 – Gmina Wiśniowa</w:t>
      </w:r>
      <w:r w:rsidR="00980F95" w:rsidRPr="00CE5D9A">
        <w:rPr>
          <w:rFonts w:ascii="Times New Roman" w:hAnsi="Times New Roman"/>
        </w:rPr>
        <w:t>, 6 – Siepraw</w:t>
      </w:r>
      <w:r w:rsidRPr="00CE5D9A">
        <w:rPr>
          <w:rFonts w:ascii="Times New Roman" w:hAnsi="Times New Roman"/>
        </w:rPr>
        <w:t>),</w:t>
      </w:r>
    </w:p>
    <w:p w14:paraId="6FA87268" w14:textId="77777777" w:rsidR="00686DFE" w:rsidRPr="00CE5D9A" w:rsidRDefault="00686DFE">
      <w:pPr>
        <w:pStyle w:val="Akapitzlist"/>
        <w:numPr>
          <w:ilvl w:val="0"/>
          <w:numId w:val="17"/>
        </w:numPr>
        <w:spacing w:after="0" w:line="276" w:lineRule="auto"/>
        <w:jc w:val="both"/>
        <w:rPr>
          <w:rFonts w:ascii="Times New Roman" w:hAnsi="Times New Roman"/>
        </w:rPr>
      </w:pPr>
      <w:r w:rsidRPr="00CE5D9A">
        <w:rPr>
          <w:rFonts w:ascii="Times New Roman" w:hAnsi="Times New Roman"/>
        </w:rPr>
        <w:t>3 użytki ekologiczne (2 – Gmina Myślenice, 1 – Gmina Wiśniowa).</w:t>
      </w:r>
    </w:p>
    <w:p w14:paraId="2C3A03A3" w14:textId="1BD55BA8" w:rsidR="00686DFE" w:rsidRPr="00CE5D9A" w:rsidRDefault="00686DFE">
      <w:pPr>
        <w:spacing w:before="240" w:line="276" w:lineRule="auto"/>
        <w:ind w:firstLine="708"/>
        <w:jc w:val="both"/>
        <w:rPr>
          <w:rFonts w:ascii="Times New Roman" w:hAnsi="Times New Roman"/>
        </w:rPr>
      </w:pPr>
      <w:bookmarkStart w:id="101" w:name="_Hlk113832714"/>
      <w:r w:rsidRPr="00CE5D9A">
        <w:rPr>
          <w:rFonts w:ascii="Times New Roman" w:hAnsi="Times New Roman"/>
        </w:rPr>
        <w:t>Przez teren</w:t>
      </w:r>
      <w:r w:rsidR="00633737">
        <w:rPr>
          <w:rFonts w:ascii="Times New Roman" w:hAnsi="Times New Roman"/>
        </w:rPr>
        <w:t xml:space="preserve"> </w:t>
      </w:r>
      <w:r w:rsidR="00633737" w:rsidRPr="00633737">
        <w:rPr>
          <w:rFonts w:ascii="Times New Roman" w:hAnsi="Times New Roman"/>
          <w:color w:val="FF0000"/>
        </w:rPr>
        <w:t>LGD Regionu Myślenickiego</w:t>
      </w:r>
      <w:r w:rsidRPr="00CE5D9A">
        <w:rPr>
          <w:rFonts w:ascii="Times New Roman" w:hAnsi="Times New Roman"/>
        </w:rPr>
        <w:t xml:space="preserve"> </w:t>
      </w:r>
      <w:r w:rsidRPr="00633737">
        <w:rPr>
          <w:rFonts w:ascii="Times New Roman" w:hAnsi="Times New Roman"/>
          <w:strike/>
          <w:color w:val="FF0000"/>
        </w:rPr>
        <w:t>LGD Między Dalinem i Gościbią</w:t>
      </w:r>
      <w:r w:rsidRPr="00633737">
        <w:rPr>
          <w:rFonts w:ascii="Times New Roman" w:hAnsi="Times New Roman"/>
          <w:color w:val="FF0000"/>
        </w:rPr>
        <w:t xml:space="preserve"> </w:t>
      </w:r>
      <w:r w:rsidRPr="00CE5D9A">
        <w:rPr>
          <w:rFonts w:ascii="Times New Roman" w:hAnsi="Times New Roman"/>
        </w:rPr>
        <w:t>przebiegają także korytarze ekologiczne – Beskidy Zachodnie 1 oraz Beskidy Zachodnie 2. Korytarze ekologiczne to obszary umożliwiające migrację roślin, zwierząt lub grzybów. Korytarze te są ważnym elementem sieci Natura 2000, gdyż umożliwiają przemieszczanie się organizmów między siedliskami</w:t>
      </w:r>
      <w:bookmarkStart w:id="102" w:name="_Hlk113832783"/>
      <w:bookmarkEnd w:id="101"/>
      <w:r w:rsidRPr="00CE5D9A">
        <w:rPr>
          <w:rFonts w:ascii="Times New Roman" w:hAnsi="Times New Roman"/>
        </w:rPr>
        <w:t xml:space="preserve">. </w:t>
      </w:r>
      <w:bookmarkEnd w:id="102"/>
    </w:p>
    <w:p w14:paraId="48AA5A02" w14:textId="77777777" w:rsidR="00686DFE" w:rsidRPr="00CE5D9A" w:rsidRDefault="00686DFE">
      <w:pPr>
        <w:spacing w:line="276" w:lineRule="auto"/>
        <w:ind w:firstLine="708"/>
        <w:jc w:val="both"/>
        <w:rPr>
          <w:rFonts w:ascii="Times New Roman" w:hAnsi="Times New Roman"/>
        </w:rPr>
      </w:pPr>
      <w:bookmarkStart w:id="103" w:name="_Hlk113833439"/>
      <w:r w:rsidRPr="00CE5D9A">
        <w:rPr>
          <w:rFonts w:ascii="Times New Roman" w:hAnsi="Times New Roman"/>
        </w:rPr>
        <w:t xml:space="preserve">Poziom pokrycia obszaru LGD lasami to 38,2%, a więc więcej niż średnio w województwie (28,6%), a także więcej niż średnia w kraju (29,6%). Wśród gmin LGD największy udział lasów w </w:t>
      </w:r>
      <w:r w:rsidR="00980F95" w:rsidRPr="00CE5D9A">
        <w:rPr>
          <w:rFonts w:ascii="Times New Roman" w:hAnsi="Times New Roman"/>
        </w:rPr>
        <w:t>powierzchni ogółem występuje w </w:t>
      </w:r>
      <w:r w:rsidRPr="00CE5D9A">
        <w:rPr>
          <w:rFonts w:ascii="Times New Roman" w:hAnsi="Times New Roman"/>
        </w:rPr>
        <w:t xml:space="preserve">gminach Pcim i Tokarnia – odpowiednio 49,1% i 47,0%, a więc znacznie więcej </w:t>
      </w:r>
      <w:r w:rsidR="00980F95" w:rsidRPr="00CE5D9A">
        <w:rPr>
          <w:rFonts w:ascii="Times New Roman" w:hAnsi="Times New Roman"/>
        </w:rPr>
        <w:t>niż średnio na obszarze LGD, w </w:t>
      </w:r>
      <w:r w:rsidRPr="00CE5D9A">
        <w:rPr>
          <w:rFonts w:ascii="Times New Roman" w:hAnsi="Times New Roman"/>
        </w:rPr>
        <w:t>województwie i kraju</w:t>
      </w:r>
      <w:r w:rsidRPr="00CE5D9A">
        <w:rPr>
          <w:rFonts w:ascii="Times New Roman" w:hAnsi="Times New Roman"/>
          <w:vertAlign w:val="superscript"/>
        </w:rPr>
        <w:footnoteReference w:id="19"/>
      </w:r>
      <w:r w:rsidRPr="00CE5D9A">
        <w:rPr>
          <w:rFonts w:ascii="Times New Roman" w:hAnsi="Times New Roman"/>
        </w:rPr>
        <w:t xml:space="preserve">. </w:t>
      </w:r>
      <w:bookmarkEnd w:id="103"/>
    </w:p>
    <w:p w14:paraId="4A4BD7BE" w14:textId="77777777" w:rsidR="00686DFE" w:rsidRPr="00CE5D9A" w:rsidRDefault="00686DFE">
      <w:pPr>
        <w:spacing w:after="0" w:line="276" w:lineRule="auto"/>
        <w:ind w:firstLine="708"/>
        <w:jc w:val="center"/>
        <w:rPr>
          <w:rFonts w:ascii="Times New Roman" w:hAnsi="Times New Roman"/>
        </w:rPr>
      </w:pPr>
      <w:r w:rsidRPr="00CE5D9A">
        <w:rPr>
          <w:rFonts w:ascii="Times New Roman" w:hAnsi="Times New Roman"/>
          <w:b/>
          <w:bCs/>
        </w:rPr>
        <w:t xml:space="preserve">Łącznie na terenie </w:t>
      </w:r>
      <w:r w:rsidR="00980F95" w:rsidRPr="00CE5D9A">
        <w:rPr>
          <w:rFonts w:ascii="Times New Roman" w:hAnsi="Times New Roman"/>
          <w:b/>
          <w:bCs/>
        </w:rPr>
        <w:t>87,5</w:t>
      </w:r>
      <w:r w:rsidRPr="00CE5D9A">
        <w:rPr>
          <w:rFonts w:ascii="Times New Roman" w:hAnsi="Times New Roman"/>
          <w:b/>
          <w:bCs/>
        </w:rPr>
        <w:t xml:space="preserve">% (7 z </w:t>
      </w:r>
      <w:r w:rsidR="00980F95" w:rsidRPr="00CE5D9A">
        <w:rPr>
          <w:rFonts w:ascii="Times New Roman" w:hAnsi="Times New Roman"/>
          <w:b/>
          <w:bCs/>
        </w:rPr>
        <w:t>8</w:t>
      </w:r>
      <w:r w:rsidRPr="00CE5D9A">
        <w:rPr>
          <w:rFonts w:ascii="Times New Roman" w:hAnsi="Times New Roman"/>
          <w:b/>
          <w:bCs/>
        </w:rPr>
        <w:t xml:space="preserve">) gmin obszaru LGD występują formy ochrony przyrody takie jak obszary Natura 2000, obszary chronionego krajobrazu, rezerwaty przyrody, wobec czego wskaźnik </w:t>
      </w:r>
      <w:r w:rsidRPr="00CE5D9A">
        <w:rPr>
          <w:rFonts w:ascii="Times New Roman" w:hAnsi="Times New Roman"/>
          <w:b/>
          <w:bCs/>
          <w:i/>
          <w:iCs/>
        </w:rPr>
        <w:t xml:space="preserve">formy ochrony przyrody na obszarze LSR </w:t>
      </w:r>
      <w:r w:rsidRPr="00CE5D9A">
        <w:rPr>
          <w:rFonts w:ascii="Times New Roman" w:hAnsi="Times New Roman"/>
          <w:b/>
          <w:bCs/>
        </w:rPr>
        <w:t>osiąga wartość 4</w:t>
      </w:r>
      <w:r w:rsidRPr="00CE5D9A">
        <w:rPr>
          <w:rFonts w:ascii="Times New Roman" w:hAnsi="Times New Roman"/>
          <w:vertAlign w:val="superscript"/>
        </w:rPr>
        <w:footnoteReference w:id="20"/>
      </w:r>
      <w:r w:rsidRPr="00CE5D9A">
        <w:rPr>
          <w:rFonts w:ascii="Times New Roman" w:hAnsi="Times New Roman"/>
        </w:rPr>
        <w:t>.</w:t>
      </w:r>
    </w:p>
    <w:p w14:paraId="5AA065C5"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sidRPr="00CE5D9A">
        <w:rPr>
          <w:rFonts w:ascii="Times New Roman" w:hAnsi="Times New Roman"/>
        </w:rPr>
        <w:br/>
        <w:t xml:space="preserve">w Krakowie, dotyczących oceny jakości powietrza w województwie małopolskim. W opracowaniu pn. </w:t>
      </w:r>
      <w:r w:rsidRPr="00CE5D9A">
        <w:rPr>
          <w:rFonts w:ascii="Times New Roman" w:hAnsi="Times New Roman"/>
          <w:i/>
          <w:iCs/>
        </w:rPr>
        <w:t xml:space="preserve">Roczna </w:t>
      </w:r>
      <w:r w:rsidRPr="00CE5D9A">
        <w:rPr>
          <w:rFonts w:ascii="Times New Roman" w:hAnsi="Times New Roman"/>
          <w:i/>
          <w:iCs/>
        </w:rPr>
        <w:lastRenderedPageBreak/>
        <w:t>ocena jakości powietrza w województwie małopolskim – raport wojewódzki za rok 2021</w:t>
      </w:r>
      <w:r w:rsidRPr="00CE5D9A">
        <w:rPr>
          <w:rFonts w:ascii="Times New Roman" w:hAnsi="Times New Roman"/>
        </w:rPr>
        <w:t xml:space="preserve"> oceny jakości powietrza wykonywane są w odniesieniu do obszaru strefy. W województwie małopolskim wydzielono trzy strefy: Aglomerację Krakowską, Strefę Tarnów – czyli miasto o liczbie mieszkańców powyżej 100 tys. oraz strefę małopolską, czyli pozostały obszar województwa. Gminy obszaru LGD zaliczono do strefy małopolskiej. </w:t>
      </w:r>
    </w:p>
    <w:p w14:paraId="566D16EC"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 obszarze gmin LGD w 2021 r. wystąpiły przekroczenia: poziomu dopuszczalnego pyłu zawieszonego PM10 (cały obszar poza gminą Tokarnia), poziomu dopuszczalnego pyłu zawieszonego PM2,5 dla I fazy (Gmina Myślenice</w:t>
      </w:r>
      <w:r w:rsidR="007043D6" w:rsidRPr="00CE5D9A">
        <w:rPr>
          <w:rFonts w:ascii="Times New Roman" w:hAnsi="Times New Roman"/>
        </w:rPr>
        <w:t>, Gmina Siepraw</w:t>
      </w:r>
      <w:r w:rsidRPr="00CE5D9A">
        <w:rPr>
          <w:rFonts w:ascii="Times New Roman" w:hAnsi="Times New Roman"/>
        </w:rPr>
        <w:t>) oraz dla II fazy (cały obszar poza gminami Tokarnia i Wiśniowa), poziomu docelowego B(a)P w pyle zawieszonym PM10 (cały obszar) oraz poziomu celu długoterminowego O</w:t>
      </w:r>
      <w:r w:rsidRPr="00CE5D9A">
        <w:rPr>
          <w:rFonts w:ascii="Times New Roman" w:hAnsi="Times New Roman"/>
          <w:vertAlign w:val="subscript"/>
        </w:rPr>
        <w:t xml:space="preserve">3 </w:t>
      </w:r>
      <w:r w:rsidRPr="00CE5D9A">
        <w:rPr>
          <w:rFonts w:ascii="Times New Roman" w:hAnsi="Times New Roman"/>
        </w:rPr>
        <w:t>– pod kątem ochrony roślin (cały obszar) i pod kątem ochrony zdrowia (cały obszar).</w:t>
      </w:r>
    </w:p>
    <w:p w14:paraId="32154C34" w14:textId="77777777" w:rsidR="00686DFE" w:rsidRPr="00CE5D9A" w:rsidRDefault="00686DFE">
      <w:pPr>
        <w:spacing w:after="0" w:line="276" w:lineRule="auto"/>
        <w:ind w:firstLine="709"/>
        <w:jc w:val="both"/>
        <w:rPr>
          <w:rFonts w:ascii="Times New Roman" w:hAnsi="Times New Roman"/>
          <w:szCs w:val="20"/>
        </w:rPr>
      </w:pPr>
      <w:r w:rsidRPr="00CE5D9A">
        <w:rPr>
          <w:rFonts w:ascii="Times New Roman" w:hAnsi="Times New Roman"/>
          <w:szCs w:val="20"/>
        </w:rPr>
        <w:t xml:space="preserve">Średni udział wydatków na gospodarkę komunalną i ochronę środowiska w wydatkach ogółem jednostek samorządu terytorialnego wchodzących w skład LGD w latach 2016–2021 wyniósł </w:t>
      </w:r>
      <w:r w:rsidR="007043D6" w:rsidRPr="00CE5D9A">
        <w:rPr>
          <w:rFonts w:ascii="Times New Roman" w:hAnsi="Times New Roman"/>
          <w:szCs w:val="20"/>
        </w:rPr>
        <w:t>7,4</w:t>
      </w:r>
      <w:r w:rsidRPr="00CE5D9A">
        <w:rPr>
          <w:rFonts w:ascii="Times New Roman" w:hAnsi="Times New Roman"/>
          <w:szCs w:val="20"/>
        </w:rPr>
        <w:t>%. Wynik ten był niższy od średniej dla Polski (8,1%) oraz niższy od wyniku województwa małopolskiego (9,5%). Wewnątrz obszaru najwyższy udział wydatków na gospodarkę komunalną i ochronę środowiska</w:t>
      </w:r>
      <w:r w:rsidR="007855EF" w:rsidRPr="00CE5D9A">
        <w:rPr>
          <w:rFonts w:ascii="Times New Roman" w:hAnsi="Times New Roman"/>
          <w:szCs w:val="20"/>
        </w:rPr>
        <w:t xml:space="preserve"> w wydatkach ogółem występuje w </w:t>
      </w:r>
      <w:r w:rsidRPr="00CE5D9A">
        <w:rPr>
          <w:rFonts w:ascii="Times New Roman" w:hAnsi="Times New Roman"/>
          <w:szCs w:val="20"/>
        </w:rPr>
        <w:t>Gminie Myślenice – 9,7%, natomiast najniższy w Gminie Wiśniowa – 4,3%</w:t>
      </w:r>
      <w:r w:rsidRPr="00CE5D9A">
        <w:rPr>
          <w:rFonts w:ascii="Times New Roman" w:hAnsi="Times New Roman"/>
          <w:szCs w:val="20"/>
          <w:vertAlign w:val="superscript"/>
        </w:rPr>
        <w:footnoteReference w:id="21"/>
      </w:r>
      <w:r w:rsidRPr="00CE5D9A">
        <w:rPr>
          <w:rFonts w:ascii="Times New Roman" w:hAnsi="Times New Roman"/>
          <w:szCs w:val="20"/>
        </w:rPr>
        <w:t>.</w:t>
      </w:r>
    </w:p>
    <w:p w14:paraId="7619330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trakcie spotkań warsztatowych oraz w badaniach ankietowych mieszkańcy wskazywali głównie walory krajobrazowe jako szansę na rozwój obszaru. Natomiast często jako problem była wymieniana niedostateczna wiedza mieszkańców na temat działań proekologicznych. Zagrożenia można upatrywać w zmianach klimatycznych powodujących ekstremalne zjawiska pogodowe, które prowadzą do powodzi czy suszy oraz w zanieczyszczeniu środowiska naturalnego. Przeszkodą, głównie przy budowaniu nowej infrastruktury turystycznej i rekreacyjnej, mogą być przepisy prawne związane z prawem budowlanym i dokumentami regulującymi ochronę środowiska.</w:t>
      </w:r>
    </w:p>
    <w:p w14:paraId="3FC70F46"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Ogromny wpływ na rozwój obszaru oraz stworzenie miejsca dobrego do życia ma obecność terenów cennych przyrodniczo. Oferta rekreacyjna nadal jest zbyt mało atrakcyjna. Ważne jest przyciągnięcie większej liczby inwestorów oraz spełnienie oczekiwań mieszkańców, a także osób z </w:t>
      </w:r>
      <w:r w:rsidR="007855EF" w:rsidRPr="00CE5D9A">
        <w:rPr>
          <w:rFonts w:ascii="Times New Roman" w:hAnsi="Times New Roman"/>
        </w:rPr>
        <w:t>sąsiednich ośrodków miejskich i </w:t>
      </w:r>
      <w:r w:rsidRPr="00CE5D9A">
        <w:rPr>
          <w:rFonts w:ascii="Times New Roman" w:hAnsi="Times New Roman"/>
        </w:rPr>
        <w:t>gospodarczych, chcących osiedlać się właśnie tutaj, z dala od miejskiego zgiełku. Wpłynie to na zwiększenie spójności i powiązań między obszarem a tymi ośrodkami – mieszkańcy obszaru LGD często wyjeżdżają do tych ośrodków do pracy, a mieszkańcy tych ośrodków będą przyjeżdżać w czasie wolnym do obszaru działania LGD.</w:t>
      </w:r>
    </w:p>
    <w:p w14:paraId="52A1BCC8" w14:textId="77777777" w:rsidR="00686DFE" w:rsidRPr="00CE5D9A" w:rsidRDefault="00686DFE">
      <w:pPr>
        <w:pStyle w:val="Akapitzlist"/>
        <w:numPr>
          <w:ilvl w:val="1"/>
          <w:numId w:val="15"/>
        </w:numPr>
        <w:spacing w:before="240"/>
        <w:rPr>
          <w:rFonts w:ascii="Times New Roman" w:hAnsi="Times New Roman"/>
          <w:b/>
          <w:bCs/>
        </w:rPr>
      </w:pPr>
      <w:r w:rsidRPr="00CE5D9A">
        <w:rPr>
          <w:rFonts w:ascii="Times New Roman" w:hAnsi="Times New Roman"/>
          <w:b/>
          <w:bCs/>
        </w:rPr>
        <w:t>Przestrzeń, infrastruktura i dostęp do usług</w:t>
      </w:r>
    </w:p>
    <w:p w14:paraId="21D42205" w14:textId="1F4BE3C6"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 kontekście przestrzeni istotny jest poziom wykorzystania instrumentów planowania przestrzeni. Bada się go m.in. poprzez wskaźnik </w:t>
      </w:r>
      <w:r w:rsidRPr="00CE5D9A">
        <w:rPr>
          <w:rFonts w:ascii="Times New Roman" w:hAnsi="Times New Roman"/>
          <w:i/>
          <w:iCs/>
        </w:rPr>
        <w:t xml:space="preserve">udział powierzchni gminy objętej obowiązującymi miejscowymi planami zagospodarowania przestrzennego w powierzchni ogółem (%). </w:t>
      </w:r>
      <w:r w:rsidRPr="00CE5D9A">
        <w:rPr>
          <w:rFonts w:ascii="Times New Roman" w:hAnsi="Times New Roman"/>
        </w:rPr>
        <w:t xml:space="preserve">Wysoki stopień pokrycia powierzchni gminy MPZP świadczy o świadomym podejściu lokalnych władz do planowania przestrzeni. Nie w każdej z gmin obszaru </w:t>
      </w:r>
      <w:r w:rsidR="00633737" w:rsidRPr="00633737">
        <w:rPr>
          <w:rFonts w:ascii="Times New Roman" w:hAnsi="Times New Roman"/>
          <w:color w:val="FF0000"/>
        </w:rPr>
        <w:t xml:space="preserve">LGD Regionu Myślenickiego </w:t>
      </w:r>
      <w:r w:rsidRPr="00633737">
        <w:rPr>
          <w:rFonts w:ascii="Times New Roman" w:hAnsi="Times New Roman"/>
          <w:strike/>
          <w:color w:val="FF0000"/>
        </w:rPr>
        <w:t>LGD Między Dalinem i Gościbią</w:t>
      </w:r>
      <w:r w:rsidRPr="00633737">
        <w:rPr>
          <w:rFonts w:ascii="Times New Roman" w:hAnsi="Times New Roman"/>
          <w:color w:val="FF0000"/>
        </w:rPr>
        <w:t xml:space="preserve"> </w:t>
      </w:r>
      <w:r w:rsidRPr="00CE5D9A">
        <w:rPr>
          <w:rFonts w:ascii="Times New Roman" w:hAnsi="Times New Roman"/>
        </w:rPr>
        <w:t>występują tereny objęte miejscowymi planami zagospodarowania przestrzennego – Gmina Raciechowice pod tym względem wyróżnia się brakiem posiadania obowiązujących miejscowych planów zagospodarowania przestrzennego. Natomiast obszar gmin Pcim, Tokarnia,</w:t>
      </w:r>
      <w:r w:rsidR="00C25B37" w:rsidRPr="00CE5D9A">
        <w:rPr>
          <w:rFonts w:ascii="Times New Roman" w:hAnsi="Times New Roman"/>
        </w:rPr>
        <w:t xml:space="preserve"> Siepraw,</w:t>
      </w:r>
      <w:r w:rsidRPr="00CE5D9A">
        <w:rPr>
          <w:rFonts w:ascii="Times New Roman" w:hAnsi="Times New Roman"/>
        </w:rPr>
        <w:t xml:space="preserve"> </w:t>
      </w:r>
      <w:r w:rsidR="00C25B37" w:rsidRPr="00CE5D9A">
        <w:rPr>
          <w:rFonts w:ascii="Times New Roman" w:hAnsi="Times New Roman"/>
        </w:rPr>
        <w:t>Sułkowice, Wiśniowa w </w:t>
      </w:r>
      <w:r w:rsidRPr="00CE5D9A">
        <w:rPr>
          <w:rFonts w:ascii="Times New Roman" w:hAnsi="Times New Roman"/>
        </w:rPr>
        <w:t>całości został objęty planami zagospodarowania przestrzennego. Równie dobrze kształtuje się sytuacja w Gminie Lubień – wskaźnik wyniósł tam 99,9%, gorzej w Gminie Myślenice – 79,6%, natomiast w porównaniu do średniej kraju (31,7%) oraz województwa (69,1%)</w:t>
      </w:r>
      <w:r w:rsidRPr="00CE5D9A">
        <w:rPr>
          <w:rFonts w:ascii="Times New Roman" w:hAnsi="Times New Roman"/>
          <w:vertAlign w:val="superscript"/>
        </w:rPr>
        <w:footnoteReference w:id="22"/>
      </w:r>
      <w:r w:rsidRPr="00CE5D9A">
        <w:rPr>
          <w:rFonts w:ascii="Times New Roman" w:hAnsi="Times New Roman"/>
        </w:rPr>
        <w:t xml:space="preserve"> jest to nadal bardzo dobry wynik. </w:t>
      </w:r>
    </w:p>
    <w:p w14:paraId="6229D9B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Jakość i dostęp do infrastruktury to elementy podstawowe takie jak infrastruktura techniczna: wodociągowa, kanalizacyjna, gazowa itp. Na wykresie 12 zobrazowano graficznie </w:t>
      </w:r>
      <w:r w:rsidRPr="00CE5D9A">
        <w:rPr>
          <w:rFonts w:ascii="Times New Roman" w:hAnsi="Times New Roman"/>
          <w:i/>
          <w:iCs/>
        </w:rPr>
        <w:t xml:space="preserve">udział % korzystających z instalacji w ogóle ludności </w:t>
      </w:r>
      <w:r w:rsidRPr="00CE5D9A">
        <w:rPr>
          <w:rFonts w:ascii="Times New Roman" w:hAnsi="Times New Roman"/>
        </w:rPr>
        <w:t>średnio na obszarze LGD, województwie małopolskim oraz w Polsce w 2020 r.</w:t>
      </w:r>
    </w:p>
    <w:p w14:paraId="7A92B27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2020 r. z sieci wodociągowej korzystało 4</w:t>
      </w:r>
      <w:r w:rsidR="00C25B37" w:rsidRPr="00CE5D9A">
        <w:rPr>
          <w:rFonts w:ascii="Times New Roman" w:hAnsi="Times New Roman"/>
        </w:rPr>
        <w:t>7</w:t>
      </w:r>
      <w:r w:rsidRPr="00CE5D9A">
        <w:rPr>
          <w:rFonts w:ascii="Times New Roman" w:hAnsi="Times New Roman"/>
        </w:rPr>
        <w:t>,</w:t>
      </w:r>
      <w:r w:rsidR="00C25B37" w:rsidRPr="00CE5D9A">
        <w:rPr>
          <w:rFonts w:ascii="Times New Roman" w:hAnsi="Times New Roman"/>
        </w:rPr>
        <w:t>5</w:t>
      </w:r>
      <w:r w:rsidRPr="00CE5D9A">
        <w:rPr>
          <w:rFonts w:ascii="Times New Roman" w:hAnsi="Times New Roman"/>
        </w:rPr>
        <w:t>% mieszkańców obszaru LGD. Była to wartość znacznie niższa niż średnia dla kraju (92,2%) i województwa (81,9%), przy czym wewnątrz obszaru najniższy odsetek osób korzystających z sieci wodociągowej występował w Gminie Tokarnia i wynosił w 2020 r. 0, ze względu na fakt, że w gminie rozwinięta jest prywatna sieć przesyłowa w tym zakresie. Udział osób korzystających z sieci kanalizacyjnej w 2020 r. wyniósł na obszarze LGD 4</w:t>
      </w:r>
      <w:r w:rsidR="00C84DF3" w:rsidRPr="00CE5D9A">
        <w:rPr>
          <w:rFonts w:ascii="Times New Roman" w:hAnsi="Times New Roman"/>
        </w:rPr>
        <w:t>4</w:t>
      </w:r>
      <w:r w:rsidRPr="00CE5D9A">
        <w:rPr>
          <w:rFonts w:ascii="Times New Roman" w:hAnsi="Times New Roman"/>
        </w:rPr>
        <w:t>,</w:t>
      </w:r>
      <w:r w:rsidR="00C84DF3" w:rsidRPr="00CE5D9A">
        <w:rPr>
          <w:rFonts w:ascii="Times New Roman" w:hAnsi="Times New Roman"/>
        </w:rPr>
        <w:t>2</w:t>
      </w:r>
      <w:r w:rsidRPr="00CE5D9A">
        <w:rPr>
          <w:rFonts w:ascii="Times New Roman" w:hAnsi="Times New Roman"/>
        </w:rPr>
        <w:t xml:space="preserve">% i był również niższy niż średnia dla województwa (64,6%) oraz niższy niż średnia dla kraju (71,5%). Najmniej korzystna sytuacja w tym zakresie występowała w Gminie Raciechowice – 13,0%. W zakresie osób korzystających z sieci gazowej ich odsetek na obszarze LGD jest </w:t>
      </w:r>
      <w:r w:rsidR="00C25B37" w:rsidRPr="00CE5D9A">
        <w:rPr>
          <w:rFonts w:ascii="Times New Roman" w:hAnsi="Times New Roman"/>
        </w:rPr>
        <w:lastRenderedPageBreak/>
        <w:t xml:space="preserve">niższy niż średnio </w:t>
      </w:r>
      <w:r w:rsidRPr="00CE5D9A">
        <w:rPr>
          <w:rFonts w:ascii="Times New Roman" w:hAnsi="Times New Roman"/>
        </w:rPr>
        <w:t>w</w:t>
      </w:r>
      <w:r w:rsidR="00C25B37" w:rsidRPr="00CE5D9A">
        <w:rPr>
          <w:rFonts w:ascii="Times New Roman" w:hAnsi="Times New Roman"/>
        </w:rPr>
        <w:t> </w:t>
      </w:r>
      <w:r w:rsidRPr="00CE5D9A">
        <w:rPr>
          <w:rFonts w:ascii="Times New Roman" w:hAnsi="Times New Roman"/>
        </w:rPr>
        <w:t xml:space="preserve">województwie i kraju, w 2020 r. wyniósł </w:t>
      </w:r>
      <w:r w:rsidR="00C84DF3" w:rsidRPr="00CE5D9A">
        <w:rPr>
          <w:rFonts w:ascii="Times New Roman" w:hAnsi="Times New Roman"/>
        </w:rPr>
        <w:t>50</w:t>
      </w:r>
      <w:r w:rsidRPr="00CE5D9A">
        <w:rPr>
          <w:rFonts w:ascii="Times New Roman" w:hAnsi="Times New Roman"/>
        </w:rPr>
        <w:t>,</w:t>
      </w:r>
      <w:r w:rsidR="00C84DF3" w:rsidRPr="00CE5D9A">
        <w:rPr>
          <w:rFonts w:ascii="Times New Roman" w:hAnsi="Times New Roman"/>
        </w:rPr>
        <w:t>4</w:t>
      </w:r>
      <w:r w:rsidRPr="00CE5D9A">
        <w:rPr>
          <w:rFonts w:ascii="Times New Roman" w:hAnsi="Times New Roman"/>
        </w:rPr>
        <w:t>%, przy 6</w:t>
      </w:r>
      <w:r w:rsidR="00C84DF3" w:rsidRPr="00CE5D9A">
        <w:rPr>
          <w:rFonts w:ascii="Times New Roman" w:hAnsi="Times New Roman"/>
        </w:rPr>
        <w:t>5,3</w:t>
      </w:r>
      <w:r w:rsidRPr="00CE5D9A">
        <w:rPr>
          <w:rFonts w:ascii="Times New Roman" w:hAnsi="Times New Roman"/>
        </w:rPr>
        <w:t>% w województwie oraz 54,</w:t>
      </w:r>
      <w:r w:rsidR="00C84DF3" w:rsidRPr="00CE5D9A">
        <w:rPr>
          <w:rFonts w:ascii="Times New Roman" w:hAnsi="Times New Roman"/>
        </w:rPr>
        <w:t>8</w:t>
      </w:r>
      <w:r w:rsidRPr="00CE5D9A">
        <w:rPr>
          <w:rFonts w:ascii="Times New Roman" w:hAnsi="Times New Roman"/>
        </w:rPr>
        <w:t xml:space="preserve">% w kraju. </w:t>
      </w:r>
      <w:bookmarkStart w:id="104" w:name="_Toc112838980"/>
      <w:bookmarkStart w:id="105" w:name="_Toc134966324"/>
    </w:p>
    <w:p w14:paraId="68D4C59C" w14:textId="772C6163" w:rsidR="00686DFE" w:rsidRPr="00CE5D9A" w:rsidRDefault="00686DFE">
      <w:pPr>
        <w:pStyle w:val="Legenda"/>
        <w:spacing w:before="120" w:after="0"/>
        <w:jc w:val="center"/>
        <w:rPr>
          <w:rFonts w:ascii="Times New Roman" w:hAnsi="Times New Roman"/>
          <w:b/>
          <w:bCs/>
          <w:color w:val="auto"/>
          <w:sz w:val="20"/>
          <w:szCs w:val="20"/>
        </w:rPr>
      </w:pPr>
      <w:bookmarkStart w:id="106" w:name="_Toc194581421"/>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12</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Udział % korzystających z instalacji w ogóle ludności na obszarze LGD, w województwie i kraju w 2020 r.</w:t>
      </w:r>
      <w:bookmarkEnd w:id="104"/>
      <w:bookmarkEnd w:id="105"/>
      <w:bookmarkEnd w:id="106"/>
    </w:p>
    <w:p w14:paraId="45ADD7CD" w14:textId="77777777" w:rsidR="00686DFE" w:rsidRPr="00CE5D9A" w:rsidRDefault="00C84DF3">
      <w:pPr>
        <w:spacing w:after="0"/>
        <w:jc w:val="center"/>
      </w:pPr>
      <w:r w:rsidRPr="00CE5D9A">
        <w:rPr>
          <w:noProof/>
          <w:lang w:eastAsia="pl-PL"/>
        </w:rPr>
        <w:drawing>
          <wp:inline distT="0" distB="0" distL="0" distR="0" wp14:anchorId="165F6EC0" wp14:editId="66287C69">
            <wp:extent cx="5692140" cy="1859280"/>
            <wp:effectExtent l="0" t="0" r="3810" b="7620"/>
            <wp:docPr id="1643526307" name="Wykres 1643526307">
              <a:extLst xmlns:a="http://schemas.openxmlformats.org/drawingml/2006/main">
                <a:ext uri="{FF2B5EF4-FFF2-40B4-BE49-F238E27FC236}">
                  <a16:creationId xmlns:a16="http://schemas.microsoft.com/office/drawing/2014/main" id="{ED845B81-07FE-0342-410C-E654076DE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E5D9A">
        <w:rPr>
          <w:noProof/>
          <w:lang w:eastAsia="pl-PL"/>
        </w:rPr>
        <w:t xml:space="preserve"> </w:t>
      </w:r>
    </w:p>
    <w:p w14:paraId="393C9D0E"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6561E3CC"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Tam, gdzie nie istnieje sieć kanalizacyjna, funkcjonują bezodpływowe szamba lub przydomowe oczyszczalnie ścieków. Te drugie są tańsze w eksploatacji i przede wszystkim zdecydowanie bardziej przyjazne środowisku. Na obszarze LGD w 2021 r. użytkowano łącznie 5</w:t>
      </w:r>
      <w:r w:rsidR="00C84DF3" w:rsidRPr="00CE5D9A">
        <w:rPr>
          <w:rFonts w:ascii="Times New Roman" w:hAnsi="Times New Roman"/>
        </w:rPr>
        <w:t>77</w:t>
      </w:r>
      <w:r w:rsidRPr="00CE5D9A">
        <w:rPr>
          <w:rFonts w:ascii="Times New Roman" w:hAnsi="Times New Roman"/>
        </w:rPr>
        <w:t xml:space="preserve"> sztuk przydomowych oczyszczalni ścieków, najwięcej z nich – 198 sztuk funkcjonowało na terenie Gminy Lubień, 123 sztuk</w:t>
      </w:r>
      <w:r w:rsidR="00E30484" w:rsidRPr="00CE5D9A">
        <w:rPr>
          <w:rFonts w:ascii="Times New Roman" w:hAnsi="Times New Roman"/>
        </w:rPr>
        <w:t xml:space="preserve">i w Gminie Myślenice, 76 sztuk </w:t>
      </w:r>
      <w:r w:rsidRPr="00CE5D9A">
        <w:rPr>
          <w:rFonts w:ascii="Times New Roman" w:hAnsi="Times New Roman"/>
        </w:rPr>
        <w:t>w</w:t>
      </w:r>
      <w:r w:rsidR="00E30484" w:rsidRPr="00CE5D9A">
        <w:rPr>
          <w:rFonts w:ascii="Times New Roman" w:hAnsi="Times New Roman"/>
        </w:rPr>
        <w:t> </w:t>
      </w:r>
      <w:r w:rsidRPr="00CE5D9A">
        <w:rPr>
          <w:rFonts w:ascii="Times New Roman" w:hAnsi="Times New Roman"/>
        </w:rPr>
        <w:t xml:space="preserve">Gminie Tokarnia, 71 sztuk w Gminie Raciechowice, </w:t>
      </w:r>
      <w:r w:rsidR="00C84DF3" w:rsidRPr="00CE5D9A">
        <w:rPr>
          <w:rFonts w:ascii="Times New Roman" w:hAnsi="Times New Roman"/>
        </w:rPr>
        <w:t xml:space="preserve">65 w Gminie Siepraw, </w:t>
      </w:r>
      <w:r w:rsidRPr="00CE5D9A">
        <w:rPr>
          <w:rFonts w:ascii="Times New Roman" w:hAnsi="Times New Roman"/>
        </w:rPr>
        <w:t>29 sztuk w Gminie Wiśniowa, 10 sztuk w Gminie Sułkowice oraz 5 sztuk w Gminie Pcim</w:t>
      </w:r>
      <w:r w:rsidRPr="00CE5D9A">
        <w:rPr>
          <w:rFonts w:ascii="Times New Roman" w:hAnsi="Times New Roman"/>
          <w:vertAlign w:val="superscript"/>
        </w:rPr>
        <w:footnoteReference w:id="23"/>
      </w:r>
      <w:r w:rsidRPr="00CE5D9A">
        <w:rPr>
          <w:rFonts w:ascii="Times New Roman" w:hAnsi="Times New Roman"/>
        </w:rPr>
        <w:t>.</w:t>
      </w:r>
    </w:p>
    <w:p w14:paraId="776CEE69" w14:textId="77777777" w:rsidR="00686DFE" w:rsidRPr="00CE5D9A" w:rsidRDefault="00686DFE">
      <w:pPr>
        <w:spacing w:after="0" w:line="276" w:lineRule="auto"/>
        <w:ind w:firstLine="709"/>
        <w:jc w:val="both"/>
        <w:rPr>
          <w:rFonts w:ascii="Times New Roman" w:hAnsi="Times New Roman"/>
          <w:szCs w:val="20"/>
        </w:rPr>
      </w:pPr>
      <w:r w:rsidRPr="00CE5D9A">
        <w:rPr>
          <w:rFonts w:ascii="Times New Roman" w:hAnsi="Times New Roman"/>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14 przedstawiono wartości wskaźników</w:t>
      </w:r>
      <w:r w:rsidRPr="00CE5D9A">
        <w:rPr>
          <w:rFonts w:ascii="Times New Roman" w:hAnsi="Times New Roman"/>
          <w:i/>
          <w:iCs/>
          <w:szCs w:val="20"/>
        </w:rPr>
        <w:t xml:space="preserve"> udział dzieci objętych wychowaniem przedszkolnym w ogólnej liczbie dzieci w wieku 3–5 lat</w:t>
      </w:r>
      <w:r w:rsidRPr="00CE5D9A">
        <w:rPr>
          <w:rFonts w:ascii="Times New Roman" w:hAnsi="Times New Roman"/>
          <w:szCs w:val="20"/>
        </w:rPr>
        <w:t xml:space="preserve"> oraz </w:t>
      </w:r>
      <w:r w:rsidRPr="00CE5D9A">
        <w:rPr>
          <w:rFonts w:ascii="Times New Roman" w:hAnsi="Times New Roman"/>
          <w:i/>
          <w:iCs/>
          <w:szCs w:val="20"/>
        </w:rPr>
        <w:t xml:space="preserve">liczba dzieci przypadająca na 1 placówkę wychowania przedszkolnego </w:t>
      </w:r>
      <w:r w:rsidRPr="00CE5D9A">
        <w:rPr>
          <w:rFonts w:ascii="Times New Roman" w:hAnsi="Times New Roman"/>
          <w:szCs w:val="20"/>
        </w:rPr>
        <w:t>w latach 2016–2021.</w:t>
      </w:r>
    </w:p>
    <w:p w14:paraId="2903222A" w14:textId="68943420" w:rsidR="00686DFE" w:rsidRPr="00CE5D9A" w:rsidRDefault="00686DFE">
      <w:pPr>
        <w:pStyle w:val="Legenda"/>
        <w:spacing w:before="240" w:after="0"/>
        <w:jc w:val="center"/>
        <w:rPr>
          <w:rFonts w:ascii="Times New Roman" w:hAnsi="Times New Roman"/>
          <w:b/>
          <w:bCs/>
          <w:i w:val="0"/>
          <w:iCs w:val="0"/>
          <w:color w:val="auto"/>
          <w:sz w:val="20"/>
          <w:szCs w:val="20"/>
        </w:rPr>
      </w:pPr>
      <w:bookmarkStart w:id="107" w:name="_Toc112152415"/>
      <w:bookmarkStart w:id="108" w:name="_Toc134966361"/>
      <w:bookmarkStart w:id="109" w:name="_Toc194581438"/>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14</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Udział dzieci objętych wychowaniem przedszkolnym w ogólnej liczbie dzieci w wieku 3–5 lat oraz liczba dzieci przypadająca na 1 placówkę wychowania przedszkolnego w gminach LGD oraz porównanie średniej obszaru LGD do województwa i kraju w latach 2016–202</w:t>
      </w:r>
      <w:bookmarkEnd w:id="107"/>
      <w:r w:rsidRPr="00CE5D9A">
        <w:rPr>
          <w:rFonts w:ascii="Times New Roman" w:hAnsi="Times New Roman"/>
          <w:b/>
          <w:bCs/>
          <w:i w:val="0"/>
          <w:iCs w:val="0"/>
          <w:color w:val="auto"/>
          <w:sz w:val="20"/>
          <w:szCs w:val="20"/>
        </w:rPr>
        <w:t>1</w:t>
      </w:r>
      <w:bookmarkEnd w:id="108"/>
      <w:bookmarkEnd w:id="109"/>
    </w:p>
    <w:tbl>
      <w:tblPr>
        <w:tblW w:w="5000" w:type="pct"/>
        <w:tblCellMar>
          <w:left w:w="70" w:type="dxa"/>
          <w:right w:w="70" w:type="dxa"/>
        </w:tblCellMar>
        <w:tblLook w:val="0000" w:firstRow="0" w:lastRow="0" w:firstColumn="0" w:lastColumn="0" w:noHBand="0" w:noVBand="0"/>
      </w:tblPr>
      <w:tblGrid>
        <w:gridCol w:w="2978"/>
        <w:gridCol w:w="615"/>
        <w:gridCol w:w="615"/>
        <w:gridCol w:w="615"/>
        <w:gridCol w:w="614"/>
        <w:gridCol w:w="614"/>
        <w:gridCol w:w="621"/>
        <w:gridCol w:w="614"/>
        <w:gridCol w:w="614"/>
        <w:gridCol w:w="614"/>
        <w:gridCol w:w="614"/>
        <w:gridCol w:w="614"/>
        <w:gridCol w:w="602"/>
      </w:tblGrid>
      <w:tr w:rsidR="00686DFE" w:rsidRPr="00CE5D9A" w14:paraId="206E909A" w14:textId="77777777" w:rsidTr="00B070D6">
        <w:trPr>
          <w:trHeight w:val="340"/>
        </w:trPr>
        <w:tc>
          <w:tcPr>
            <w:tcW w:w="1439" w:type="pct"/>
            <w:vMerge w:val="restart"/>
            <w:tcBorders>
              <w:top w:val="single" w:sz="4" w:space="0" w:color="auto"/>
              <w:left w:val="single" w:sz="4" w:space="0" w:color="auto"/>
              <w:bottom w:val="single" w:sz="4" w:space="0" w:color="auto"/>
              <w:right w:val="single" w:sz="4" w:space="0" w:color="auto"/>
            </w:tcBorders>
            <w:noWrap/>
            <w:vAlign w:val="center"/>
          </w:tcPr>
          <w:p w14:paraId="78426E0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785" w:type="pct"/>
            <w:gridSpan w:val="6"/>
            <w:tcBorders>
              <w:top w:val="single" w:sz="4" w:space="0" w:color="auto"/>
              <w:left w:val="nil"/>
              <w:bottom w:val="single" w:sz="4" w:space="0" w:color="auto"/>
              <w:right w:val="single" w:sz="4" w:space="0" w:color="auto"/>
            </w:tcBorders>
            <w:vAlign w:val="center"/>
          </w:tcPr>
          <w:p w14:paraId="2783513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Udział % dzieci objętych wychowaniem przedszkolnym w ogólnej liczbie dzieci </w:t>
            </w:r>
            <w:r w:rsidRPr="00CE5D9A">
              <w:rPr>
                <w:rFonts w:ascii="Times New Roman" w:eastAsia="Times New Roman" w:hAnsi="Times New Roman"/>
                <w:b/>
                <w:bCs/>
                <w:sz w:val="20"/>
                <w:szCs w:val="20"/>
                <w:lang w:eastAsia="pl-PL"/>
              </w:rPr>
              <w:br/>
              <w:t>w wieku 3–5 lat</w:t>
            </w:r>
          </w:p>
        </w:tc>
        <w:tc>
          <w:tcPr>
            <w:tcW w:w="1776" w:type="pct"/>
            <w:gridSpan w:val="6"/>
            <w:tcBorders>
              <w:top w:val="single" w:sz="4" w:space="0" w:color="auto"/>
              <w:left w:val="nil"/>
              <w:bottom w:val="single" w:sz="4" w:space="0" w:color="auto"/>
              <w:right w:val="single" w:sz="4" w:space="0" w:color="auto"/>
            </w:tcBorders>
            <w:vAlign w:val="center"/>
          </w:tcPr>
          <w:p w14:paraId="73D07D9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Liczba dzieci przypadająca na 1 placówkę wychowania przedszkolnego</w:t>
            </w:r>
          </w:p>
        </w:tc>
      </w:tr>
      <w:tr w:rsidR="00686DFE" w:rsidRPr="00CE5D9A" w14:paraId="5AB8372C" w14:textId="77777777" w:rsidTr="00B070D6">
        <w:trPr>
          <w:trHeight w:val="340"/>
        </w:trPr>
        <w:tc>
          <w:tcPr>
            <w:tcW w:w="1439" w:type="pct"/>
            <w:vMerge/>
            <w:tcBorders>
              <w:top w:val="single" w:sz="4" w:space="0" w:color="auto"/>
              <w:left w:val="single" w:sz="4" w:space="0" w:color="auto"/>
              <w:bottom w:val="single" w:sz="4" w:space="0" w:color="auto"/>
              <w:right w:val="single" w:sz="4" w:space="0" w:color="auto"/>
            </w:tcBorders>
            <w:vAlign w:val="center"/>
          </w:tcPr>
          <w:p w14:paraId="4CAE24E8"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297" w:type="pct"/>
            <w:tcBorders>
              <w:top w:val="nil"/>
              <w:left w:val="nil"/>
              <w:bottom w:val="single" w:sz="4" w:space="0" w:color="auto"/>
              <w:right w:val="single" w:sz="4" w:space="0" w:color="auto"/>
            </w:tcBorders>
            <w:vAlign w:val="center"/>
          </w:tcPr>
          <w:p w14:paraId="4FCAC4A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97" w:type="pct"/>
            <w:tcBorders>
              <w:top w:val="nil"/>
              <w:left w:val="nil"/>
              <w:bottom w:val="single" w:sz="4" w:space="0" w:color="auto"/>
              <w:right w:val="single" w:sz="4" w:space="0" w:color="auto"/>
            </w:tcBorders>
            <w:vAlign w:val="center"/>
          </w:tcPr>
          <w:p w14:paraId="30E620F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297" w:type="pct"/>
            <w:tcBorders>
              <w:top w:val="nil"/>
              <w:left w:val="nil"/>
              <w:bottom w:val="single" w:sz="4" w:space="0" w:color="auto"/>
              <w:right w:val="single" w:sz="4" w:space="0" w:color="auto"/>
            </w:tcBorders>
            <w:vAlign w:val="center"/>
          </w:tcPr>
          <w:p w14:paraId="078C753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297" w:type="pct"/>
            <w:tcBorders>
              <w:top w:val="nil"/>
              <w:left w:val="nil"/>
              <w:bottom w:val="single" w:sz="4" w:space="0" w:color="auto"/>
              <w:right w:val="single" w:sz="4" w:space="0" w:color="auto"/>
            </w:tcBorders>
            <w:vAlign w:val="center"/>
          </w:tcPr>
          <w:p w14:paraId="3279504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97" w:type="pct"/>
            <w:tcBorders>
              <w:top w:val="nil"/>
              <w:left w:val="nil"/>
              <w:bottom w:val="single" w:sz="4" w:space="0" w:color="auto"/>
              <w:right w:val="single" w:sz="4" w:space="0" w:color="auto"/>
            </w:tcBorders>
            <w:vAlign w:val="center"/>
          </w:tcPr>
          <w:p w14:paraId="7309FF2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99" w:type="pct"/>
            <w:tcBorders>
              <w:top w:val="nil"/>
              <w:left w:val="nil"/>
              <w:bottom w:val="single" w:sz="4" w:space="0" w:color="auto"/>
              <w:right w:val="single" w:sz="4" w:space="0" w:color="auto"/>
            </w:tcBorders>
            <w:vAlign w:val="center"/>
          </w:tcPr>
          <w:p w14:paraId="618E2D98"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97" w:type="pct"/>
            <w:tcBorders>
              <w:top w:val="nil"/>
              <w:left w:val="nil"/>
              <w:bottom w:val="single" w:sz="4" w:space="0" w:color="auto"/>
              <w:right w:val="single" w:sz="4" w:space="0" w:color="auto"/>
            </w:tcBorders>
            <w:vAlign w:val="center"/>
          </w:tcPr>
          <w:p w14:paraId="2678038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297" w:type="pct"/>
            <w:tcBorders>
              <w:top w:val="nil"/>
              <w:left w:val="nil"/>
              <w:bottom w:val="single" w:sz="4" w:space="0" w:color="auto"/>
              <w:right w:val="single" w:sz="4" w:space="0" w:color="auto"/>
            </w:tcBorders>
            <w:vAlign w:val="center"/>
          </w:tcPr>
          <w:p w14:paraId="652B12D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297" w:type="pct"/>
            <w:tcBorders>
              <w:top w:val="nil"/>
              <w:left w:val="nil"/>
              <w:bottom w:val="single" w:sz="4" w:space="0" w:color="auto"/>
              <w:right w:val="single" w:sz="4" w:space="0" w:color="auto"/>
            </w:tcBorders>
            <w:vAlign w:val="center"/>
          </w:tcPr>
          <w:p w14:paraId="407E13E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297" w:type="pct"/>
            <w:tcBorders>
              <w:top w:val="nil"/>
              <w:left w:val="nil"/>
              <w:bottom w:val="single" w:sz="4" w:space="0" w:color="auto"/>
              <w:right w:val="single" w:sz="4" w:space="0" w:color="auto"/>
            </w:tcBorders>
            <w:vAlign w:val="center"/>
          </w:tcPr>
          <w:p w14:paraId="3FCD4F7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97" w:type="pct"/>
            <w:tcBorders>
              <w:top w:val="nil"/>
              <w:left w:val="nil"/>
              <w:bottom w:val="single" w:sz="4" w:space="0" w:color="auto"/>
              <w:right w:val="single" w:sz="4" w:space="0" w:color="auto"/>
            </w:tcBorders>
            <w:vAlign w:val="center"/>
          </w:tcPr>
          <w:p w14:paraId="426D7E7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92" w:type="pct"/>
            <w:tcBorders>
              <w:top w:val="nil"/>
              <w:left w:val="nil"/>
              <w:bottom w:val="single" w:sz="4" w:space="0" w:color="auto"/>
              <w:right w:val="single" w:sz="4" w:space="0" w:color="auto"/>
            </w:tcBorders>
            <w:vAlign w:val="center"/>
          </w:tcPr>
          <w:p w14:paraId="7D98671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r>
      <w:tr w:rsidR="00686DFE" w:rsidRPr="00CE5D9A" w14:paraId="280A72E7"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68296E05"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297" w:type="pct"/>
            <w:tcBorders>
              <w:top w:val="nil"/>
              <w:left w:val="nil"/>
              <w:bottom w:val="single" w:sz="4" w:space="0" w:color="auto"/>
              <w:right w:val="single" w:sz="4" w:space="0" w:color="auto"/>
            </w:tcBorders>
            <w:noWrap/>
            <w:vAlign w:val="center"/>
          </w:tcPr>
          <w:p w14:paraId="186EAA4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73</w:t>
            </w:r>
          </w:p>
        </w:tc>
        <w:tc>
          <w:tcPr>
            <w:tcW w:w="297" w:type="pct"/>
            <w:tcBorders>
              <w:top w:val="nil"/>
              <w:left w:val="nil"/>
              <w:bottom w:val="single" w:sz="4" w:space="0" w:color="auto"/>
              <w:right w:val="single" w:sz="4" w:space="0" w:color="auto"/>
            </w:tcBorders>
            <w:noWrap/>
            <w:vAlign w:val="center"/>
          </w:tcPr>
          <w:p w14:paraId="688663C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297" w:type="pct"/>
            <w:tcBorders>
              <w:top w:val="nil"/>
              <w:left w:val="nil"/>
              <w:bottom w:val="single" w:sz="4" w:space="0" w:color="auto"/>
              <w:right w:val="single" w:sz="4" w:space="0" w:color="auto"/>
            </w:tcBorders>
            <w:noWrap/>
            <w:vAlign w:val="center"/>
          </w:tcPr>
          <w:p w14:paraId="06AF36F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7" w:type="pct"/>
            <w:tcBorders>
              <w:top w:val="nil"/>
              <w:left w:val="nil"/>
              <w:bottom w:val="single" w:sz="4" w:space="0" w:color="auto"/>
              <w:right w:val="single" w:sz="4" w:space="0" w:color="auto"/>
            </w:tcBorders>
            <w:noWrap/>
            <w:vAlign w:val="center"/>
          </w:tcPr>
          <w:p w14:paraId="0ADC81D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87</w:t>
            </w:r>
          </w:p>
        </w:tc>
        <w:tc>
          <w:tcPr>
            <w:tcW w:w="297" w:type="pct"/>
            <w:tcBorders>
              <w:top w:val="nil"/>
              <w:left w:val="nil"/>
              <w:bottom w:val="single" w:sz="4" w:space="0" w:color="auto"/>
              <w:right w:val="single" w:sz="4" w:space="0" w:color="auto"/>
            </w:tcBorders>
            <w:noWrap/>
            <w:vAlign w:val="center"/>
          </w:tcPr>
          <w:p w14:paraId="486ED6D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9" w:type="pct"/>
            <w:tcBorders>
              <w:top w:val="nil"/>
              <w:left w:val="nil"/>
              <w:bottom w:val="single" w:sz="4" w:space="0" w:color="auto"/>
              <w:right w:val="single" w:sz="4" w:space="0" w:color="auto"/>
            </w:tcBorders>
            <w:noWrap/>
            <w:vAlign w:val="center"/>
          </w:tcPr>
          <w:p w14:paraId="5F351B5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7" w:type="pct"/>
            <w:tcBorders>
              <w:top w:val="nil"/>
              <w:left w:val="nil"/>
              <w:bottom w:val="single" w:sz="4" w:space="0" w:color="auto"/>
              <w:right w:val="single" w:sz="4" w:space="0" w:color="auto"/>
            </w:tcBorders>
            <w:noWrap/>
            <w:vAlign w:val="center"/>
          </w:tcPr>
          <w:p w14:paraId="1366067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297" w:type="pct"/>
            <w:tcBorders>
              <w:top w:val="nil"/>
              <w:left w:val="nil"/>
              <w:bottom w:val="single" w:sz="4" w:space="0" w:color="auto"/>
              <w:right w:val="single" w:sz="4" w:space="0" w:color="auto"/>
            </w:tcBorders>
            <w:noWrap/>
            <w:vAlign w:val="center"/>
          </w:tcPr>
          <w:p w14:paraId="4C1399E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297" w:type="pct"/>
            <w:tcBorders>
              <w:top w:val="nil"/>
              <w:left w:val="nil"/>
              <w:bottom w:val="single" w:sz="4" w:space="0" w:color="auto"/>
              <w:right w:val="single" w:sz="4" w:space="0" w:color="auto"/>
            </w:tcBorders>
            <w:noWrap/>
            <w:vAlign w:val="center"/>
          </w:tcPr>
          <w:p w14:paraId="2703875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76</w:t>
            </w:r>
          </w:p>
        </w:tc>
        <w:tc>
          <w:tcPr>
            <w:tcW w:w="297" w:type="pct"/>
            <w:tcBorders>
              <w:top w:val="nil"/>
              <w:left w:val="nil"/>
              <w:bottom w:val="single" w:sz="4" w:space="0" w:color="auto"/>
              <w:right w:val="single" w:sz="4" w:space="0" w:color="auto"/>
            </w:tcBorders>
            <w:noWrap/>
            <w:vAlign w:val="center"/>
          </w:tcPr>
          <w:p w14:paraId="4D6AC6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70</w:t>
            </w:r>
          </w:p>
        </w:tc>
        <w:tc>
          <w:tcPr>
            <w:tcW w:w="297" w:type="pct"/>
            <w:tcBorders>
              <w:top w:val="nil"/>
              <w:left w:val="nil"/>
              <w:bottom w:val="single" w:sz="4" w:space="0" w:color="auto"/>
              <w:right w:val="single" w:sz="4" w:space="0" w:color="auto"/>
            </w:tcBorders>
            <w:noWrap/>
            <w:vAlign w:val="center"/>
          </w:tcPr>
          <w:p w14:paraId="144D1BE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w:t>
            </w:r>
          </w:p>
        </w:tc>
        <w:tc>
          <w:tcPr>
            <w:tcW w:w="292" w:type="pct"/>
            <w:tcBorders>
              <w:top w:val="nil"/>
              <w:left w:val="nil"/>
              <w:bottom w:val="single" w:sz="4" w:space="0" w:color="auto"/>
              <w:right w:val="single" w:sz="4" w:space="0" w:color="auto"/>
            </w:tcBorders>
            <w:noWrap/>
            <w:vAlign w:val="center"/>
          </w:tcPr>
          <w:p w14:paraId="6D3512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r>
      <w:tr w:rsidR="00686DFE" w:rsidRPr="00CE5D9A" w14:paraId="1F4C7419"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33E6C46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297" w:type="pct"/>
            <w:tcBorders>
              <w:top w:val="nil"/>
              <w:left w:val="nil"/>
              <w:bottom w:val="single" w:sz="4" w:space="0" w:color="auto"/>
              <w:right w:val="single" w:sz="4" w:space="0" w:color="auto"/>
            </w:tcBorders>
            <w:noWrap/>
            <w:vAlign w:val="center"/>
          </w:tcPr>
          <w:p w14:paraId="3708D3D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68B3E30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c>
          <w:tcPr>
            <w:tcW w:w="297" w:type="pct"/>
            <w:tcBorders>
              <w:top w:val="nil"/>
              <w:left w:val="nil"/>
              <w:bottom w:val="single" w:sz="4" w:space="0" w:color="auto"/>
              <w:right w:val="single" w:sz="4" w:space="0" w:color="auto"/>
            </w:tcBorders>
            <w:noWrap/>
            <w:vAlign w:val="center"/>
          </w:tcPr>
          <w:p w14:paraId="581A64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w:t>
            </w:r>
          </w:p>
        </w:tc>
        <w:tc>
          <w:tcPr>
            <w:tcW w:w="297" w:type="pct"/>
            <w:tcBorders>
              <w:top w:val="nil"/>
              <w:left w:val="nil"/>
              <w:bottom w:val="single" w:sz="4" w:space="0" w:color="auto"/>
              <w:right w:val="single" w:sz="4" w:space="0" w:color="auto"/>
            </w:tcBorders>
            <w:noWrap/>
            <w:vAlign w:val="center"/>
          </w:tcPr>
          <w:p w14:paraId="079DE37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w:t>
            </w:r>
          </w:p>
        </w:tc>
        <w:tc>
          <w:tcPr>
            <w:tcW w:w="297" w:type="pct"/>
            <w:tcBorders>
              <w:top w:val="nil"/>
              <w:left w:val="nil"/>
              <w:bottom w:val="single" w:sz="4" w:space="0" w:color="auto"/>
              <w:right w:val="single" w:sz="4" w:space="0" w:color="auto"/>
            </w:tcBorders>
            <w:noWrap/>
            <w:vAlign w:val="center"/>
          </w:tcPr>
          <w:p w14:paraId="4F2AFA4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90</w:t>
            </w:r>
          </w:p>
        </w:tc>
        <w:tc>
          <w:tcPr>
            <w:tcW w:w="299" w:type="pct"/>
            <w:tcBorders>
              <w:top w:val="nil"/>
              <w:left w:val="nil"/>
              <w:bottom w:val="single" w:sz="4" w:space="0" w:color="auto"/>
              <w:right w:val="single" w:sz="4" w:space="0" w:color="auto"/>
            </w:tcBorders>
            <w:noWrap/>
            <w:vAlign w:val="center"/>
          </w:tcPr>
          <w:p w14:paraId="3ED077A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w:t>
            </w:r>
          </w:p>
        </w:tc>
        <w:tc>
          <w:tcPr>
            <w:tcW w:w="297" w:type="pct"/>
            <w:tcBorders>
              <w:top w:val="nil"/>
              <w:left w:val="nil"/>
              <w:bottom w:val="single" w:sz="4" w:space="0" w:color="auto"/>
              <w:right w:val="single" w:sz="4" w:space="0" w:color="auto"/>
            </w:tcBorders>
            <w:noWrap/>
            <w:vAlign w:val="center"/>
          </w:tcPr>
          <w:p w14:paraId="5E8AC67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71</w:t>
            </w:r>
          </w:p>
        </w:tc>
        <w:tc>
          <w:tcPr>
            <w:tcW w:w="297" w:type="pct"/>
            <w:tcBorders>
              <w:top w:val="nil"/>
              <w:left w:val="nil"/>
              <w:bottom w:val="single" w:sz="4" w:space="0" w:color="auto"/>
              <w:right w:val="single" w:sz="4" w:space="0" w:color="auto"/>
            </w:tcBorders>
            <w:vAlign w:val="center"/>
          </w:tcPr>
          <w:p w14:paraId="0CEC8EB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w:t>
            </w:r>
          </w:p>
        </w:tc>
        <w:tc>
          <w:tcPr>
            <w:tcW w:w="297" w:type="pct"/>
            <w:tcBorders>
              <w:top w:val="nil"/>
              <w:left w:val="nil"/>
              <w:bottom w:val="single" w:sz="4" w:space="0" w:color="auto"/>
              <w:right w:val="single" w:sz="4" w:space="0" w:color="auto"/>
            </w:tcBorders>
            <w:vAlign w:val="center"/>
          </w:tcPr>
          <w:p w14:paraId="6A2AA60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w:t>
            </w:r>
          </w:p>
        </w:tc>
        <w:tc>
          <w:tcPr>
            <w:tcW w:w="297" w:type="pct"/>
            <w:tcBorders>
              <w:top w:val="nil"/>
              <w:left w:val="nil"/>
              <w:bottom w:val="single" w:sz="4" w:space="0" w:color="auto"/>
              <w:right w:val="single" w:sz="4" w:space="0" w:color="auto"/>
            </w:tcBorders>
            <w:vAlign w:val="center"/>
          </w:tcPr>
          <w:p w14:paraId="0130BF0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w:t>
            </w:r>
          </w:p>
        </w:tc>
        <w:tc>
          <w:tcPr>
            <w:tcW w:w="297" w:type="pct"/>
            <w:tcBorders>
              <w:top w:val="nil"/>
              <w:left w:val="nil"/>
              <w:bottom w:val="single" w:sz="4" w:space="0" w:color="auto"/>
              <w:right w:val="single" w:sz="4" w:space="0" w:color="auto"/>
            </w:tcBorders>
            <w:vAlign w:val="center"/>
          </w:tcPr>
          <w:p w14:paraId="461C360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w:t>
            </w:r>
          </w:p>
        </w:tc>
        <w:tc>
          <w:tcPr>
            <w:tcW w:w="292" w:type="pct"/>
            <w:tcBorders>
              <w:top w:val="nil"/>
              <w:left w:val="nil"/>
              <w:bottom w:val="single" w:sz="4" w:space="0" w:color="auto"/>
              <w:right w:val="single" w:sz="4" w:space="0" w:color="auto"/>
            </w:tcBorders>
            <w:vAlign w:val="center"/>
          </w:tcPr>
          <w:p w14:paraId="4351418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w:t>
            </w:r>
          </w:p>
        </w:tc>
      </w:tr>
      <w:tr w:rsidR="00686DFE" w:rsidRPr="00CE5D9A" w14:paraId="14772DBF"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530EAD8F"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297" w:type="pct"/>
            <w:tcBorders>
              <w:top w:val="nil"/>
              <w:left w:val="nil"/>
              <w:bottom w:val="single" w:sz="4" w:space="0" w:color="auto"/>
              <w:right w:val="single" w:sz="4" w:space="0" w:color="auto"/>
            </w:tcBorders>
            <w:noWrap/>
            <w:vAlign w:val="center"/>
          </w:tcPr>
          <w:p w14:paraId="752535E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w:t>
            </w:r>
          </w:p>
        </w:tc>
        <w:tc>
          <w:tcPr>
            <w:tcW w:w="297" w:type="pct"/>
            <w:tcBorders>
              <w:top w:val="nil"/>
              <w:left w:val="nil"/>
              <w:bottom w:val="single" w:sz="4" w:space="0" w:color="auto"/>
              <w:right w:val="single" w:sz="4" w:space="0" w:color="auto"/>
            </w:tcBorders>
            <w:noWrap/>
            <w:vAlign w:val="center"/>
          </w:tcPr>
          <w:p w14:paraId="2F92529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297" w:type="pct"/>
            <w:tcBorders>
              <w:top w:val="nil"/>
              <w:left w:val="nil"/>
              <w:bottom w:val="single" w:sz="4" w:space="0" w:color="auto"/>
              <w:right w:val="single" w:sz="4" w:space="0" w:color="auto"/>
            </w:tcBorders>
            <w:noWrap/>
            <w:vAlign w:val="center"/>
          </w:tcPr>
          <w:p w14:paraId="1B7712A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76</w:t>
            </w:r>
          </w:p>
        </w:tc>
        <w:tc>
          <w:tcPr>
            <w:tcW w:w="297" w:type="pct"/>
            <w:tcBorders>
              <w:top w:val="nil"/>
              <w:left w:val="nil"/>
              <w:bottom w:val="single" w:sz="4" w:space="0" w:color="auto"/>
              <w:right w:val="single" w:sz="4" w:space="0" w:color="auto"/>
            </w:tcBorders>
            <w:noWrap/>
            <w:vAlign w:val="center"/>
          </w:tcPr>
          <w:p w14:paraId="421308B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w:t>
            </w:r>
          </w:p>
        </w:tc>
        <w:tc>
          <w:tcPr>
            <w:tcW w:w="297" w:type="pct"/>
            <w:tcBorders>
              <w:top w:val="nil"/>
              <w:left w:val="nil"/>
              <w:bottom w:val="single" w:sz="4" w:space="0" w:color="auto"/>
              <w:right w:val="single" w:sz="4" w:space="0" w:color="auto"/>
            </w:tcBorders>
            <w:noWrap/>
            <w:vAlign w:val="center"/>
          </w:tcPr>
          <w:p w14:paraId="6F4297A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76</w:t>
            </w:r>
          </w:p>
        </w:tc>
        <w:tc>
          <w:tcPr>
            <w:tcW w:w="299" w:type="pct"/>
            <w:tcBorders>
              <w:top w:val="nil"/>
              <w:left w:val="nil"/>
              <w:bottom w:val="single" w:sz="4" w:space="0" w:color="auto"/>
              <w:right w:val="single" w:sz="4" w:space="0" w:color="auto"/>
            </w:tcBorders>
            <w:noWrap/>
            <w:vAlign w:val="center"/>
          </w:tcPr>
          <w:p w14:paraId="68C15BA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74</w:t>
            </w:r>
          </w:p>
        </w:tc>
        <w:tc>
          <w:tcPr>
            <w:tcW w:w="297" w:type="pct"/>
            <w:tcBorders>
              <w:top w:val="nil"/>
              <w:left w:val="nil"/>
              <w:bottom w:val="single" w:sz="4" w:space="0" w:color="auto"/>
              <w:right w:val="single" w:sz="4" w:space="0" w:color="auto"/>
            </w:tcBorders>
            <w:noWrap/>
            <w:vAlign w:val="center"/>
          </w:tcPr>
          <w:p w14:paraId="5CE5078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w:t>
            </w:r>
          </w:p>
        </w:tc>
        <w:tc>
          <w:tcPr>
            <w:tcW w:w="297" w:type="pct"/>
            <w:tcBorders>
              <w:top w:val="nil"/>
              <w:left w:val="nil"/>
              <w:bottom w:val="single" w:sz="4" w:space="0" w:color="auto"/>
              <w:right w:val="single" w:sz="4" w:space="0" w:color="auto"/>
            </w:tcBorders>
            <w:noWrap/>
            <w:vAlign w:val="center"/>
          </w:tcPr>
          <w:p w14:paraId="595EB04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w:t>
            </w:r>
          </w:p>
        </w:tc>
        <w:tc>
          <w:tcPr>
            <w:tcW w:w="297" w:type="pct"/>
            <w:tcBorders>
              <w:top w:val="nil"/>
              <w:left w:val="nil"/>
              <w:bottom w:val="single" w:sz="4" w:space="0" w:color="auto"/>
              <w:right w:val="single" w:sz="4" w:space="0" w:color="auto"/>
            </w:tcBorders>
            <w:noWrap/>
            <w:vAlign w:val="center"/>
          </w:tcPr>
          <w:p w14:paraId="209DF67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w:t>
            </w:r>
          </w:p>
        </w:tc>
        <w:tc>
          <w:tcPr>
            <w:tcW w:w="297" w:type="pct"/>
            <w:tcBorders>
              <w:top w:val="nil"/>
              <w:left w:val="nil"/>
              <w:bottom w:val="single" w:sz="4" w:space="0" w:color="auto"/>
              <w:right w:val="single" w:sz="4" w:space="0" w:color="auto"/>
            </w:tcBorders>
            <w:noWrap/>
            <w:vAlign w:val="center"/>
          </w:tcPr>
          <w:p w14:paraId="6704855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w:t>
            </w:r>
          </w:p>
        </w:tc>
        <w:tc>
          <w:tcPr>
            <w:tcW w:w="297" w:type="pct"/>
            <w:tcBorders>
              <w:top w:val="nil"/>
              <w:left w:val="nil"/>
              <w:bottom w:val="single" w:sz="4" w:space="0" w:color="auto"/>
              <w:right w:val="single" w:sz="4" w:space="0" w:color="auto"/>
            </w:tcBorders>
            <w:noWrap/>
            <w:vAlign w:val="center"/>
          </w:tcPr>
          <w:p w14:paraId="337D876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w:t>
            </w:r>
          </w:p>
        </w:tc>
        <w:tc>
          <w:tcPr>
            <w:tcW w:w="292" w:type="pct"/>
            <w:tcBorders>
              <w:top w:val="nil"/>
              <w:left w:val="nil"/>
              <w:bottom w:val="single" w:sz="4" w:space="0" w:color="auto"/>
              <w:right w:val="single" w:sz="4" w:space="0" w:color="auto"/>
            </w:tcBorders>
            <w:noWrap/>
            <w:vAlign w:val="center"/>
          </w:tcPr>
          <w:p w14:paraId="71C1020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73</w:t>
            </w:r>
          </w:p>
        </w:tc>
      </w:tr>
      <w:tr w:rsidR="00686DFE" w:rsidRPr="00CE5D9A" w14:paraId="5F3AD006"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3B22A73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297" w:type="pct"/>
            <w:tcBorders>
              <w:top w:val="nil"/>
              <w:left w:val="nil"/>
              <w:bottom w:val="single" w:sz="4" w:space="0" w:color="auto"/>
              <w:right w:val="single" w:sz="4" w:space="0" w:color="auto"/>
            </w:tcBorders>
            <w:noWrap/>
            <w:vAlign w:val="center"/>
          </w:tcPr>
          <w:p w14:paraId="3B75D6F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71</w:t>
            </w:r>
          </w:p>
        </w:tc>
        <w:tc>
          <w:tcPr>
            <w:tcW w:w="297" w:type="pct"/>
            <w:tcBorders>
              <w:top w:val="nil"/>
              <w:left w:val="nil"/>
              <w:bottom w:val="single" w:sz="4" w:space="0" w:color="auto"/>
              <w:right w:val="single" w:sz="4" w:space="0" w:color="auto"/>
            </w:tcBorders>
            <w:noWrap/>
            <w:vAlign w:val="center"/>
          </w:tcPr>
          <w:p w14:paraId="32C5012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297" w:type="pct"/>
            <w:tcBorders>
              <w:top w:val="nil"/>
              <w:left w:val="nil"/>
              <w:bottom w:val="single" w:sz="4" w:space="0" w:color="auto"/>
              <w:right w:val="single" w:sz="4" w:space="0" w:color="auto"/>
            </w:tcBorders>
            <w:noWrap/>
            <w:vAlign w:val="center"/>
          </w:tcPr>
          <w:p w14:paraId="4ACAD25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297" w:type="pct"/>
            <w:tcBorders>
              <w:top w:val="nil"/>
              <w:left w:val="nil"/>
              <w:bottom w:val="single" w:sz="4" w:space="0" w:color="auto"/>
              <w:right w:val="single" w:sz="4" w:space="0" w:color="auto"/>
            </w:tcBorders>
            <w:noWrap/>
            <w:vAlign w:val="center"/>
          </w:tcPr>
          <w:p w14:paraId="61F4603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771D286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84</w:t>
            </w:r>
          </w:p>
        </w:tc>
        <w:tc>
          <w:tcPr>
            <w:tcW w:w="299" w:type="pct"/>
            <w:tcBorders>
              <w:top w:val="nil"/>
              <w:left w:val="nil"/>
              <w:bottom w:val="single" w:sz="4" w:space="0" w:color="auto"/>
              <w:right w:val="single" w:sz="4" w:space="0" w:color="auto"/>
            </w:tcBorders>
            <w:noWrap/>
            <w:vAlign w:val="center"/>
          </w:tcPr>
          <w:p w14:paraId="34A3D74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84</w:t>
            </w:r>
          </w:p>
        </w:tc>
        <w:tc>
          <w:tcPr>
            <w:tcW w:w="297" w:type="pct"/>
            <w:tcBorders>
              <w:top w:val="nil"/>
              <w:left w:val="nil"/>
              <w:bottom w:val="single" w:sz="4" w:space="0" w:color="auto"/>
              <w:right w:val="single" w:sz="4" w:space="0" w:color="auto"/>
            </w:tcBorders>
            <w:noWrap/>
            <w:vAlign w:val="center"/>
          </w:tcPr>
          <w:p w14:paraId="0C85986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84</w:t>
            </w:r>
          </w:p>
        </w:tc>
        <w:tc>
          <w:tcPr>
            <w:tcW w:w="297" w:type="pct"/>
            <w:tcBorders>
              <w:top w:val="nil"/>
              <w:left w:val="nil"/>
              <w:bottom w:val="single" w:sz="4" w:space="0" w:color="auto"/>
              <w:right w:val="single" w:sz="4" w:space="0" w:color="auto"/>
            </w:tcBorders>
            <w:noWrap/>
            <w:vAlign w:val="center"/>
          </w:tcPr>
          <w:p w14:paraId="7C338AD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w:t>
            </w:r>
          </w:p>
        </w:tc>
        <w:tc>
          <w:tcPr>
            <w:tcW w:w="297" w:type="pct"/>
            <w:tcBorders>
              <w:top w:val="nil"/>
              <w:left w:val="nil"/>
              <w:bottom w:val="single" w:sz="4" w:space="0" w:color="auto"/>
              <w:right w:val="single" w:sz="4" w:space="0" w:color="auto"/>
            </w:tcBorders>
            <w:noWrap/>
            <w:vAlign w:val="center"/>
          </w:tcPr>
          <w:p w14:paraId="60615C0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297" w:type="pct"/>
            <w:tcBorders>
              <w:top w:val="nil"/>
              <w:left w:val="nil"/>
              <w:bottom w:val="single" w:sz="4" w:space="0" w:color="auto"/>
              <w:right w:val="single" w:sz="4" w:space="0" w:color="auto"/>
            </w:tcBorders>
            <w:noWrap/>
            <w:vAlign w:val="center"/>
          </w:tcPr>
          <w:p w14:paraId="1213516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w:t>
            </w:r>
          </w:p>
        </w:tc>
        <w:tc>
          <w:tcPr>
            <w:tcW w:w="297" w:type="pct"/>
            <w:tcBorders>
              <w:top w:val="nil"/>
              <w:left w:val="nil"/>
              <w:bottom w:val="single" w:sz="4" w:space="0" w:color="auto"/>
              <w:right w:val="single" w:sz="4" w:space="0" w:color="auto"/>
            </w:tcBorders>
            <w:noWrap/>
            <w:vAlign w:val="center"/>
          </w:tcPr>
          <w:p w14:paraId="0A25C6D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w:t>
            </w:r>
          </w:p>
        </w:tc>
        <w:tc>
          <w:tcPr>
            <w:tcW w:w="292" w:type="pct"/>
            <w:tcBorders>
              <w:top w:val="nil"/>
              <w:left w:val="nil"/>
              <w:bottom w:val="single" w:sz="4" w:space="0" w:color="auto"/>
              <w:right w:val="single" w:sz="4" w:space="0" w:color="auto"/>
            </w:tcBorders>
            <w:noWrap/>
            <w:vAlign w:val="center"/>
          </w:tcPr>
          <w:p w14:paraId="664AD0D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w:t>
            </w:r>
          </w:p>
        </w:tc>
      </w:tr>
      <w:tr w:rsidR="00B070D6" w:rsidRPr="00CE5D9A" w14:paraId="3538842A"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6E4B630C" w14:textId="77777777" w:rsidR="00B070D6" w:rsidRPr="00CE5D9A" w:rsidRDefault="00B070D6">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297" w:type="pct"/>
            <w:tcBorders>
              <w:top w:val="nil"/>
              <w:left w:val="nil"/>
              <w:bottom w:val="single" w:sz="4" w:space="0" w:color="auto"/>
              <w:right w:val="single" w:sz="4" w:space="0" w:color="auto"/>
            </w:tcBorders>
            <w:noWrap/>
            <w:vAlign w:val="center"/>
          </w:tcPr>
          <w:p w14:paraId="5D23C0A3"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7" w:type="pct"/>
            <w:tcBorders>
              <w:top w:val="nil"/>
              <w:left w:val="nil"/>
              <w:bottom w:val="single" w:sz="4" w:space="0" w:color="auto"/>
              <w:right w:val="single" w:sz="4" w:space="0" w:color="auto"/>
            </w:tcBorders>
            <w:noWrap/>
            <w:vAlign w:val="center"/>
          </w:tcPr>
          <w:p w14:paraId="3FA22207"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80</w:t>
            </w:r>
          </w:p>
        </w:tc>
        <w:tc>
          <w:tcPr>
            <w:tcW w:w="297" w:type="pct"/>
            <w:tcBorders>
              <w:top w:val="nil"/>
              <w:left w:val="nil"/>
              <w:bottom w:val="single" w:sz="4" w:space="0" w:color="auto"/>
              <w:right w:val="single" w:sz="4" w:space="0" w:color="auto"/>
            </w:tcBorders>
            <w:noWrap/>
            <w:vAlign w:val="center"/>
          </w:tcPr>
          <w:p w14:paraId="4A004733"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w:t>
            </w:r>
          </w:p>
        </w:tc>
        <w:tc>
          <w:tcPr>
            <w:tcW w:w="297" w:type="pct"/>
            <w:tcBorders>
              <w:top w:val="nil"/>
              <w:left w:val="nil"/>
              <w:bottom w:val="single" w:sz="4" w:space="0" w:color="auto"/>
              <w:right w:val="single" w:sz="4" w:space="0" w:color="auto"/>
            </w:tcBorders>
            <w:noWrap/>
            <w:vAlign w:val="center"/>
          </w:tcPr>
          <w:p w14:paraId="07B85582"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45B517DF"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w:t>
            </w:r>
          </w:p>
        </w:tc>
        <w:tc>
          <w:tcPr>
            <w:tcW w:w="299" w:type="pct"/>
            <w:tcBorders>
              <w:top w:val="nil"/>
              <w:left w:val="nil"/>
              <w:bottom w:val="single" w:sz="4" w:space="0" w:color="auto"/>
              <w:right w:val="single" w:sz="4" w:space="0" w:color="auto"/>
            </w:tcBorders>
            <w:noWrap/>
            <w:vAlign w:val="center"/>
          </w:tcPr>
          <w:p w14:paraId="4F618FF7" w14:textId="77777777" w:rsidR="00B070D6" w:rsidRPr="00CE5D9A" w:rsidRDefault="00B070D6" w:rsidP="00E3048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79</w:t>
            </w:r>
          </w:p>
        </w:tc>
        <w:tc>
          <w:tcPr>
            <w:tcW w:w="297" w:type="pct"/>
            <w:tcBorders>
              <w:top w:val="nil"/>
              <w:left w:val="nil"/>
              <w:bottom w:val="single" w:sz="4" w:space="0" w:color="auto"/>
              <w:right w:val="single" w:sz="4" w:space="0" w:color="auto"/>
            </w:tcBorders>
            <w:noWrap/>
            <w:vAlign w:val="center"/>
          </w:tcPr>
          <w:p w14:paraId="6CDCDB48"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147</w:t>
            </w:r>
          </w:p>
        </w:tc>
        <w:tc>
          <w:tcPr>
            <w:tcW w:w="297" w:type="pct"/>
            <w:tcBorders>
              <w:top w:val="nil"/>
              <w:left w:val="nil"/>
              <w:bottom w:val="single" w:sz="4" w:space="0" w:color="auto"/>
              <w:right w:val="single" w:sz="4" w:space="0" w:color="auto"/>
            </w:tcBorders>
            <w:noWrap/>
            <w:vAlign w:val="center"/>
          </w:tcPr>
          <w:p w14:paraId="6FD55037"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143</w:t>
            </w:r>
          </w:p>
        </w:tc>
        <w:tc>
          <w:tcPr>
            <w:tcW w:w="297" w:type="pct"/>
            <w:tcBorders>
              <w:top w:val="nil"/>
              <w:left w:val="nil"/>
              <w:bottom w:val="single" w:sz="4" w:space="0" w:color="auto"/>
              <w:right w:val="single" w:sz="4" w:space="0" w:color="auto"/>
            </w:tcBorders>
            <w:noWrap/>
            <w:vAlign w:val="center"/>
          </w:tcPr>
          <w:p w14:paraId="65733FF2"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153</w:t>
            </w:r>
          </w:p>
        </w:tc>
        <w:tc>
          <w:tcPr>
            <w:tcW w:w="297" w:type="pct"/>
            <w:tcBorders>
              <w:top w:val="nil"/>
              <w:left w:val="nil"/>
              <w:bottom w:val="single" w:sz="4" w:space="0" w:color="auto"/>
              <w:right w:val="single" w:sz="4" w:space="0" w:color="auto"/>
            </w:tcBorders>
            <w:noWrap/>
            <w:vAlign w:val="center"/>
          </w:tcPr>
          <w:p w14:paraId="11690B65"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161</w:t>
            </w:r>
          </w:p>
        </w:tc>
        <w:tc>
          <w:tcPr>
            <w:tcW w:w="297" w:type="pct"/>
            <w:tcBorders>
              <w:top w:val="nil"/>
              <w:left w:val="nil"/>
              <w:bottom w:val="single" w:sz="4" w:space="0" w:color="auto"/>
              <w:right w:val="single" w:sz="4" w:space="0" w:color="auto"/>
            </w:tcBorders>
            <w:noWrap/>
            <w:vAlign w:val="center"/>
          </w:tcPr>
          <w:p w14:paraId="05E6EB6D"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209</w:t>
            </w:r>
          </w:p>
        </w:tc>
        <w:tc>
          <w:tcPr>
            <w:tcW w:w="292" w:type="pct"/>
            <w:tcBorders>
              <w:top w:val="nil"/>
              <w:left w:val="nil"/>
              <w:bottom w:val="single" w:sz="4" w:space="0" w:color="auto"/>
              <w:right w:val="single" w:sz="4" w:space="0" w:color="auto"/>
            </w:tcBorders>
            <w:noWrap/>
            <w:vAlign w:val="center"/>
          </w:tcPr>
          <w:p w14:paraId="06E25DE3" w14:textId="77777777" w:rsidR="00B070D6" w:rsidRPr="00CE5D9A" w:rsidRDefault="00B070D6" w:rsidP="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221</w:t>
            </w:r>
          </w:p>
        </w:tc>
      </w:tr>
      <w:tr w:rsidR="00686DFE" w:rsidRPr="00CE5D9A" w14:paraId="58ED3A59"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543309A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297" w:type="pct"/>
            <w:tcBorders>
              <w:top w:val="nil"/>
              <w:left w:val="nil"/>
              <w:bottom w:val="single" w:sz="4" w:space="0" w:color="auto"/>
              <w:right w:val="single" w:sz="4" w:space="0" w:color="auto"/>
            </w:tcBorders>
            <w:noWrap/>
            <w:vAlign w:val="center"/>
          </w:tcPr>
          <w:p w14:paraId="4506806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76</w:t>
            </w:r>
          </w:p>
        </w:tc>
        <w:tc>
          <w:tcPr>
            <w:tcW w:w="297" w:type="pct"/>
            <w:tcBorders>
              <w:top w:val="nil"/>
              <w:left w:val="nil"/>
              <w:bottom w:val="single" w:sz="4" w:space="0" w:color="auto"/>
              <w:right w:val="single" w:sz="4" w:space="0" w:color="auto"/>
            </w:tcBorders>
            <w:noWrap/>
            <w:vAlign w:val="center"/>
          </w:tcPr>
          <w:p w14:paraId="2578810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79</w:t>
            </w:r>
          </w:p>
        </w:tc>
        <w:tc>
          <w:tcPr>
            <w:tcW w:w="297" w:type="pct"/>
            <w:tcBorders>
              <w:top w:val="nil"/>
              <w:left w:val="nil"/>
              <w:bottom w:val="single" w:sz="4" w:space="0" w:color="auto"/>
              <w:right w:val="single" w:sz="4" w:space="0" w:color="auto"/>
            </w:tcBorders>
            <w:noWrap/>
            <w:vAlign w:val="center"/>
          </w:tcPr>
          <w:p w14:paraId="1AFAB75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w:t>
            </w:r>
          </w:p>
        </w:tc>
        <w:tc>
          <w:tcPr>
            <w:tcW w:w="297" w:type="pct"/>
            <w:tcBorders>
              <w:top w:val="nil"/>
              <w:left w:val="nil"/>
              <w:bottom w:val="single" w:sz="4" w:space="0" w:color="auto"/>
              <w:right w:val="single" w:sz="4" w:space="0" w:color="auto"/>
            </w:tcBorders>
            <w:noWrap/>
            <w:vAlign w:val="center"/>
          </w:tcPr>
          <w:p w14:paraId="1F578D1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7" w:type="pct"/>
            <w:tcBorders>
              <w:top w:val="nil"/>
              <w:left w:val="nil"/>
              <w:bottom w:val="single" w:sz="4" w:space="0" w:color="auto"/>
              <w:right w:val="single" w:sz="4" w:space="0" w:color="auto"/>
            </w:tcBorders>
            <w:noWrap/>
            <w:vAlign w:val="center"/>
          </w:tcPr>
          <w:p w14:paraId="7CCCB66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81</w:t>
            </w:r>
          </w:p>
        </w:tc>
        <w:tc>
          <w:tcPr>
            <w:tcW w:w="299" w:type="pct"/>
            <w:tcBorders>
              <w:top w:val="nil"/>
              <w:left w:val="nil"/>
              <w:bottom w:val="single" w:sz="4" w:space="0" w:color="auto"/>
              <w:right w:val="single" w:sz="4" w:space="0" w:color="auto"/>
            </w:tcBorders>
            <w:noWrap/>
            <w:vAlign w:val="center"/>
          </w:tcPr>
          <w:p w14:paraId="547F2BD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297" w:type="pct"/>
            <w:tcBorders>
              <w:top w:val="nil"/>
              <w:left w:val="nil"/>
              <w:bottom w:val="single" w:sz="4" w:space="0" w:color="auto"/>
              <w:right w:val="single" w:sz="4" w:space="0" w:color="auto"/>
            </w:tcBorders>
            <w:noWrap/>
            <w:vAlign w:val="center"/>
          </w:tcPr>
          <w:p w14:paraId="2DC2CD6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80</w:t>
            </w:r>
          </w:p>
        </w:tc>
        <w:tc>
          <w:tcPr>
            <w:tcW w:w="297" w:type="pct"/>
            <w:tcBorders>
              <w:top w:val="nil"/>
              <w:left w:val="nil"/>
              <w:bottom w:val="single" w:sz="4" w:space="0" w:color="auto"/>
              <w:right w:val="single" w:sz="4" w:space="0" w:color="auto"/>
            </w:tcBorders>
            <w:noWrap/>
            <w:vAlign w:val="center"/>
          </w:tcPr>
          <w:p w14:paraId="254D9AA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w:t>
            </w:r>
          </w:p>
        </w:tc>
        <w:tc>
          <w:tcPr>
            <w:tcW w:w="297" w:type="pct"/>
            <w:tcBorders>
              <w:top w:val="nil"/>
              <w:left w:val="nil"/>
              <w:bottom w:val="single" w:sz="4" w:space="0" w:color="auto"/>
              <w:right w:val="single" w:sz="4" w:space="0" w:color="auto"/>
            </w:tcBorders>
            <w:noWrap/>
            <w:vAlign w:val="center"/>
          </w:tcPr>
          <w:p w14:paraId="2D334DD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87</w:t>
            </w:r>
          </w:p>
        </w:tc>
        <w:tc>
          <w:tcPr>
            <w:tcW w:w="297" w:type="pct"/>
            <w:tcBorders>
              <w:top w:val="nil"/>
              <w:left w:val="nil"/>
              <w:bottom w:val="single" w:sz="4" w:space="0" w:color="auto"/>
              <w:right w:val="single" w:sz="4" w:space="0" w:color="auto"/>
            </w:tcBorders>
            <w:noWrap/>
            <w:vAlign w:val="center"/>
          </w:tcPr>
          <w:p w14:paraId="243E020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w:t>
            </w:r>
          </w:p>
        </w:tc>
        <w:tc>
          <w:tcPr>
            <w:tcW w:w="297" w:type="pct"/>
            <w:tcBorders>
              <w:top w:val="nil"/>
              <w:left w:val="nil"/>
              <w:bottom w:val="single" w:sz="4" w:space="0" w:color="auto"/>
              <w:right w:val="single" w:sz="4" w:space="0" w:color="auto"/>
            </w:tcBorders>
            <w:noWrap/>
            <w:vAlign w:val="center"/>
          </w:tcPr>
          <w:p w14:paraId="79E0A6F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104</w:t>
            </w:r>
          </w:p>
        </w:tc>
        <w:tc>
          <w:tcPr>
            <w:tcW w:w="292" w:type="pct"/>
            <w:tcBorders>
              <w:top w:val="nil"/>
              <w:left w:val="nil"/>
              <w:bottom w:val="single" w:sz="4" w:space="0" w:color="auto"/>
              <w:right w:val="single" w:sz="4" w:space="0" w:color="auto"/>
            </w:tcBorders>
            <w:noWrap/>
            <w:vAlign w:val="center"/>
          </w:tcPr>
          <w:p w14:paraId="3A7295E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85</w:t>
            </w:r>
          </w:p>
        </w:tc>
      </w:tr>
      <w:tr w:rsidR="00686DFE" w:rsidRPr="00CE5D9A" w14:paraId="344A91AA"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1FE43F1A"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297" w:type="pct"/>
            <w:tcBorders>
              <w:top w:val="nil"/>
              <w:left w:val="nil"/>
              <w:bottom w:val="single" w:sz="4" w:space="0" w:color="auto"/>
              <w:right w:val="single" w:sz="4" w:space="0" w:color="auto"/>
            </w:tcBorders>
            <w:noWrap/>
            <w:vAlign w:val="center"/>
          </w:tcPr>
          <w:p w14:paraId="125588F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w:t>
            </w:r>
          </w:p>
        </w:tc>
        <w:tc>
          <w:tcPr>
            <w:tcW w:w="297" w:type="pct"/>
            <w:tcBorders>
              <w:top w:val="nil"/>
              <w:left w:val="nil"/>
              <w:bottom w:val="single" w:sz="4" w:space="0" w:color="auto"/>
              <w:right w:val="single" w:sz="4" w:space="0" w:color="auto"/>
            </w:tcBorders>
            <w:noWrap/>
            <w:vAlign w:val="center"/>
          </w:tcPr>
          <w:p w14:paraId="767407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w:t>
            </w:r>
          </w:p>
        </w:tc>
        <w:tc>
          <w:tcPr>
            <w:tcW w:w="297" w:type="pct"/>
            <w:tcBorders>
              <w:top w:val="nil"/>
              <w:left w:val="nil"/>
              <w:bottom w:val="single" w:sz="4" w:space="0" w:color="auto"/>
              <w:right w:val="single" w:sz="4" w:space="0" w:color="auto"/>
            </w:tcBorders>
            <w:noWrap/>
            <w:vAlign w:val="center"/>
          </w:tcPr>
          <w:p w14:paraId="5C600E2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w:t>
            </w:r>
          </w:p>
        </w:tc>
        <w:tc>
          <w:tcPr>
            <w:tcW w:w="297" w:type="pct"/>
            <w:tcBorders>
              <w:top w:val="nil"/>
              <w:left w:val="nil"/>
              <w:bottom w:val="single" w:sz="4" w:space="0" w:color="auto"/>
              <w:right w:val="single" w:sz="4" w:space="0" w:color="auto"/>
            </w:tcBorders>
            <w:noWrap/>
            <w:vAlign w:val="center"/>
          </w:tcPr>
          <w:p w14:paraId="6C0B8A9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w:t>
            </w:r>
          </w:p>
        </w:tc>
        <w:tc>
          <w:tcPr>
            <w:tcW w:w="297" w:type="pct"/>
            <w:tcBorders>
              <w:top w:val="nil"/>
              <w:left w:val="nil"/>
              <w:bottom w:val="single" w:sz="4" w:space="0" w:color="auto"/>
              <w:right w:val="single" w:sz="4" w:space="0" w:color="auto"/>
            </w:tcBorders>
            <w:noWrap/>
            <w:vAlign w:val="center"/>
          </w:tcPr>
          <w:p w14:paraId="11CFB0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w:t>
            </w:r>
          </w:p>
        </w:tc>
        <w:tc>
          <w:tcPr>
            <w:tcW w:w="299" w:type="pct"/>
            <w:tcBorders>
              <w:top w:val="nil"/>
              <w:left w:val="nil"/>
              <w:bottom w:val="single" w:sz="4" w:space="0" w:color="auto"/>
              <w:right w:val="single" w:sz="4" w:space="0" w:color="auto"/>
            </w:tcBorders>
            <w:noWrap/>
            <w:vAlign w:val="center"/>
          </w:tcPr>
          <w:p w14:paraId="67B0E24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74</w:t>
            </w:r>
          </w:p>
        </w:tc>
        <w:tc>
          <w:tcPr>
            <w:tcW w:w="297" w:type="pct"/>
            <w:tcBorders>
              <w:top w:val="nil"/>
              <w:left w:val="nil"/>
              <w:bottom w:val="single" w:sz="4" w:space="0" w:color="auto"/>
              <w:right w:val="single" w:sz="4" w:space="0" w:color="auto"/>
            </w:tcBorders>
            <w:noWrap/>
            <w:vAlign w:val="center"/>
          </w:tcPr>
          <w:p w14:paraId="07E48D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162</w:t>
            </w:r>
          </w:p>
        </w:tc>
        <w:tc>
          <w:tcPr>
            <w:tcW w:w="297" w:type="pct"/>
            <w:tcBorders>
              <w:top w:val="nil"/>
              <w:left w:val="nil"/>
              <w:bottom w:val="single" w:sz="4" w:space="0" w:color="auto"/>
              <w:right w:val="single" w:sz="4" w:space="0" w:color="auto"/>
            </w:tcBorders>
            <w:noWrap/>
            <w:vAlign w:val="center"/>
          </w:tcPr>
          <w:p w14:paraId="66065F8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147</w:t>
            </w:r>
          </w:p>
        </w:tc>
        <w:tc>
          <w:tcPr>
            <w:tcW w:w="297" w:type="pct"/>
            <w:tcBorders>
              <w:top w:val="nil"/>
              <w:left w:val="nil"/>
              <w:bottom w:val="single" w:sz="4" w:space="0" w:color="auto"/>
              <w:right w:val="single" w:sz="4" w:space="0" w:color="auto"/>
            </w:tcBorders>
            <w:noWrap/>
            <w:vAlign w:val="center"/>
          </w:tcPr>
          <w:p w14:paraId="1D8BE7F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159</w:t>
            </w:r>
          </w:p>
        </w:tc>
        <w:tc>
          <w:tcPr>
            <w:tcW w:w="297" w:type="pct"/>
            <w:tcBorders>
              <w:top w:val="nil"/>
              <w:left w:val="nil"/>
              <w:bottom w:val="single" w:sz="4" w:space="0" w:color="auto"/>
              <w:right w:val="single" w:sz="4" w:space="0" w:color="auto"/>
            </w:tcBorders>
            <w:noWrap/>
            <w:vAlign w:val="center"/>
          </w:tcPr>
          <w:p w14:paraId="1B4F608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170</w:t>
            </w:r>
          </w:p>
        </w:tc>
        <w:tc>
          <w:tcPr>
            <w:tcW w:w="297" w:type="pct"/>
            <w:tcBorders>
              <w:top w:val="nil"/>
              <w:left w:val="nil"/>
              <w:bottom w:val="single" w:sz="4" w:space="0" w:color="auto"/>
              <w:right w:val="single" w:sz="4" w:space="0" w:color="auto"/>
            </w:tcBorders>
            <w:noWrap/>
            <w:vAlign w:val="center"/>
          </w:tcPr>
          <w:p w14:paraId="4F36D47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130</w:t>
            </w:r>
          </w:p>
        </w:tc>
        <w:tc>
          <w:tcPr>
            <w:tcW w:w="292" w:type="pct"/>
            <w:tcBorders>
              <w:top w:val="nil"/>
              <w:left w:val="nil"/>
              <w:bottom w:val="single" w:sz="4" w:space="0" w:color="auto"/>
              <w:right w:val="single" w:sz="4" w:space="0" w:color="auto"/>
            </w:tcBorders>
            <w:noWrap/>
            <w:vAlign w:val="center"/>
          </w:tcPr>
          <w:p w14:paraId="0580ABC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127</w:t>
            </w:r>
          </w:p>
        </w:tc>
      </w:tr>
      <w:tr w:rsidR="00686DFE" w:rsidRPr="00CE5D9A" w14:paraId="2AA4B418"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2BC2EC38" w14:textId="77777777" w:rsidR="00686DFE" w:rsidRPr="00CE5D9A" w:rsidRDefault="00686DFE">
            <w:pPr>
              <w:spacing w:after="0" w:line="240" w:lineRule="auto"/>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Gmina Wiśniowa</w:t>
            </w:r>
          </w:p>
        </w:tc>
        <w:tc>
          <w:tcPr>
            <w:tcW w:w="297" w:type="pct"/>
            <w:tcBorders>
              <w:top w:val="nil"/>
              <w:left w:val="nil"/>
              <w:bottom w:val="single" w:sz="4" w:space="0" w:color="auto"/>
              <w:right w:val="single" w:sz="4" w:space="0" w:color="auto"/>
            </w:tcBorders>
            <w:noWrap/>
            <w:vAlign w:val="center"/>
          </w:tcPr>
          <w:p w14:paraId="6FECE26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6DB777BD"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93</w:t>
            </w:r>
          </w:p>
        </w:tc>
        <w:tc>
          <w:tcPr>
            <w:tcW w:w="297" w:type="pct"/>
            <w:tcBorders>
              <w:top w:val="nil"/>
              <w:left w:val="nil"/>
              <w:bottom w:val="single" w:sz="4" w:space="0" w:color="auto"/>
              <w:right w:val="single" w:sz="4" w:space="0" w:color="auto"/>
            </w:tcBorders>
            <w:noWrap/>
            <w:vAlign w:val="center"/>
          </w:tcPr>
          <w:p w14:paraId="32798F8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7C83662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90</w:t>
            </w:r>
          </w:p>
        </w:tc>
        <w:tc>
          <w:tcPr>
            <w:tcW w:w="297" w:type="pct"/>
            <w:tcBorders>
              <w:top w:val="nil"/>
              <w:left w:val="nil"/>
              <w:bottom w:val="single" w:sz="4" w:space="0" w:color="auto"/>
              <w:right w:val="single" w:sz="4" w:space="0" w:color="auto"/>
            </w:tcBorders>
            <w:noWrap/>
            <w:vAlign w:val="center"/>
          </w:tcPr>
          <w:p w14:paraId="57F411D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78</w:t>
            </w:r>
          </w:p>
        </w:tc>
        <w:tc>
          <w:tcPr>
            <w:tcW w:w="299" w:type="pct"/>
            <w:tcBorders>
              <w:top w:val="nil"/>
              <w:left w:val="nil"/>
              <w:bottom w:val="single" w:sz="4" w:space="0" w:color="auto"/>
              <w:right w:val="single" w:sz="4" w:space="0" w:color="auto"/>
            </w:tcBorders>
            <w:noWrap/>
            <w:vAlign w:val="center"/>
          </w:tcPr>
          <w:p w14:paraId="495DF74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34E3DD7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41</w:t>
            </w:r>
          </w:p>
        </w:tc>
        <w:tc>
          <w:tcPr>
            <w:tcW w:w="297" w:type="pct"/>
            <w:tcBorders>
              <w:top w:val="nil"/>
              <w:left w:val="nil"/>
              <w:bottom w:val="single" w:sz="4" w:space="0" w:color="auto"/>
              <w:right w:val="single" w:sz="4" w:space="0" w:color="auto"/>
            </w:tcBorders>
            <w:noWrap/>
            <w:vAlign w:val="center"/>
          </w:tcPr>
          <w:p w14:paraId="24B32DE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46</w:t>
            </w:r>
          </w:p>
        </w:tc>
        <w:tc>
          <w:tcPr>
            <w:tcW w:w="297" w:type="pct"/>
            <w:tcBorders>
              <w:top w:val="nil"/>
              <w:left w:val="nil"/>
              <w:bottom w:val="single" w:sz="4" w:space="0" w:color="auto"/>
              <w:right w:val="single" w:sz="4" w:space="0" w:color="auto"/>
            </w:tcBorders>
            <w:noWrap/>
            <w:vAlign w:val="center"/>
          </w:tcPr>
          <w:p w14:paraId="08F5392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45</w:t>
            </w:r>
          </w:p>
        </w:tc>
        <w:tc>
          <w:tcPr>
            <w:tcW w:w="297" w:type="pct"/>
            <w:tcBorders>
              <w:top w:val="nil"/>
              <w:left w:val="nil"/>
              <w:bottom w:val="single" w:sz="4" w:space="0" w:color="auto"/>
              <w:right w:val="single" w:sz="4" w:space="0" w:color="auto"/>
            </w:tcBorders>
            <w:noWrap/>
            <w:vAlign w:val="center"/>
          </w:tcPr>
          <w:p w14:paraId="429D9FF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44</w:t>
            </w:r>
          </w:p>
        </w:tc>
        <w:tc>
          <w:tcPr>
            <w:tcW w:w="297" w:type="pct"/>
            <w:tcBorders>
              <w:top w:val="nil"/>
              <w:left w:val="nil"/>
              <w:bottom w:val="single" w:sz="4" w:space="0" w:color="auto"/>
              <w:right w:val="single" w:sz="4" w:space="0" w:color="auto"/>
            </w:tcBorders>
            <w:noWrap/>
            <w:vAlign w:val="center"/>
          </w:tcPr>
          <w:p w14:paraId="340FE0E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46</w:t>
            </w:r>
          </w:p>
        </w:tc>
        <w:tc>
          <w:tcPr>
            <w:tcW w:w="292" w:type="pct"/>
            <w:tcBorders>
              <w:top w:val="nil"/>
              <w:left w:val="nil"/>
              <w:bottom w:val="single" w:sz="4" w:space="0" w:color="auto"/>
              <w:right w:val="single" w:sz="4" w:space="0" w:color="auto"/>
            </w:tcBorders>
            <w:noWrap/>
            <w:vAlign w:val="center"/>
          </w:tcPr>
          <w:p w14:paraId="603349D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sz w:val="20"/>
                <w:szCs w:val="20"/>
                <w:lang w:eastAsia="pl-PL"/>
              </w:rPr>
              <w:t>49</w:t>
            </w:r>
          </w:p>
        </w:tc>
      </w:tr>
      <w:tr w:rsidR="00B070D6" w:rsidRPr="00CE5D9A" w14:paraId="4FFAD5AA"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38E401EA" w14:textId="77777777" w:rsidR="00B070D6" w:rsidRPr="00F12128" w:rsidRDefault="00B070D6">
            <w:pPr>
              <w:spacing w:after="0" w:line="240" w:lineRule="auto"/>
              <w:rPr>
                <w:rFonts w:ascii="Times New Roman" w:eastAsia="Times New Roman" w:hAnsi="Times New Roman"/>
                <w:b/>
                <w:bCs/>
                <w:strike/>
                <w:color w:val="FF0000"/>
                <w:sz w:val="20"/>
                <w:szCs w:val="20"/>
                <w:lang w:eastAsia="pl-PL"/>
              </w:rPr>
            </w:pPr>
            <w:r w:rsidRPr="00F12128">
              <w:rPr>
                <w:rFonts w:ascii="Times New Roman" w:eastAsia="Times New Roman" w:hAnsi="Times New Roman"/>
                <w:b/>
                <w:bCs/>
                <w:strike/>
                <w:color w:val="FF0000"/>
                <w:sz w:val="20"/>
                <w:szCs w:val="20"/>
                <w:lang w:eastAsia="pl-PL"/>
              </w:rPr>
              <w:t>LGD Między Dalinem i Gościbią</w:t>
            </w:r>
          </w:p>
          <w:p w14:paraId="0B9DC148" w14:textId="56C248E8" w:rsidR="00F12128" w:rsidRPr="00CE5D9A" w:rsidRDefault="00F12128">
            <w:pPr>
              <w:spacing w:after="0" w:line="240" w:lineRule="auto"/>
              <w:rPr>
                <w:rFonts w:ascii="Times New Roman" w:eastAsia="Times New Roman" w:hAnsi="Times New Roman"/>
                <w:sz w:val="20"/>
                <w:szCs w:val="20"/>
                <w:lang w:eastAsia="pl-PL"/>
              </w:rPr>
            </w:pPr>
            <w:r w:rsidRPr="00EB66C4">
              <w:rPr>
                <w:rFonts w:ascii="Times New Roman" w:hAnsi="Times New Roman"/>
                <w:color w:val="FF0000"/>
              </w:rPr>
              <w:t>LGD Regionu Myślenickiego</w:t>
            </w:r>
          </w:p>
        </w:tc>
        <w:tc>
          <w:tcPr>
            <w:tcW w:w="297" w:type="pct"/>
            <w:tcBorders>
              <w:top w:val="nil"/>
              <w:left w:val="nil"/>
              <w:bottom w:val="single" w:sz="4" w:space="0" w:color="auto"/>
              <w:right w:val="single" w:sz="4" w:space="0" w:color="auto"/>
            </w:tcBorders>
            <w:noWrap/>
            <w:vAlign w:val="center"/>
          </w:tcPr>
          <w:p w14:paraId="3E0CA25A"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80</w:t>
            </w:r>
          </w:p>
        </w:tc>
        <w:tc>
          <w:tcPr>
            <w:tcW w:w="297" w:type="pct"/>
            <w:tcBorders>
              <w:top w:val="nil"/>
              <w:left w:val="nil"/>
              <w:bottom w:val="single" w:sz="4" w:space="0" w:color="auto"/>
              <w:right w:val="single" w:sz="4" w:space="0" w:color="auto"/>
            </w:tcBorders>
            <w:noWrap/>
            <w:vAlign w:val="center"/>
          </w:tcPr>
          <w:p w14:paraId="05BD1D35"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83</w:t>
            </w:r>
          </w:p>
        </w:tc>
        <w:tc>
          <w:tcPr>
            <w:tcW w:w="297" w:type="pct"/>
            <w:tcBorders>
              <w:top w:val="nil"/>
              <w:left w:val="nil"/>
              <w:bottom w:val="single" w:sz="4" w:space="0" w:color="auto"/>
              <w:right w:val="single" w:sz="4" w:space="0" w:color="auto"/>
            </w:tcBorders>
            <w:noWrap/>
            <w:vAlign w:val="center"/>
          </w:tcPr>
          <w:p w14:paraId="43162ACF"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85</w:t>
            </w:r>
          </w:p>
        </w:tc>
        <w:tc>
          <w:tcPr>
            <w:tcW w:w="297" w:type="pct"/>
            <w:tcBorders>
              <w:top w:val="nil"/>
              <w:left w:val="nil"/>
              <w:bottom w:val="single" w:sz="4" w:space="0" w:color="auto"/>
              <w:right w:val="single" w:sz="4" w:space="0" w:color="auto"/>
            </w:tcBorders>
            <w:noWrap/>
            <w:vAlign w:val="center"/>
          </w:tcPr>
          <w:p w14:paraId="447515A6"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86</w:t>
            </w:r>
          </w:p>
        </w:tc>
        <w:tc>
          <w:tcPr>
            <w:tcW w:w="297" w:type="pct"/>
            <w:tcBorders>
              <w:top w:val="nil"/>
              <w:left w:val="nil"/>
              <w:bottom w:val="single" w:sz="4" w:space="0" w:color="auto"/>
              <w:right w:val="single" w:sz="4" w:space="0" w:color="auto"/>
            </w:tcBorders>
            <w:noWrap/>
            <w:vAlign w:val="center"/>
          </w:tcPr>
          <w:p w14:paraId="5ACC61F6"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82</w:t>
            </w:r>
          </w:p>
        </w:tc>
        <w:tc>
          <w:tcPr>
            <w:tcW w:w="299" w:type="pct"/>
            <w:tcBorders>
              <w:top w:val="nil"/>
              <w:left w:val="nil"/>
              <w:bottom w:val="single" w:sz="4" w:space="0" w:color="auto"/>
              <w:right w:val="single" w:sz="4" w:space="0" w:color="auto"/>
            </w:tcBorders>
            <w:noWrap/>
            <w:vAlign w:val="center"/>
          </w:tcPr>
          <w:p w14:paraId="6DD70058" w14:textId="77777777" w:rsidR="00B070D6" w:rsidRPr="00CE5D9A" w:rsidRDefault="00B070D6">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b/>
                <w:bCs/>
                <w:sz w:val="20"/>
                <w:szCs w:val="20"/>
                <w:lang w:eastAsia="pl-PL"/>
              </w:rPr>
              <w:t>86</w:t>
            </w:r>
          </w:p>
        </w:tc>
        <w:tc>
          <w:tcPr>
            <w:tcW w:w="297" w:type="pct"/>
            <w:tcBorders>
              <w:top w:val="nil"/>
              <w:left w:val="nil"/>
              <w:bottom w:val="single" w:sz="4" w:space="0" w:color="auto"/>
              <w:right w:val="single" w:sz="4" w:space="0" w:color="auto"/>
            </w:tcBorders>
            <w:noWrap/>
            <w:vAlign w:val="center"/>
          </w:tcPr>
          <w:p w14:paraId="6C3511F9"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93</w:t>
            </w:r>
          </w:p>
        </w:tc>
        <w:tc>
          <w:tcPr>
            <w:tcW w:w="297" w:type="pct"/>
            <w:tcBorders>
              <w:top w:val="nil"/>
              <w:left w:val="nil"/>
              <w:bottom w:val="single" w:sz="4" w:space="0" w:color="auto"/>
              <w:right w:val="single" w:sz="4" w:space="0" w:color="auto"/>
            </w:tcBorders>
            <w:noWrap/>
            <w:vAlign w:val="center"/>
          </w:tcPr>
          <w:p w14:paraId="4AFF6DC6"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89</w:t>
            </w:r>
          </w:p>
        </w:tc>
        <w:tc>
          <w:tcPr>
            <w:tcW w:w="297" w:type="pct"/>
            <w:tcBorders>
              <w:top w:val="nil"/>
              <w:left w:val="nil"/>
              <w:bottom w:val="single" w:sz="4" w:space="0" w:color="auto"/>
              <w:right w:val="single" w:sz="4" w:space="0" w:color="auto"/>
            </w:tcBorders>
            <w:noWrap/>
            <w:vAlign w:val="center"/>
          </w:tcPr>
          <w:p w14:paraId="4423298F"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90</w:t>
            </w:r>
          </w:p>
        </w:tc>
        <w:tc>
          <w:tcPr>
            <w:tcW w:w="297" w:type="pct"/>
            <w:tcBorders>
              <w:top w:val="nil"/>
              <w:left w:val="nil"/>
              <w:bottom w:val="single" w:sz="4" w:space="0" w:color="auto"/>
              <w:right w:val="single" w:sz="4" w:space="0" w:color="auto"/>
            </w:tcBorders>
            <w:noWrap/>
            <w:vAlign w:val="center"/>
          </w:tcPr>
          <w:p w14:paraId="13FE2A9E"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94</w:t>
            </w:r>
          </w:p>
        </w:tc>
        <w:tc>
          <w:tcPr>
            <w:tcW w:w="297" w:type="pct"/>
            <w:tcBorders>
              <w:top w:val="nil"/>
              <w:left w:val="nil"/>
              <w:bottom w:val="single" w:sz="4" w:space="0" w:color="auto"/>
              <w:right w:val="single" w:sz="4" w:space="0" w:color="auto"/>
            </w:tcBorders>
            <w:noWrap/>
            <w:vAlign w:val="center"/>
          </w:tcPr>
          <w:p w14:paraId="18B5B6CF"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96</w:t>
            </w:r>
          </w:p>
        </w:tc>
        <w:tc>
          <w:tcPr>
            <w:tcW w:w="292" w:type="pct"/>
            <w:tcBorders>
              <w:top w:val="nil"/>
              <w:left w:val="nil"/>
              <w:bottom w:val="single" w:sz="4" w:space="0" w:color="auto"/>
              <w:right w:val="single" w:sz="4" w:space="0" w:color="auto"/>
            </w:tcBorders>
            <w:noWrap/>
            <w:vAlign w:val="center"/>
          </w:tcPr>
          <w:p w14:paraId="0E32DAA6" w14:textId="77777777" w:rsidR="00B070D6" w:rsidRPr="00CE5D9A" w:rsidRDefault="00B070D6" w:rsidP="00B070D6">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95</w:t>
            </w:r>
          </w:p>
        </w:tc>
      </w:tr>
      <w:tr w:rsidR="00686DFE" w:rsidRPr="00CE5D9A" w14:paraId="7DC2B09D"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64E3BFE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297" w:type="pct"/>
            <w:tcBorders>
              <w:top w:val="nil"/>
              <w:left w:val="nil"/>
              <w:bottom w:val="single" w:sz="4" w:space="0" w:color="auto"/>
              <w:right w:val="single" w:sz="4" w:space="0" w:color="auto"/>
            </w:tcBorders>
            <w:noWrap/>
            <w:vAlign w:val="center"/>
          </w:tcPr>
          <w:p w14:paraId="10462FB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297" w:type="pct"/>
            <w:tcBorders>
              <w:top w:val="nil"/>
              <w:left w:val="nil"/>
              <w:bottom w:val="single" w:sz="4" w:space="0" w:color="auto"/>
              <w:right w:val="single" w:sz="4" w:space="0" w:color="auto"/>
            </w:tcBorders>
            <w:noWrap/>
            <w:vAlign w:val="center"/>
          </w:tcPr>
          <w:p w14:paraId="6FA1C37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w:t>
            </w:r>
          </w:p>
        </w:tc>
        <w:tc>
          <w:tcPr>
            <w:tcW w:w="297" w:type="pct"/>
            <w:tcBorders>
              <w:top w:val="nil"/>
              <w:left w:val="nil"/>
              <w:bottom w:val="single" w:sz="4" w:space="0" w:color="auto"/>
              <w:right w:val="single" w:sz="4" w:space="0" w:color="auto"/>
            </w:tcBorders>
            <w:noWrap/>
            <w:vAlign w:val="center"/>
          </w:tcPr>
          <w:p w14:paraId="2BD5993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3C63576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90</w:t>
            </w:r>
          </w:p>
        </w:tc>
        <w:tc>
          <w:tcPr>
            <w:tcW w:w="297" w:type="pct"/>
            <w:tcBorders>
              <w:top w:val="nil"/>
              <w:left w:val="nil"/>
              <w:bottom w:val="single" w:sz="4" w:space="0" w:color="auto"/>
              <w:right w:val="single" w:sz="4" w:space="0" w:color="auto"/>
            </w:tcBorders>
            <w:noWrap/>
            <w:vAlign w:val="center"/>
          </w:tcPr>
          <w:p w14:paraId="4A1CD96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w:t>
            </w:r>
          </w:p>
        </w:tc>
        <w:tc>
          <w:tcPr>
            <w:tcW w:w="299" w:type="pct"/>
            <w:tcBorders>
              <w:top w:val="nil"/>
              <w:left w:val="nil"/>
              <w:bottom w:val="single" w:sz="4" w:space="0" w:color="auto"/>
              <w:right w:val="single" w:sz="4" w:space="0" w:color="auto"/>
            </w:tcBorders>
            <w:noWrap/>
            <w:vAlign w:val="center"/>
          </w:tcPr>
          <w:p w14:paraId="4FCCBC6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c>
          <w:tcPr>
            <w:tcW w:w="297" w:type="pct"/>
            <w:tcBorders>
              <w:top w:val="nil"/>
              <w:left w:val="nil"/>
              <w:bottom w:val="single" w:sz="4" w:space="0" w:color="auto"/>
              <w:right w:val="single" w:sz="4" w:space="0" w:color="auto"/>
            </w:tcBorders>
            <w:noWrap/>
            <w:vAlign w:val="center"/>
          </w:tcPr>
          <w:p w14:paraId="7C64848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78</w:t>
            </w:r>
          </w:p>
        </w:tc>
        <w:tc>
          <w:tcPr>
            <w:tcW w:w="297" w:type="pct"/>
            <w:tcBorders>
              <w:top w:val="nil"/>
              <w:left w:val="nil"/>
              <w:bottom w:val="single" w:sz="4" w:space="0" w:color="auto"/>
              <w:right w:val="single" w:sz="4" w:space="0" w:color="auto"/>
            </w:tcBorders>
            <w:noWrap/>
            <w:vAlign w:val="center"/>
          </w:tcPr>
          <w:p w14:paraId="373DD37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297" w:type="pct"/>
            <w:tcBorders>
              <w:top w:val="nil"/>
              <w:left w:val="nil"/>
              <w:bottom w:val="single" w:sz="4" w:space="0" w:color="auto"/>
              <w:right w:val="single" w:sz="4" w:space="0" w:color="auto"/>
            </w:tcBorders>
            <w:noWrap/>
            <w:vAlign w:val="center"/>
          </w:tcPr>
          <w:p w14:paraId="59E73A2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w:t>
            </w:r>
          </w:p>
        </w:tc>
        <w:tc>
          <w:tcPr>
            <w:tcW w:w="297" w:type="pct"/>
            <w:tcBorders>
              <w:top w:val="nil"/>
              <w:left w:val="nil"/>
              <w:bottom w:val="single" w:sz="4" w:space="0" w:color="auto"/>
              <w:right w:val="single" w:sz="4" w:space="0" w:color="auto"/>
            </w:tcBorders>
            <w:noWrap/>
            <w:vAlign w:val="center"/>
          </w:tcPr>
          <w:p w14:paraId="16AEB88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w:t>
            </w:r>
          </w:p>
        </w:tc>
        <w:tc>
          <w:tcPr>
            <w:tcW w:w="297" w:type="pct"/>
            <w:tcBorders>
              <w:top w:val="nil"/>
              <w:left w:val="nil"/>
              <w:bottom w:val="single" w:sz="4" w:space="0" w:color="auto"/>
              <w:right w:val="single" w:sz="4" w:space="0" w:color="auto"/>
            </w:tcBorders>
            <w:noWrap/>
            <w:vAlign w:val="center"/>
          </w:tcPr>
          <w:p w14:paraId="47EA862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292" w:type="pct"/>
            <w:tcBorders>
              <w:top w:val="nil"/>
              <w:left w:val="nil"/>
              <w:bottom w:val="single" w:sz="4" w:space="0" w:color="auto"/>
              <w:right w:val="single" w:sz="4" w:space="0" w:color="auto"/>
            </w:tcBorders>
            <w:noWrap/>
            <w:vAlign w:val="center"/>
          </w:tcPr>
          <w:p w14:paraId="0B2AA32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74</w:t>
            </w:r>
          </w:p>
        </w:tc>
      </w:tr>
      <w:tr w:rsidR="00686DFE" w:rsidRPr="00CE5D9A" w14:paraId="3DED36C3" w14:textId="77777777" w:rsidTr="00B070D6">
        <w:trPr>
          <w:trHeight w:val="340"/>
        </w:trPr>
        <w:tc>
          <w:tcPr>
            <w:tcW w:w="1439" w:type="pct"/>
            <w:tcBorders>
              <w:top w:val="nil"/>
              <w:left w:val="single" w:sz="4" w:space="0" w:color="auto"/>
              <w:bottom w:val="single" w:sz="4" w:space="0" w:color="auto"/>
              <w:right w:val="single" w:sz="4" w:space="0" w:color="auto"/>
            </w:tcBorders>
            <w:noWrap/>
            <w:vAlign w:val="center"/>
          </w:tcPr>
          <w:p w14:paraId="30FE6AE0"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297" w:type="pct"/>
            <w:tcBorders>
              <w:top w:val="nil"/>
              <w:left w:val="nil"/>
              <w:bottom w:val="single" w:sz="4" w:space="0" w:color="auto"/>
              <w:right w:val="single" w:sz="4" w:space="0" w:color="auto"/>
            </w:tcBorders>
            <w:noWrap/>
            <w:vAlign w:val="center"/>
          </w:tcPr>
          <w:p w14:paraId="2B56E65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81</w:t>
            </w:r>
          </w:p>
        </w:tc>
        <w:tc>
          <w:tcPr>
            <w:tcW w:w="297" w:type="pct"/>
            <w:tcBorders>
              <w:top w:val="nil"/>
              <w:left w:val="nil"/>
              <w:bottom w:val="single" w:sz="4" w:space="0" w:color="auto"/>
              <w:right w:val="single" w:sz="4" w:space="0" w:color="auto"/>
            </w:tcBorders>
            <w:noWrap/>
            <w:vAlign w:val="center"/>
          </w:tcPr>
          <w:p w14:paraId="3FCEB48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85</w:t>
            </w:r>
          </w:p>
        </w:tc>
        <w:tc>
          <w:tcPr>
            <w:tcW w:w="297" w:type="pct"/>
            <w:tcBorders>
              <w:top w:val="nil"/>
              <w:left w:val="nil"/>
              <w:bottom w:val="single" w:sz="4" w:space="0" w:color="auto"/>
              <w:right w:val="single" w:sz="4" w:space="0" w:color="auto"/>
            </w:tcBorders>
            <w:noWrap/>
            <w:vAlign w:val="center"/>
          </w:tcPr>
          <w:p w14:paraId="77F15A1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87</w:t>
            </w:r>
          </w:p>
        </w:tc>
        <w:tc>
          <w:tcPr>
            <w:tcW w:w="297" w:type="pct"/>
            <w:tcBorders>
              <w:top w:val="nil"/>
              <w:left w:val="nil"/>
              <w:bottom w:val="single" w:sz="4" w:space="0" w:color="auto"/>
              <w:right w:val="single" w:sz="4" w:space="0" w:color="auto"/>
            </w:tcBorders>
            <w:noWrap/>
            <w:vAlign w:val="center"/>
          </w:tcPr>
          <w:p w14:paraId="011B03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044FB3A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85</w:t>
            </w:r>
          </w:p>
        </w:tc>
        <w:tc>
          <w:tcPr>
            <w:tcW w:w="299" w:type="pct"/>
            <w:tcBorders>
              <w:top w:val="nil"/>
              <w:left w:val="nil"/>
              <w:bottom w:val="single" w:sz="4" w:space="0" w:color="auto"/>
              <w:right w:val="single" w:sz="4" w:space="0" w:color="auto"/>
            </w:tcBorders>
            <w:noWrap/>
            <w:vAlign w:val="center"/>
          </w:tcPr>
          <w:p w14:paraId="00ABE98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297" w:type="pct"/>
            <w:tcBorders>
              <w:top w:val="nil"/>
              <w:left w:val="nil"/>
              <w:bottom w:val="single" w:sz="4" w:space="0" w:color="auto"/>
              <w:right w:val="single" w:sz="4" w:space="0" w:color="auto"/>
            </w:tcBorders>
            <w:noWrap/>
            <w:vAlign w:val="center"/>
          </w:tcPr>
          <w:p w14:paraId="5E2ADF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w:t>
            </w:r>
          </w:p>
        </w:tc>
        <w:tc>
          <w:tcPr>
            <w:tcW w:w="297" w:type="pct"/>
            <w:tcBorders>
              <w:top w:val="nil"/>
              <w:left w:val="nil"/>
              <w:bottom w:val="single" w:sz="4" w:space="0" w:color="auto"/>
              <w:right w:val="single" w:sz="4" w:space="0" w:color="auto"/>
            </w:tcBorders>
            <w:noWrap/>
            <w:vAlign w:val="center"/>
          </w:tcPr>
          <w:p w14:paraId="2DDC852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297" w:type="pct"/>
            <w:tcBorders>
              <w:top w:val="nil"/>
              <w:left w:val="nil"/>
              <w:bottom w:val="single" w:sz="4" w:space="0" w:color="auto"/>
              <w:right w:val="single" w:sz="4" w:space="0" w:color="auto"/>
            </w:tcBorders>
            <w:noWrap/>
            <w:vAlign w:val="center"/>
          </w:tcPr>
          <w:p w14:paraId="7FECE9A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80</w:t>
            </w:r>
          </w:p>
        </w:tc>
        <w:tc>
          <w:tcPr>
            <w:tcW w:w="297" w:type="pct"/>
            <w:tcBorders>
              <w:top w:val="nil"/>
              <w:left w:val="nil"/>
              <w:bottom w:val="single" w:sz="4" w:space="0" w:color="auto"/>
              <w:right w:val="single" w:sz="4" w:space="0" w:color="auto"/>
            </w:tcBorders>
            <w:noWrap/>
            <w:vAlign w:val="center"/>
          </w:tcPr>
          <w:p w14:paraId="3ECDA11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80</w:t>
            </w:r>
          </w:p>
        </w:tc>
        <w:tc>
          <w:tcPr>
            <w:tcW w:w="297" w:type="pct"/>
            <w:tcBorders>
              <w:top w:val="nil"/>
              <w:left w:val="nil"/>
              <w:bottom w:val="single" w:sz="4" w:space="0" w:color="auto"/>
              <w:right w:val="single" w:sz="4" w:space="0" w:color="auto"/>
            </w:tcBorders>
            <w:noWrap/>
            <w:vAlign w:val="center"/>
          </w:tcPr>
          <w:p w14:paraId="71AA946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292" w:type="pct"/>
            <w:tcBorders>
              <w:top w:val="nil"/>
              <w:left w:val="nil"/>
              <w:bottom w:val="single" w:sz="4" w:space="0" w:color="auto"/>
              <w:right w:val="single" w:sz="4" w:space="0" w:color="auto"/>
            </w:tcBorders>
            <w:noWrap/>
            <w:vAlign w:val="center"/>
          </w:tcPr>
          <w:p w14:paraId="380BF6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r>
    </w:tbl>
    <w:p w14:paraId="505A9F38"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lastRenderedPageBreak/>
        <w:t>Źródło: opracowanie własne na podstawie danych GUS</w:t>
      </w:r>
    </w:p>
    <w:p w14:paraId="3F9B130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Wskaźnik </w:t>
      </w:r>
      <w:r w:rsidRPr="00CE5D9A">
        <w:rPr>
          <w:rFonts w:ascii="Times New Roman" w:hAnsi="Times New Roman"/>
          <w:i/>
          <w:iCs/>
        </w:rPr>
        <w:t xml:space="preserve">udział dzieci objętych wychowaniem przedszkolnym w ogólnej liczbie dzieci w wieku 3–5 lat </w:t>
      </w:r>
      <w:r w:rsidRPr="00CE5D9A">
        <w:rPr>
          <w:rFonts w:ascii="Times New Roman" w:hAnsi="Times New Roman"/>
        </w:rPr>
        <w:t>na obszarze LGD na przestrzeni analizowanych lat systematycznie wzrastał (do roku 2020, kiedy nastąpił nagły spadek, natomiast tendencja taka wystąpiła również w województwie i kraju, a w</w:t>
      </w:r>
      <w:r w:rsidR="00741DF7" w:rsidRPr="00CE5D9A">
        <w:rPr>
          <w:rFonts w:ascii="Times New Roman" w:hAnsi="Times New Roman"/>
        </w:rPr>
        <w:t xml:space="preserve"> 2021 r. nastąpiło „odbicie”) i </w:t>
      </w:r>
      <w:r w:rsidRPr="00CE5D9A">
        <w:rPr>
          <w:rFonts w:ascii="Times New Roman" w:hAnsi="Times New Roman"/>
        </w:rPr>
        <w:t>ostatecznie w roku 2021 osiągnął wartość 86% – co stanowiło wzrost w porównaniu do 2016 r. o 6 pp. W każdym analizowanym roku wartość dla obszaru była niższa od wartości dla województwa i kraju. Biorąc pod uwagę krajowe uwarunkowania, związane z dużym zapotrzebowaniem na miejsca zapewniające opiekę dzieci w wieku przedszkolnym, rosnąca liczba dzieci objętych tą formą opieki jest pozytywnym zjawiskiem. Najwyższe wartości wskaźnika na obszarze LGD osiągała Gmina Myślenice, odnotowując w 2021 r. wartość wskaźnika 95%, przy średniej dla województwa – 89%, a kraju – 88%. Natomiast najniższa wartość</w:t>
      </w:r>
      <w:r w:rsidR="00741DF7" w:rsidRPr="00CE5D9A">
        <w:rPr>
          <w:rFonts w:ascii="Times New Roman" w:hAnsi="Times New Roman"/>
        </w:rPr>
        <w:t xml:space="preserve"> wystąpiła w gminach Tokarnia i </w:t>
      </w:r>
      <w:r w:rsidRPr="00CE5D9A">
        <w:rPr>
          <w:rFonts w:ascii="Times New Roman" w:hAnsi="Times New Roman"/>
        </w:rPr>
        <w:t>Pcim – 74%. Wskaźnik określający liczbę dzieci przypadającą na 1 placówkę wychowania przedszkolnego wynosił w</w:t>
      </w:r>
      <w:r w:rsidR="00741DF7" w:rsidRPr="00CE5D9A">
        <w:rPr>
          <w:rFonts w:ascii="Times New Roman" w:hAnsi="Times New Roman"/>
        </w:rPr>
        <w:t> </w:t>
      </w:r>
      <w:r w:rsidRPr="00CE5D9A">
        <w:rPr>
          <w:rFonts w:ascii="Times New Roman" w:hAnsi="Times New Roman"/>
        </w:rPr>
        <w:t xml:space="preserve">2021 roku dla LGD </w:t>
      </w:r>
      <w:r w:rsidR="00741DF7" w:rsidRPr="00CE5D9A">
        <w:rPr>
          <w:rFonts w:ascii="Times New Roman" w:hAnsi="Times New Roman"/>
        </w:rPr>
        <w:t>95</w:t>
      </w:r>
      <w:r w:rsidRPr="00CE5D9A">
        <w:rPr>
          <w:rFonts w:ascii="Times New Roman" w:hAnsi="Times New Roman"/>
        </w:rPr>
        <w:t xml:space="preserve"> i był wyższy niż średnia dla województwa (74) oraz kraju (82).</w:t>
      </w:r>
    </w:p>
    <w:p w14:paraId="3B355AF8" w14:textId="4C08DBCA"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 terenie obszaru</w:t>
      </w:r>
      <w:r w:rsidR="00633737">
        <w:rPr>
          <w:rFonts w:ascii="Times New Roman" w:hAnsi="Times New Roman"/>
        </w:rPr>
        <w:t xml:space="preserve"> </w:t>
      </w:r>
      <w:r w:rsidR="00633737" w:rsidRPr="00633737">
        <w:rPr>
          <w:rFonts w:ascii="Times New Roman" w:hAnsi="Times New Roman"/>
          <w:color w:val="FF0000"/>
        </w:rPr>
        <w:t>LGD Regionu Myślenickiego</w:t>
      </w:r>
      <w:r w:rsidRPr="00CE5D9A">
        <w:rPr>
          <w:rFonts w:ascii="Times New Roman" w:hAnsi="Times New Roman"/>
        </w:rPr>
        <w:t xml:space="preserve"> </w:t>
      </w:r>
      <w:r w:rsidRPr="00324AE2">
        <w:rPr>
          <w:rFonts w:ascii="Times New Roman" w:hAnsi="Times New Roman"/>
          <w:strike/>
          <w:color w:val="FF0000"/>
        </w:rPr>
        <w:t>LGD Między Dalinem i Gościbią</w:t>
      </w:r>
      <w:r w:rsidRPr="00324AE2">
        <w:rPr>
          <w:rFonts w:ascii="Times New Roman" w:hAnsi="Times New Roman"/>
          <w:color w:val="FF0000"/>
        </w:rPr>
        <w:t xml:space="preserve"> </w:t>
      </w:r>
      <w:r w:rsidRPr="00CE5D9A">
        <w:rPr>
          <w:rFonts w:ascii="Times New Roman" w:hAnsi="Times New Roman"/>
        </w:rPr>
        <w:t>w 2021 roku zlokalizowanych było jedenaście podmiotów, które świadczą usługi opieki nad dziećmi do lat 3 – większość na ter</w:t>
      </w:r>
      <w:r w:rsidR="00633737">
        <w:rPr>
          <w:rFonts w:ascii="Times New Roman" w:hAnsi="Times New Roman"/>
        </w:rPr>
        <w:t xml:space="preserve">enie Gminy Myślenice (4 żłobki </w:t>
      </w:r>
      <w:r w:rsidRPr="00CE5D9A">
        <w:rPr>
          <w:rFonts w:ascii="Times New Roman" w:hAnsi="Times New Roman"/>
        </w:rPr>
        <w:t xml:space="preserve">i 2 kluby dziecięce). Na terenie Gminy Tokarnia funkcjonowały 2 podmioty świadczące tego typu usługi, natomiast w gminach Sułkowice, Raciechowice oraz Lubień – po jednym podmiocie. Na terenie gmin </w:t>
      </w:r>
      <w:r w:rsidR="00741DF7" w:rsidRPr="00CE5D9A">
        <w:rPr>
          <w:rFonts w:ascii="Times New Roman" w:hAnsi="Times New Roman"/>
        </w:rPr>
        <w:t xml:space="preserve">Siepraw, </w:t>
      </w:r>
      <w:r w:rsidRPr="00CE5D9A">
        <w:rPr>
          <w:rFonts w:ascii="Times New Roman" w:hAnsi="Times New Roman"/>
        </w:rPr>
        <w:t xml:space="preserve">Pcim oraz Wiśniowa nie funkcjonowały żadne podmioty świadczące usługi opieki nad dziećmi do lat 3 (przy czym na terenie Gminy Wiśniowa do 2018 r. prowadzony był jeden klub dziecięcy). Podmioty w gminach Lubień, Sułkowice oraz Tokarnia rozpoczęły działalność w latach 2019–2020, co świadczy o tym, że sytuacja w tym zakresie stopniowo poprawia się. </w:t>
      </w:r>
    </w:p>
    <w:p w14:paraId="08EF9FC2" w14:textId="3A8292AB" w:rsidR="00686DFE" w:rsidRPr="00CE5D9A" w:rsidRDefault="00686DFE">
      <w:pPr>
        <w:suppressAutoHyphens/>
        <w:spacing w:after="0" w:line="276" w:lineRule="auto"/>
        <w:ind w:firstLine="708"/>
        <w:jc w:val="both"/>
        <w:rPr>
          <w:rFonts w:ascii="Times New Roman" w:hAnsi="Times New Roman"/>
        </w:rPr>
      </w:pPr>
      <w:r w:rsidRPr="00CE5D9A">
        <w:rPr>
          <w:rFonts w:ascii="Times New Roman" w:hAnsi="Times New Roman"/>
        </w:rPr>
        <w:t>Analizując dostęp do infrastruktury i usług publicznych, nie sposób pominąć kwestii oferty usług związanych z kulturą, sportem i rekreacją. Mieszkańcy obszaru wchodzące</w:t>
      </w:r>
      <w:r w:rsidR="00AB4D8C" w:rsidRPr="00CE5D9A">
        <w:rPr>
          <w:rFonts w:ascii="Times New Roman" w:hAnsi="Times New Roman"/>
        </w:rPr>
        <w:t>go w skład</w:t>
      </w:r>
      <w:r w:rsidR="00324AE2">
        <w:rPr>
          <w:rFonts w:ascii="Times New Roman" w:hAnsi="Times New Roman"/>
        </w:rPr>
        <w:t xml:space="preserve"> </w:t>
      </w:r>
      <w:r w:rsidR="00324AE2" w:rsidRPr="00007063">
        <w:rPr>
          <w:rFonts w:ascii="Times New Roman" w:hAnsi="Times New Roman"/>
          <w:iCs/>
          <w:color w:val="FF0000"/>
        </w:rPr>
        <w:t>LGD Regionu Myślenickiego</w:t>
      </w:r>
      <w:r w:rsidR="00AB4D8C" w:rsidRPr="00CE5D9A">
        <w:rPr>
          <w:rFonts w:ascii="Times New Roman" w:hAnsi="Times New Roman"/>
        </w:rPr>
        <w:t xml:space="preserve"> </w:t>
      </w:r>
      <w:r w:rsidR="00AB4D8C" w:rsidRPr="00324AE2">
        <w:rPr>
          <w:rFonts w:ascii="Times New Roman" w:hAnsi="Times New Roman"/>
          <w:strike/>
          <w:color w:val="FF0000"/>
        </w:rPr>
        <w:t>LGD Między Dalinem i </w:t>
      </w:r>
      <w:r w:rsidRPr="00324AE2">
        <w:rPr>
          <w:rFonts w:ascii="Times New Roman" w:hAnsi="Times New Roman"/>
          <w:strike/>
          <w:color w:val="FF0000"/>
        </w:rPr>
        <w:t>Gościbią</w:t>
      </w:r>
      <w:r w:rsidRPr="00324AE2">
        <w:rPr>
          <w:rFonts w:ascii="Times New Roman" w:hAnsi="Times New Roman"/>
          <w:color w:val="FF0000"/>
        </w:rPr>
        <w:t xml:space="preserve"> </w:t>
      </w:r>
      <w:r w:rsidRPr="00CE5D9A">
        <w:rPr>
          <w:rFonts w:ascii="Times New Roman" w:hAnsi="Times New Roman"/>
        </w:rPr>
        <w:t>mają dostęp do 1</w:t>
      </w:r>
      <w:r w:rsidR="00AB4D8C" w:rsidRPr="00CE5D9A">
        <w:rPr>
          <w:rFonts w:ascii="Times New Roman" w:hAnsi="Times New Roman"/>
        </w:rPr>
        <w:t>9</w:t>
      </w:r>
      <w:r w:rsidRPr="00CE5D9A">
        <w:rPr>
          <w:rFonts w:ascii="Times New Roman" w:hAnsi="Times New Roman"/>
        </w:rPr>
        <w:t xml:space="preserve"> bibliotek i filii, które znajdują się w każdej z gmin członkowskich. Najwięcej z nich znajduje się w Gminie Myślenice – 5 podmiotów, w Gminie Lubień – 4 podmioty, w Gminie Sułkowice – 3 podmioty, po dwa podmioty w gminach Pcim i Wiśniowa oraz po jednym podmiocie w gminach </w:t>
      </w:r>
      <w:r w:rsidR="00AB4D8C" w:rsidRPr="00CE5D9A">
        <w:rPr>
          <w:rFonts w:ascii="Times New Roman" w:hAnsi="Times New Roman"/>
        </w:rPr>
        <w:t>Siepraw, Tokarnia i </w:t>
      </w:r>
      <w:r w:rsidRPr="00CE5D9A">
        <w:rPr>
          <w:rFonts w:ascii="Times New Roman" w:hAnsi="Times New Roman"/>
        </w:rPr>
        <w:t>Raciechowice. W</w:t>
      </w:r>
      <w:r w:rsidR="00AB4D8C" w:rsidRPr="00CE5D9A">
        <w:rPr>
          <w:rFonts w:ascii="Times New Roman" w:hAnsi="Times New Roman"/>
        </w:rPr>
        <w:t> </w:t>
      </w:r>
      <w:r w:rsidRPr="00CE5D9A">
        <w:rPr>
          <w:rFonts w:ascii="Times New Roman" w:hAnsi="Times New Roman"/>
        </w:rPr>
        <w:t>przeliczeniu na 10 tys. mieszkańców średnia liczba bibliotek i fi</w:t>
      </w:r>
      <w:r w:rsidR="00AB4D8C" w:rsidRPr="00CE5D9A">
        <w:rPr>
          <w:rFonts w:ascii="Times New Roman" w:hAnsi="Times New Roman"/>
        </w:rPr>
        <w:t>lii na terenie LGD wynosi 1,7 i </w:t>
      </w:r>
      <w:r w:rsidRPr="00CE5D9A">
        <w:rPr>
          <w:rFonts w:ascii="Times New Roman" w:hAnsi="Times New Roman"/>
        </w:rPr>
        <w:t>jest niższa niż średnia dla Polski (2,0) oraz dla województwa małopolskiego (2,1)</w:t>
      </w:r>
      <w:r w:rsidRPr="00CE5D9A">
        <w:rPr>
          <w:rFonts w:ascii="Times New Roman" w:hAnsi="Times New Roman"/>
          <w:vertAlign w:val="superscript"/>
        </w:rPr>
        <w:footnoteReference w:id="24"/>
      </w:r>
      <w:r w:rsidRPr="00CE5D9A">
        <w:rPr>
          <w:rFonts w:ascii="Times New Roman" w:hAnsi="Times New Roman"/>
        </w:rPr>
        <w:t>.</w:t>
      </w:r>
    </w:p>
    <w:p w14:paraId="6BD089C6" w14:textId="77777777" w:rsidR="00686DFE" w:rsidRPr="00CE5D9A" w:rsidRDefault="00686DFE">
      <w:pPr>
        <w:suppressAutoHyphens/>
        <w:spacing w:after="0" w:line="276" w:lineRule="auto"/>
        <w:ind w:firstLine="708"/>
        <w:jc w:val="both"/>
        <w:rPr>
          <w:rFonts w:ascii="Times New Roman" w:eastAsia="SimSun" w:hAnsi="Times New Roman"/>
          <w:lang w:eastAsia="ar-SA"/>
        </w:rPr>
      </w:pPr>
      <w:r w:rsidRPr="00CE5D9A">
        <w:rPr>
          <w:rFonts w:ascii="Times New Roman" w:eastAsia="SimSun" w:hAnsi="Times New Roman"/>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Wskaźnik </w:t>
      </w:r>
      <w:r w:rsidRPr="00CE5D9A">
        <w:rPr>
          <w:rFonts w:ascii="Times New Roman" w:eastAsia="SimSun" w:hAnsi="Times New Roman"/>
          <w:i/>
          <w:iCs/>
          <w:lang w:eastAsia="ar-SA"/>
        </w:rPr>
        <w:t>porady lekarskie na 100 mieszkańców</w:t>
      </w:r>
      <w:r w:rsidRPr="00CE5D9A">
        <w:rPr>
          <w:rFonts w:ascii="Times New Roman" w:eastAsia="SimSun" w:hAnsi="Times New Roman"/>
          <w:lang w:eastAsia="ar-SA"/>
        </w:rPr>
        <w:t xml:space="preserve"> określa poziom dostępności usług medycznych. Średnio na obszarze LGD w 2021 r. wskaźnik wyniósł 41</w:t>
      </w:r>
      <w:r w:rsidR="00AB4D8C" w:rsidRPr="00CE5D9A">
        <w:rPr>
          <w:rFonts w:ascii="Times New Roman" w:eastAsia="SimSun" w:hAnsi="Times New Roman"/>
          <w:lang w:eastAsia="ar-SA"/>
        </w:rPr>
        <w:t>6</w:t>
      </w:r>
      <w:r w:rsidRPr="00CE5D9A">
        <w:rPr>
          <w:rFonts w:ascii="Times New Roman" w:eastAsia="SimSun" w:hAnsi="Times New Roman"/>
          <w:lang w:eastAsia="ar-SA"/>
        </w:rPr>
        <w:t xml:space="preserve"> porad, co stanowiło wartość wyższą od średniej dla województwa (410) i niższą od średniej wartości dla Polski (452). Najwyższą wartością na obszarze charakteryzowała się Gmina Tokarnia (524).</w:t>
      </w:r>
    </w:p>
    <w:p w14:paraId="3A4268E4" w14:textId="77777777" w:rsidR="00686DFE" w:rsidRPr="00CE5D9A" w:rsidRDefault="00686DFE">
      <w:pPr>
        <w:suppressAutoHyphens/>
        <w:spacing w:line="276" w:lineRule="auto"/>
        <w:ind w:firstLine="708"/>
        <w:jc w:val="both"/>
        <w:rPr>
          <w:rFonts w:ascii="Times New Roman" w:eastAsia="SimSun" w:hAnsi="Times New Roman"/>
          <w:lang w:eastAsia="ar-SA"/>
        </w:rPr>
      </w:pPr>
      <w:r w:rsidRPr="00CE5D9A">
        <w:rPr>
          <w:rFonts w:ascii="Times New Roman" w:eastAsia="SimSun" w:hAnsi="Times New Roman"/>
          <w:lang w:eastAsia="ar-SA"/>
        </w:rPr>
        <w:t xml:space="preserve">Podczas spotkań z mieszkańcami został poruszony temat niewystarczającej oferty czasu wolnego skierowanej do dzieci oraz do dorosłych mieszkańców, w tym różnorodnych zajęć edukacyjnych, dających możliwość rozwijania pasji i talentów. Uczestnicy spotkań zwrócili uwagę, że nie ma wystarczającej ilości miejsc, gdzie mieszkańcy mogliby wspólnie spędzać czas i się integrować oraz jest zbyt mała ilość wydarzeń </w:t>
      </w:r>
      <w:r w:rsidR="003F6DAE" w:rsidRPr="00CE5D9A">
        <w:rPr>
          <w:rFonts w:ascii="Times New Roman" w:eastAsia="SimSun" w:hAnsi="Times New Roman"/>
          <w:lang w:eastAsia="ar-SA"/>
        </w:rPr>
        <w:t>kulturalnych i </w:t>
      </w:r>
      <w:r w:rsidRPr="00CE5D9A">
        <w:rPr>
          <w:rFonts w:ascii="Times New Roman" w:eastAsia="SimSun" w:hAnsi="Times New Roman"/>
          <w:lang w:eastAsia="ar-SA"/>
        </w:rPr>
        <w:t xml:space="preserve">sportowych. Na obszarze w wielu przestrzeniach i obiektach użyteczności nadal występują bariery architektoniczne dla osób niepełnosprawnych i osób o obniżonym poziomie sprawności. Dostępność wiąże się z możliwością korzystania z usług, infrastruktury, ale dotyczy też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sidRPr="00CE5D9A">
        <w:rPr>
          <w:rFonts w:ascii="Times New Roman" w:eastAsia="SimSun" w:hAnsi="Times New Roman"/>
          <w:i/>
          <w:iCs/>
          <w:lang w:eastAsia="ar-SA"/>
        </w:rPr>
        <w:t>Innowacyjność</w:t>
      </w:r>
      <w:r w:rsidRPr="00CE5D9A">
        <w:rPr>
          <w:rFonts w:ascii="Times New Roman" w:eastAsia="SimSun" w:hAnsi="Times New Roman"/>
          <w:lang w:eastAsia="ar-SA"/>
        </w:rPr>
        <w:t>.</w:t>
      </w:r>
    </w:p>
    <w:p w14:paraId="20BEC554" w14:textId="77777777" w:rsidR="00686DFE" w:rsidRPr="00CE5D9A" w:rsidRDefault="00686DFE">
      <w:pPr>
        <w:pStyle w:val="Akapitzlist"/>
        <w:numPr>
          <w:ilvl w:val="1"/>
          <w:numId w:val="15"/>
        </w:numPr>
        <w:spacing w:before="240"/>
        <w:ind w:left="1701" w:hanging="567"/>
        <w:rPr>
          <w:rFonts w:ascii="Times New Roman" w:hAnsi="Times New Roman"/>
          <w:b/>
          <w:bCs/>
        </w:rPr>
      </w:pPr>
      <w:r w:rsidRPr="00CE5D9A">
        <w:rPr>
          <w:rFonts w:ascii="Times New Roman" w:hAnsi="Times New Roman"/>
          <w:b/>
          <w:bCs/>
        </w:rPr>
        <w:t>Dziedzictwo kulturowe, tożsamość i potencjał turystyczny</w:t>
      </w:r>
    </w:p>
    <w:p w14:paraId="51A4DA77"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Obszar LGD położony jest na terenie makroregionów Pogórza Zachodniobeskidzkiego i Beskidów Zachodnich, co determinuje warunki naturalne gmin obszaru. Losy historyczne poszczególnych gmin są bardzo </w:t>
      </w:r>
      <w:r w:rsidRPr="00CE5D9A">
        <w:rPr>
          <w:rFonts w:ascii="Times New Roman" w:hAnsi="Times New Roman"/>
        </w:rPr>
        <w:lastRenderedPageBreak/>
        <w:t>podobne, przy czym podobieństwo to znajduje uzasadnienie w najstarszych świadectwach żyjących na tym obszarze kultur.</w:t>
      </w:r>
    </w:p>
    <w:p w14:paraId="3C5DF4D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Pierwsze ślady osadnictwa na tym terenie sięgają okresu mezolitu (VII tysiąclecie p.n.e.) – odkryto liczne narzędzia kamienne, które pozwoliły na jego datowanie. Na terenie miejscowości obszaru znaleziono również zabytki neolityczne, co świadczy o dawnym osadnictwie rolniczym w rejonie. Obszar gmin były atrakcyjny dla wędrującej ludności szukającej miejsca do osiedlenia się już w czasach prehistorycznych, głównie ze względu na warunki klimatyczne i przyrodnicze (rzeka Raba, która była jedną z najbardziej rybnych rzek, bogactwa okolicznych lasów). </w:t>
      </w:r>
    </w:p>
    <w:p w14:paraId="7B871F1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Do XV w. na terenach gmin obszaru przeważała gospodarka czynszowa, był to również czas, w którym rozwijały się folwarki. Ziemie obszaru stanowiły własność królewską, były częścią Kasztelanii Krakowskiej. Doliną Raby biegł jeden z ważniejszych szlaków handlowych średniowiecznej Polski, zwany solnym. Dawna droga królewska Via Regia łączyła Kraków z Węgrami, a trakt cesarsko-królewski rozpoczynał bieg z Lwowa przez Tarnów do Wadowic, aż do Wiednia</w:t>
      </w:r>
      <w:r w:rsidRPr="00CE5D9A">
        <w:rPr>
          <w:rStyle w:val="Odwoanieprzypisudolnego"/>
          <w:rFonts w:ascii="Times New Roman" w:hAnsi="Times New Roman"/>
        </w:rPr>
        <w:footnoteReference w:id="25"/>
      </w:r>
      <w:r w:rsidRPr="00CE5D9A">
        <w:rPr>
          <w:rFonts w:ascii="Times New Roman" w:hAnsi="Times New Roman"/>
        </w:rPr>
        <w:t xml:space="preserve">. </w:t>
      </w:r>
    </w:p>
    <w:p w14:paraId="09BFC125"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Wiek XVI to względna stabilizacja po okresie zarazy (1651–1652), do momentu na</w:t>
      </w:r>
      <w:r w:rsidR="003F6DAE" w:rsidRPr="00CE5D9A">
        <w:rPr>
          <w:rFonts w:ascii="Times New Roman" w:hAnsi="Times New Roman"/>
        </w:rPr>
        <w:t>jazdu szwedzkiego i </w:t>
      </w:r>
      <w:r w:rsidRPr="00CE5D9A">
        <w:rPr>
          <w:rFonts w:ascii="Times New Roman" w:hAnsi="Times New Roman"/>
        </w:rPr>
        <w:t>związanego z nim zniszczenia miejscowości – dokonano całkowitego spalenia i ograbienia Myślenic. Po zakończeniu wojny ze Szwecją, w roku 1660, starano się odbudować miasto i przywrócić mu dawną świetność, m.in. poprzez przywilej nadany przez kasztelana krakowskiego Stanisława Koniecpolskiego, który przyznał miastu prawo do odbywania pięciu jarmarków. Na początek XVII wieku ludność Sułkowic datuje początki i rozwój kowalstwa. Rzemiosło to pojawiło się na tym terenie prawdopodobnie za spr</w:t>
      </w:r>
      <w:r w:rsidR="003F6DAE" w:rsidRPr="00CE5D9A">
        <w:rPr>
          <w:rFonts w:ascii="Times New Roman" w:hAnsi="Times New Roman"/>
        </w:rPr>
        <w:t>awą węgierskich Romów. W </w:t>
      </w:r>
      <w:r w:rsidRPr="00CE5D9A">
        <w:rPr>
          <w:rFonts w:ascii="Times New Roman" w:hAnsi="Times New Roman"/>
        </w:rPr>
        <w:t>prymitywnych kuźniach wyrabiano gwoździe, narzędzia i broń dla zamku lanckorońskiego.</w:t>
      </w:r>
    </w:p>
    <w:p w14:paraId="1C61668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Kolejnym istotnym wydarzeniem w dziejach gmin był pierwszy rozbiór Polski w 1772 r., którego skutkiem było wejście gmin obszaru w skład zaboru austriackiego. W grudniu 1773 r. mieszkańcy powiatu myślenickiego złożyli przysięgę poddańczą na wierność cesarzowej, a Galicję podzielono na sześć cyrkułów, a te na dystrykty. Centralą było Gubernium z siedzibą we Lwowie. Skarb austriacki przejął starostwa,</w:t>
      </w:r>
      <w:r w:rsidR="003F6DAE" w:rsidRPr="00CE5D9A">
        <w:rPr>
          <w:rFonts w:ascii="Times New Roman" w:hAnsi="Times New Roman"/>
        </w:rPr>
        <w:t xml:space="preserve"> dzierżawy dóbr królewskich i </w:t>
      </w:r>
      <w:r w:rsidRPr="00CE5D9A">
        <w:rPr>
          <w:rFonts w:ascii="Times New Roman" w:hAnsi="Times New Roman"/>
        </w:rPr>
        <w:t>wójtostwa. Powiat myślenicki znalazł się w obrębie cyrkułu wielickiego. Na początku XIX w. nastąpiła wyprzedaż dóbr terenu</w:t>
      </w:r>
      <w:r w:rsidRPr="00CE5D9A">
        <w:rPr>
          <w:rStyle w:val="Odwoanieprzypisudolnego"/>
          <w:rFonts w:ascii="Times New Roman" w:hAnsi="Times New Roman"/>
        </w:rPr>
        <w:footnoteReference w:id="26"/>
      </w:r>
      <w:r w:rsidRPr="00CE5D9A">
        <w:rPr>
          <w:rFonts w:ascii="Times New Roman" w:hAnsi="Times New Roman"/>
        </w:rPr>
        <w:t xml:space="preserve">. </w:t>
      </w:r>
    </w:p>
    <w:p w14:paraId="5FA845AD" w14:textId="77777777" w:rsidR="00686DFE" w:rsidRPr="00CE5D9A" w:rsidRDefault="00686DFE" w:rsidP="003F6DAE">
      <w:pPr>
        <w:spacing w:after="0" w:line="276" w:lineRule="auto"/>
        <w:ind w:firstLine="708"/>
        <w:jc w:val="both"/>
        <w:rPr>
          <w:rFonts w:ascii="Times New Roman" w:hAnsi="Times New Roman"/>
        </w:rPr>
      </w:pPr>
      <w:r w:rsidRPr="00CE5D9A">
        <w:rPr>
          <w:rFonts w:ascii="Times New Roman" w:hAnsi="Times New Roman"/>
        </w:rPr>
        <w:t>Wiek XIX to rozwój kowalstwa na terenie Gminy Sułkowice – w połowie stulecia zatrudnionych było 700 kowali, a na początku XX w. – około 1 000. W 1838 r. powstało przedsiębio</w:t>
      </w:r>
      <w:r w:rsidR="003F6DAE" w:rsidRPr="00CE5D9A">
        <w:rPr>
          <w:rFonts w:ascii="Times New Roman" w:hAnsi="Times New Roman"/>
        </w:rPr>
        <w:t xml:space="preserve">rstwo nakładcze Ciężkowskiego, </w:t>
      </w:r>
      <w:r w:rsidRPr="00CE5D9A">
        <w:rPr>
          <w:rFonts w:ascii="Times New Roman" w:hAnsi="Times New Roman"/>
        </w:rPr>
        <w:t>a</w:t>
      </w:r>
      <w:r w:rsidR="003F6DAE" w:rsidRPr="00CE5D9A">
        <w:rPr>
          <w:rFonts w:ascii="Times New Roman" w:hAnsi="Times New Roman"/>
        </w:rPr>
        <w:t> w </w:t>
      </w:r>
      <w:r w:rsidRPr="00CE5D9A">
        <w:rPr>
          <w:rFonts w:ascii="Times New Roman" w:hAnsi="Times New Roman"/>
        </w:rPr>
        <w:t>1845 r. – przedsiębiorstwo Garbienia, od których rzemieślnicy pobierali surowiec i opał, a dostarczali gotowe produkty. W 1887 r. powołano Towarzystwo Kowali – spółkę zrzeszającą 150 właścicieli kuźni. W 1894 r. uruchomiono kowalską szkołę przemysłową. Towarzystwo Kowali upadło w 1906 r., a w 1908 r. w jego miejsce założono Spółkę Kowalską – jej upadek spowodował kryzys gospodarczy lat 30 XX w. Niedługo przed I wojną światową rozpoczęła działalność w tej dziedzinie spółdzielnia „Spólnota”</w:t>
      </w:r>
      <w:r w:rsidRPr="00CE5D9A">
        <w:rPr>
          <w:rStyle w:val="Odwoanieprzypisudolnego"/>
          <w:rFonts w:ascii="Times New Roman" w:hAnsi="Times New Roman"/>
        </w:rPr>
        <w:footnoteReference w:id="27"/>
      </w:r>
      <w:r w:rsidRPr="00CE5D9A">
        <w:rPr>
          <w:rFonts w:ascii="Times New Roman" w:hAnsi="Times New Roman"/>
        </w:rPr>
        <w:t xml:space="preserve">. </w:t>
      </w:r>
    </w:p>
    <w:p w14:paraId="5585F3DC" w14:textId="77777777" w:rsidR="00686DFE" w:rsidRPr="00CE5D9A" w:rsidRDefault="00686DFE" w:rsidP="003F6DAE">
      <w:pPr>
        <w:spacing w:after="0" w:line="276" w:lineRule="auto"/>
        <w:ind w:firstLine="708"/>
        <w:jc w:val="both"/>
        <w:rPr>
          <w:rFonts w:ascii="Times New Roman" w:hAnsi="Times New Roman"/>
        </w:rPr>
      </w:pPr>
      <w:r w:rsidRPr="00CE5D9A">
        <w:rPr>
          <w:rFonts w:ascii="Times New Roman" w:hAnsi="Times New Roman"/>
        </w:rPr>
        <w:t xml:space="preserve">Krótko przed wybuchem I wojny światowej w Myślenicach szkolono </w:t>
      </w:r>
      <w:r w:rsidR="003F6DAE" w:rsidRPr="00CE5D9A">
        <w:rPr>
          <w:rFonts w:ascii="Times New Roman" w:hAnsi="Times New Roman"/>
        </w:rPr>
        <w:t>Drużyny Sokole, dzięki czemu w </w:t>
      </w:r>
      <w:r w:rsidRPr="00CE5D9A">
        <w:rPr>
          <w:rFonts w:ascii="Times New Roman" w:hAnsi="Times New Roman"/>
        </w:rPr>
        <w:t>1914 r. do Krakowa wymaszerowało 250 żołnierzy, którzy zostali wcieleni do 4. Pułku Legionów Polskich. Zakończenie I wojny światowej i idące za tym odzyskanie przez Polskę niepodległości zostało w listopadzie 1918 roku uczczone patriotyczną manifestacją, która odbyła się na myślenickim rynku. W dwudziestoleciu międzywojennym nastąpił prężny rozwój ruchu letniskowego. Dzięki budowie jazu na rzece Rabie w 1921 r., coraz więcej mieszkańców Krakowa przyjeżdżało tu odpoczywać. W 1935 r. oddano do użytkowania drogę Myślenice–Kraków, która znacząco wpłynęła na rozwój turystyki.</w:t>
      </w:r>
    </w:p>
    <w:p w14:paraId="0EE91BFC"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Wybuch II wojny światowej w 1939 r. przerwał rozwój miejscowości. Pomimo represji ze strony okupanta, na obszarze działało tajne nauczanie, a w okolicznych lasach zaczęły organizo</w:t>
      </w:r>
      <w:r w:rsidR="003F6DAE" w:rsidRPr="00CE5D9A">
        <w:rPr>
          <w:rFonts w:ascii="Times New Roman" w:hAnsi="Times New Roman"/>
        </w:rPr>
        <w:t xml:space="preserve">wać się oddziały partyzanckie. </w:t>
      </w:r>
      <w:r w:rsidRPr="00CE5D9A">
        <w:rPr>
          <w:rFonts w:ascii="Times New Roman" w:hAnsi="Times New Roman"/>
        </w:rPr>
        <w:t>W</w:t>
      </w:r>
      <w:r w:rsidR="003F6DAE" w:rsidRPr="00CE5D9A">
        <w:rPr>
          <w:rFonts w:ascii="Times New Roman" w:hAnsi="Times New Roman"/>
        </w:rPr>
        <w:t> </w:t>
      </w:r>
      <w:r w:rsidRPr="00CE5D9A">
        <w:rPr>
          <w:rFonts w:ascii="Times New Roman" w:hAnsi="Times New Roman"/>
        </w:rPr>
        <w:t xml:space="preserve">związku z przeistoczeniem Związku Walki Zbrojnej na Armię Krajową, w lutym 1942 roku Myślenice stały się siedzibą komendy Obwodu AK Murawa. 22 sierpnia 1942 roku około tysiąc pięćset osób pochodzenia żydowskiego zostało przez Niemców stłoczonych na rynku w Myślenicach, a następnie wywiezionych do obozów koncentracyjnych lub rozstrzelanych. 24 lipca 1943 r. w Sułkowicach doszło do krwawej pacyfikacji, w której </w:t>
      </w:r>
      <w:r w:rsidRPr="00CE5D9A">
        <w:rPr>
          <w:rFonts w:ascii="Times New Roman" w:hAnsi="Times New Roman"/>
        </w:rPr>
        <w:lastRenderedPageBreak/>
        <w:t>straciło życie 26 osób cywilnych. Kolejne aresztowania wśród żołnierzy AK nastąpiły w 1944 roku. 10 września 1944 roku doszło do jednej z największych bitew partyzanckich w Polsce okresu II wojny światowej</w:t>
      </w:r>
      <w:r w:rsidRPr="00CE5D9A">
        <w:rPr>
          <w:rStyle w:val="Odwoanieprzypisudolnego"/>
          <w:rFonts w:ascii="Times New Roman" w:hAnsi="Times New Roman"/>
        </w:rPr>
        <w:footnoteReference w:id="28"/>
      </w:r>
      <w:r w:rsidRPr="00CE5D9A">
        <w:rPr>
          <w:rFonts w:ascii="Times New Roman" w:hAnsi="Times New Roman"/>
        </w:rPr>
        <w:t xml:space="preserve">. </w:t>
      </w:r>
    </w:p>
    <w:p w14:paraId="1FE35CF4"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Historia regionu wynikająca z przeszłych wydarzeń powoduje, że obszar charakteryzuje się wyjątkową spójnością, także kulturową. Spójność kulturowa, mająca swoje korzenie w historii obszaru, znajduje wyraz </w:t>
      </w:r>
      <w:r w:rsidRPr="00CE5D9A">
        <w:rPr>
          <w:rFonts w:ascii="Times New Roman" w:hAnsi="Times New Roman"/>
        </w:rPr>
        <w:br/>
        <w:t>w istniejących obiektach kultury materialnej. W rejestrze zabytków Narodowego Instytutu Dziedzictwa</w:t>
      </w:r>
      <w:r w:rsidRPr="00CE5D9A">
        <w:rPr>
          <w:rStyle w:val="Odwoanieprzypisudolnego"/>
          <w:rFonts w:ascii="Times New Roman" w:hAnsi="Times New Roman"/>
        </w:rPr>
        <w:footnoteReference w:id="29"/>
      </w:r>
      <w:r w:rsidRPr="00CE5D9A">
        <w:rPr>
          <w:rFonts w:ascii="Times New Roman" w:hAnsi="Times New Roman"/>
        </w:rPr>
        <w:t xml:space="preserve"> znajduje się wiele cennych zabytków, w tym:</w:t>
      </w:r>
    </w:p>
    <w:p w14:paraId="7071BE46" w14:textId="77777777" w:rsidR="00686DFE" w:rsidRPr="00CE5D9A" w:rsidRDefault="00686DFE">
      <w:pPr>
        <w:pStyle w:val="Akapitzlist"/>
        <w:numPr>
          <w:ilvl w:val="0"/>
          <w:numId w:val="18"/>
        </w:numPr>
        <w:shd w:val="clear" w:color="auto" w:fill="FFFFFF"/>
        <w:spacing w:after="0" w:line="276" w:lineRule="auto"/>
        <w:jc w:val="both"/>
        <w:rPr>
          <w:rFonts w:ascii="Times New Roman" w:hAnsi="Times New Roman"/>
        </w:rPr>
      </w:pPr>
      <w:r w:rsidRPr="00CE5D9A">
        <w:rPr>
          <w:rFonts w:ascii="Times New Roman" w:hAnsi="Times New Roman"/>
        </w:rPr>
        <w:t>Gmina Lubień: drewniany kościół parafialny pw. św. Wojciecha z XVI–XVIII w Krzeczowie, willa „Pod Sośniną” z 1912 r. z ogrodem w Lubniu;</w:t>
      </w:r>
    </w:p>
    <w:p w14:paraId="569D8820" w14:textId="77777777" w:rsidR="00686DFE" w:rsidRPr="00CE5D9A" w:rsidRDefault="00686DFE">
      <w:pPr>
        <w:pStyle w:val="Akapitzlist"/>
        <w:numPr>
          <w:ilvl w:val="0"/>
          <w:numId w:val="18"/>
        </w:numPr>
        <w:shd w:val="clear" w:color="auto" w:fill="FFFFFF"/>
        <w:spacing w:after="0" w:line="276" w:lineRule="auto"/>
        <w:jc w:val="both"/>
        <w:rPr>
          <w:rFonts w:ascii="Times New Roman" w:hAnsi="Times New Roman"/>
        </w:rPr>
      </w:pPr>
      <w:r w:rsidRPr="00CE5D9A">
        <w:rPr>
          <w:rFonts w:ascii="Times New Roman" w:hAnsi="Times New Roman"/>
        </w:rPr>
        <w:t>Gmina Myślenice: cmentarz wojenny Nr 371 z I wojny światowej z 1915–1916 r. w Drogini, kościół parafialny pw. św. Marii Magdaleny z 1812 r. w Głogoczowie, zespół dworski z XVIII–XIX w. (dwór, park, lamus) w Głogoczowie, kaplica pw. św. Anny z drugiej połowy XIX w. w Jasienicy, drewniany kościół parafialny pw. św. Anny z XVIII w. Krzyszkowicach,</w:t>
      </w:r>
      <w:r w:rsidR="003F6DAE" w:rsidRPr="00CE5D9A">
        <w:rPr>
          <w:rFonts w:ascii="Times New Roman" w:hAnsi="Times New Roman"/>
        </w:rPr>
        <w:t xml:space="preserve"> park dworski z połowy XIX w. w </w:t>
      </w:r>
      <w:r w:rsidRPr="00CE5D9A">
        <w:rPr>
          <w:rFonts w:ascii="Times New Roman" w:hAnsi="Times New Roman"/>
        </w:rPr>
        <w:t>Krzyszkowicach, część budynku „starej” szkoły z 1884 r. w Krzyszkowicach, dom nr 30 z 189</w:t>
      </w:r>
      <w:r w:rsidR="003F6DAE" w:rsidRPr="00CE5D9A">
        <w:rPr>
          <w:rFonts w:ascii="Times New Roman" w:hAnsi="Times New Roman"/>
        </w:rPr>
        <w:t>0 r. w </w:t>
      </w:r>
      <w:r w:rsidRPr="00CE5D9A">
        <w:rPr>
          <w:rFonts w:ascii="Times New Roman" w:hAnsi="Times New Roman"/>
        </w:rPr>
        <w:t>Krzyszkowicach</w:t>
      </w:r>
      <w:bookmarkStart w:id="110" w:name="_Hlk121995652"/>
      <w:r w:rsidRPr="00CE5D9A">
        <w:rPr>
          <w:rFonts w:ascii="Times New Roman" w:hAnsi="Times New Roman"/>
        </w:rPr>
        <w:t>, zespół urbanistyczny w Myślenicach, zespół kościoła parafialnego pw. Narodzenia NMP z XV–XVIII w. (kościół, cmentarz przykościelny, ogrodzenie z</w:t>
      </w:r>
      <w:r w:rsidR="003F6DAE" w:rsidRPr="00CE5D9A">
        <w:rPr>
          <w:rFonts w:ascii="Times New Roman" w:hAnsi="Times New Roman"/>
        </w:rPr>
        <w:t xml:space="preserve"> bramką i schodami, plebania) w </w:t>
      </w:r>
      <w:r w:rsidRPr="00CE5D9A">
        <w:rPr>
          <w:rFonts w:ascii="Times New Roman" w:hAnsi="Times New Roman"/>
        </w:rPr>
        <w:t>Myślenicach, kościół cmentarny pw. NMP i św. Jakuba z XV w. w Myślenicach, kaplica pw. MB Śnieżnej z XVIII w. w Myślenicach, ruina zamku na Ukleinie z XIII w. w</w:t>
      </w:r>
      <w:r w:rsidR="003F6DAE" w:rsidRPr="00CE5D9A">
        <w:rPr>
          <w:rFonts w:ascii="Times New Roman" w:hAnsi="Times New Roman"/>
        </w:rPr>
        <w:t xml:space="preserve"> Myślenicach, willa z ogrodem z </w:t>
      </w:r>
      <w:r w:rsidRPr="00CE5D9A">
        <w:rPr>
          <w:rFonts w:ascii="Times New Roman" w:hAnsi="Times New Roman"/>
        </w:rPr>
        <w:t>1910 r. w Myślenicach, gimnazjum z 1910 r. w Myślenicach, budynek Towarzystwa Gimnastycznego „Sokół” z parkiem miejskim z</w:t>
      </w:r>
      <w:r w:rsidR="003F6DAE" w:rsidRPr="00CE5D9A">
        <w:rPr>
          <w:rFonts w:ascii="Times New Roman" w:hAnsi="Times New Roman"/>
        </w:rPr>
        <w:t xml:space="preserve"> 1902 r., dwór </w:t>
      </w:r>
      <w:r w:rsidRPr="00CE5D9A">
        <w:rPr>
          <w:rFonts w:ascii="Times New Roman" w:hAnsi="Times New Roman"/>
        </w:rPr>
        <w:t>z</w:t>
      </w:r>
      <w:r w:rsidR="003F6DAE" w:rsidRPr="00CE5D9A">
        <w:rPr>
          <w:rFonts w:ascii="Times New Roman" w:hAnsi="Times New Roman"/>
        </w:rPr>
        <w:t> </w:t>
      </w:r>
      <w:r w:rsidRPr="00CE5D9A">
        <w:rPr>
          <w:rFonts w:ascii="Times New Roman" w:hAnsi="Times New Roman"/>
        </w:rPr>
        <w:t>ogrodem z XX w. w Myślenicach, dwór z ogrodem z 1780 r. w Myślenicach, Kasa Oszczędności z 1911 r. (obecnie dom mieszkalny) w Myślenicach, czternaście domów (XVII</w:t>
      </w:r>
      <w:r w:rsidR="003F6DAE" w:rsidRPr="00CE5D9A">
        <w:rPr>
          <w:rFonts w:ascii="Times New Roman" w:hAnsi="Times New Roman"/>
        </w:rPr>
        <w:t xml:space="preserve">I–XX w.) w Myślenicach, szkoła </w:t>
      </w:r>
      <w:r w:rsidRPr="00CE5D9A">
        <w:rPr>
          <w:rFonts w:ascii="Times New Roman" w:hAnsi="Times New Roman"/>
        </w:rPr>
        <w:t>z</w:t>
      </w:r>
      <w:r w:rsidR="003F6DAE" w:rsidRPr="00CE5D9A">
        <w:rPr>
          <w:rFonts w:ascii="Times New Roman" w:hAnsi="Times New Roman"/>
        </w:rPr>
        <w:t> </w:t>
      </w:r>
      <w:r w:rsidRPr="00CE5D9A">
        <w:rPr>
          <w:rFonts w:ascii="Times New Roman" w:hAnsi="Times New Roman"/>
        </w:rPr>
        <w:t>1869 r. w Myślenicach, zajazd „Dom Grecki” z XVII w. (obecnie dom mieszkalny) w Myślenicach, dwór z drugiej połowy XVIII w. w Myślenicach, budynek dawnego wodoci</w:t>
      </w:r>
      <w:r w:rsidR="003F6DAE" w:rsidRPr="00CE5D9A">
        <w:rPr>
          <w:rFonts w:ascii="Times New Roman" w:hAnsi="Times New Roman"/>
        </w:rPr>
        <w:t xml:space="preserve">ągu miejskiego „Na Studziance” </w:t>
      </w:r>
      <w:r w:rsidRPr="00CE5D9A">
        <w:rPr>
          <w:rFonts w:ascii="Times New Roman" w:hAnsi="Times New Roman"/>
        </w:rPr>
        <w:t>z</w:t>
      </w:r>
      <w:r w:rsidR="003F6DAE" w:rsidRPr="00CE5D9A">
        <w:rPr>
          <w:rFonts w:ascii="Times New Roman" w:hAnsi="Times New Roman"/>
        </w:rPr>
        <w:t> </w:t>
      </w:r>
      <w:r w:rsidRPr="00CE5D9A">
        <w:rPr>
          <w:rFonts w:ascii="Times New Roman" w:hAnsi="Times New Roman"/>
        </w:rPr>
        <w:t xml:space="preserve">1892 r. w Myślenicach, drewniano-murowany dawny młyn wodny z XIX w. w Myślenicach, kaplica pw. Trzeciego Upadku Chrystusa z 1780 r. w miejscowości Myślenice – Górne </w:t>
      </w:r>
      <w:r w:rsidR="003F6DAE" w:rsidRPr="00CE5D9A">
        <w:rPr>
          <w:rFonts w:ascii="Times New Roman" w:hAnsi="Times New Roman"/>
        </w:rPr>
        <w:t>Przedmieście, zespół dworski z </w:t>
      </w:r>
      <w:r w:rsidRPr="00CE5D9A">
        <w:rPr>
          <w:rFonts w:ascii="Times New Roman" w:hAnsi="Times New Roman"/>
        </w:rPr>
        <w:t>XVIII–XX w. (kapliczka, park, obora) w Osieczanach, drewniany kościół</w:t>
      </w:r>
      <w:r w:rsidR="003F6DAE" w:rsidRPr="00CE5D9A">
        <w:rPr>
          <w:rFonts w:ascii="Times New Roman" w:hAnsi="Times New Roman"/>
        </w:rPr>
        <w:t xml:space="preserve"> parafialny pw. św. Klemensa z </w:t>
      </w:r>
      <w:r w:rsidRPr="00CE5D9A">
        <w:rPr>
          <w:rFonts w:ascii="Times New Roman" w:hAnsi="Times New Roman"/>
        </w:rPr>
        <w:t xml:space="preserve">1780 r. w Trzemeśni; </w:t>
      </w:r>
    </w:p>
    <w:p w14:paraId="747C27D6" w14:textId="77777777" w:rsidR="00686DFE" w:rsidRPr="00CE5D9A" w:rsidRDefault="00686DFE">
      <w:pPr>
        <w:pStyle w:val="Akapitzlist"/>
        <w:numPr>
          <w:ilvl w:val="0"/>
          <w:numId w:val="18"/>
        </w:numPr>
        <w:shd w:val="clear" w:color="auto" w:fill="FFFFFF"/>
        <w:spacing w:after="0" w:line="276" w:lineRule="auto"/>
        <w:jc w:val="both"/>
        <w:rPr>
          <w:rFonts w:ascii="Times New Roman" w:hAnsi="Times New Roman"/>
        </w:rPr>
      </w:pPr>
      <w:r w:rsidRPr="00CE5D9A">
        <w:rPr>
          <w:rFonts w:ascii="Times New Roman" w:hAnsi="Times New Roman"/>
        </w:rPr>
        <w:t>Gmina Pcim: kościół parafialny pw. MB Królowej Polski z 1908 r. w miejscowości Stróża, kościół parafialny pw. św. Marii Magdaleny z 1799 r. w Trzebuni;</w:t>
      </w:r>
    </w:p>
    <w:p w14:paraId="5A113261" w14:textId="77777777" w:rsidR="00686DFE" w:rsidRPr="00CE5D9A" w:rsidRDefault="00686DFE">
      <w:pPr>
        <w:pStyle w:val="Akapitzlist"/>
        <w:numPr>
          <w:ilvl w:val="0"/>
          <w:numId w:val="18"/>
        </w:numPr>
        <w:shd w:val="clear" w:color="auto" w:fill="FFFFFF"/>
        <w:spacing w:after="0" w:line="276" w:lineRule="auto"/>
        <w:jc w:val="both"/>
        <w:rPr>
          <w:rFonts w:ascii="Times New Roman" w:hAnsi="Times New Roman"/>
        </w:rPr>
      </w:pPr>
      <w:r w:rsidRPr="00CE5D9A">
        <w:rPr>
          <w:rFonts w:ascii="Times New Roman" w:hAnsi="Times New Roman"/>
        </w:rPr>
        <w:t>Gmina Raciechowice: zespół dworski z połowy XIX w. (dwór, drewniany spichrz, park) w Bojańczycach, zespół dworski z drugiej połowy XIX w. (dwór, spichrz, stajnia, ogród) w Czasławiu, drewniany kościół parafialny pw. Rozesłania Apostołów z XVI w. z drewnianym ogrodzeniem</w:t>
      </w:r>
      <w:r w:rsidR="003F6DAE" w:rsidRPr="00CE5D9A">
        <w:rPr>
          <w:rFonts w:ascii="Times New Roman" w:hAnsi="Times New Roman"/>
        </w:rPr>
        <w:t xml:space="preserve"> w Gruszowie, zespół dworski z </w:t>
      </w:r>
      <w:r w:rsidRPr="00CE5D9A">
        <w:rPr>
          <w:rFonts w:ascii="Times New Roman" w:hAnsi="Times New Roman"/>
        </w:rPr>
        <w:t>XVIII–XIX w. (dwór, spichrz, park) w Komornikach, zespół pustelni św. Benedykta z drugiej połowy XIX w. (drewniana kaplica pw. św. Benedykta, dom pustelnika, przydrożna kapliczka z obrazem MB Częstochowskiej) w miejscowości Krzesławice-Podkamień, drewniany kości</w:t>
      </w:r>
      <w:r w:rsidR="003F6DAE" w:rsidRPr="00CE5D9A">
        <w:rPr>
          <w:rFonts w:ascii="Times New Roman" w:hAnsi="Times New Roman"/>
        </w:rPr>
        <w:t>ół parafialny pw. św. Jakuba z </w:t>
      </w:r>
      <w:r w:rsidRPr="00CE5D9A">
        <w:rPr>
          <w:rFonts w:ascii="Times New Roman" w:hAnsi="Times New Roman"/>
        </w:rPr>
        <w:t>1720 r. (z drewnianą dzwonnicą z XIX w.) w Raciechowicach, zespół dworski z XVIII w. (dwór, park, spichrz) w Raciechowicach, park dworski z XVIII–XIX w. w Żerosławicach, drewniana kapliczka św. Jana Nepomucena z XX w. w Żerosławicach;</w:t>
      </w:r>
    </w:p>
    <w:bookmarkEnd w:id="110"/>
    <w:p w14:paraId="60C693F8" w14:textId="77777777" w:rsidR="003F6DAE" w:rsidRPr="00CE5D9A" w:rsidRDefault="003F6DAE" w:rsidP="003F6DAE">
      <w:pPr>
        <w:pStyle w:val="Akapitzlist"/>
        <w:numPr>
          <w:ilvl w:val="0"/>
          <w:numId w:val="18"/>
        </w:numPr>
        <w:shd w:val="clear" w:color="auto" w:fill="FFFFFF"/>
        <w:spacing w:before="240" w:after="0" w:line="276" w:lineRule="auto"/>
        <w:jc w:val="both"/>
        <w:rPr>
          <w:rFonts w:ascii="Times New Roman" w:hAnsi="Times New Roman"/>
        </w:rPr>
      </w:pPr>
      <w:r w:rsidRPr="00CE5D9A">
        <w:rPr>
          <w:rFonts w:ascii="Times New Roman" w:hAnsi="Times New Roman"/>
        </w:rPr>
        <w:t xml:space="preserve">Gmina Siepraw: kapliczka przydrożna z figurą św. Floriana w Czechówce, kościół pomocniczy pw. św. Marcina w Sieprawiu, zespół kościoła pw. św. Michała Archanioła </w:t>
      </w:r>
      <w:r w:rsidR="007C41DE" w:rsidRPr="00CE5D9A">
        <w:rPr>
          <w:rFonts w:ascii="Times New Roman" w:hAnsi="Times New Roman"/>
        </w:rPr>
        <w:t xml:space="preserve">(kościół, cmentarz przykościelny, ogrodzenie) </w:t>
      </w:r>
      <w:r w:rsidRPr="00CE5D9A">
        <w:rPr>
          <w:rFonts w:ascii="Times New Roman" w:hAnsi="Times New Roman"/>
        </w:rPr>
        <w:t xml:space="preserve">w Sieprawiu, kościół par. pw. Wszystkich Świętych w Zakliczynie, kapliczka przydrożna w Zakliczynie, kapliczka przydrożna z płaskorzeźbą „Ukoronowanie NMP” w Zakliczynie, kapliczka przydrożna z figurą Matki Boskiej Niepokalanie Poczętej w Zakliczynie, kapliczka przydrożna z figurą Matki Boskiej Różańcowej w Zakliczynie, zespół dworski </w:t>
      </w:r>
      <w:r w:rsidR="007C41DE" w:rsidRPr="00CE5D9A">
        <w:rPr>
          <w:rFonts w:ascii="Times New Roman" w:hAnsi="Times New Roman"/>
        </w:rPr>
        <w:t xml:space="preserve">(dwór, park, stodoła, stajnia) </w:t>
      </w:r>
      <w:r w:rsidRPr="00CE5D9A">
        <w:rPr>
          <w:rFonts w:ascii="Times New Roman" w:hAnsi="Times New Roman"/>
        </w:rPr>
        <w:t>w Zakliczynie</w:t>
      </w:r>
      <w:r w:rsidR="007C41DE" w:rsidRPr="00CE5D9A">
        <w:rPr>
          <w:rFonts w:ascii="Times New Roman" w:hAnsi="Times New Roman"/>
        </w:rPr>
        <w:t>;</w:t>
      </w:r>
    </w:p>
    <w:p w14:paraId="3D277E0A" w14:textId="77777777" w:rsidR="00686DFE" w:rsidRPr="00CE5D9A" w:rsidRDefault="00686DFE">
      <w:pPr>
        <w:pStyle w:val="Akapitzlist"/>
        <w:numPr>
          <w:ilvl w:val="0"/>
          <w:numId w:val="18"/>
        </w:numPr>
        <w:shd w:val="clear" w:color="auto" w:fill="FFFFFF"/>
        <w:spacing w:before="240" w:after="0" w:line="276" w:lineRule="auto"/>
        <w:jc w:val="both"/>
        <w:rPr>
          <w:rFonts w:ascii="Times New Roman" w:hAnsi="Times New Roman"/>
        </w:rPr>
      </w:pPr>
      <w:r w:rsidRPr="00CE5D9A">
        <w:rPr>
          <w:rFonts w:ascii="Times New Roman" w:hAnsi="Times New Roman"/>
        </w:rPr>
        <w:t>Gmina Sułkowice: kościół pw. Imienia NPM i św. Michała z 1828 r. w Harbutowicach, zespół kościoła parafialnego pw. Świętej Trójcy z XIX–XX w. (kościół, plebania, drewniana stodoła przy plebani, cmentarz, kaplica cmentarna) w Krzywaczce, zespół dworski z XIX w. (dwór, park) w Krzywaczce, zespół dawnego zajazdu z 1817 r. (zajazd, wozownia, stajnia, ogrodzenia z bramami) w Krzywaczce, kościół filialny pw. św. Zofii z 1825 r. w Sułkowicach;</w:t>
      </w:r>
    </w:p>
    <w:p w14:paraId="2F1B2385" w14:textId="77777777" w:rsidR="00686DFE" w:rsidRPr="00CE5D9A" w:rsidRDefault="00686DFE">
      <w:pPr>
        <w:pStyle w:val="Akapitzlist"/>
        <w:numPr>
          <w:ilvl w:val="0"/>
          <w:numId w:val="18"/>
        </w:numPr>
        <w:shd w:val="clear" w:color="auto" w:fill="FFFFFF"/>
        <w:spacing w:before="240" w:after="0" w:line="276" w:lineRule="auto"/>
        <w:jc w:val="both"/>
        <w:rPr>
          <w:rFonts w:ascii="Times New Roman" w:hAnsi="Times New Roman"/>
        </w:rPr>
      </w:pPr>
      <w:r w:rsidRPr="00CE5D9A">
        <w:rPr>
          <w:rFonts w:ascii="Times New Roman" w:hAnsi="Times New Roman"/>
        </w:rPr>
        <w:lastRenderedPageBreak/>
        <w:t>Gmina Tokarnia: zespół dworski z XVIII–XIX w. (dwór, park, drewniana kaplica) w miejscowości Skomielna Czarna, część dawnego parku dworskiego z XVIII–XIX w. w Tokarni;</w:t>
      </w:r>
    </w:p>
    <w:p w14:paraId="3F2E6FA5" w14:textId="77777777" w:rsidR="00686DFE" w:rsidRPr="00CE5D9A" w:rsidRDefault="00686DFE">
      <w:pPr>
        <w:pStyle w:val="Akapitzlist"/>
        <w:numPr>
          <w:ilvl w:val="0"/>
          <w:numId w:val="18"/>
        </w:numPr>
        <w:shd w:val="clear" w:color="auto" w:fill="FFFFFF"/>
        <w:spacing w:before="240" w:line="276" w:lineRule="auto"/>
        <w:jc w:val="both"/>
        <w:rPr>
          <w:rFonts w:ascii="Times New Roman" w:hAnsi="Times New Roman"/>
        </w:rPr>
      </w:pPr>
      <w:r w:rsidRPr="00CE5D9A">
        <w:rPr>
          <w:rFonts w:ascii="Times New Roman" w:hAnsi="Times New Roman"/>
        </w:rPr>
        <w:t xml:space="preserve">Gmina Wiśniowa: drewniany kościół parafialny pw. św. Marcina z 1730 r. (z drewnianą dzwonnicą) </w:t>
      </w:r>
      <w:r w:rsidRPr="00CE5D9A">
        <w:rPr>
          <w:rFonts w:ascii="Times New Roman" w:hAnsi="Times New Roman"/>
        </w:rPr>
        <w:br/>
        <w:t xml:space="preserve">w Wiśniowej, drewniana bożnica (obecnie remiza) z XX w. w Wiśniowej, cmentarz wojenny nr 373 z I wojny światowej (1916 r.) w Wiśniowej, cmentarz wojenny nr 374 z I wojny światowej (1915 r.) z kaplicą </w:t>
      </w:r>
      <w:r w:rsidRPr="00CE5D9A">
        <w:rPr>
          <w:rFonts w:ascii="Times New Roman" w:hAnsi="Times New Roman"/>
        </w:rPr>
        <w:br/>
        <w:t xml:space="preserve">i ogrodzeniem w Wiśniowej, dom nr 17 z XIX–XX w. w Wiśniowej. </w:t>
      </w:r>
    </w:p>
    <w:p w14:paraId="737DEDF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Oprócz wymienionych wyżej obiektów kultury i dziedzictwa regionu myślenickiego, na terenie gmin obszaru funkcjonują podmioty tworzące bazę dla rozwoju turystyki i stanowią one bazę rozwoju tego obszaru. Są to m.in. Obserwatorium Astronomiczne im. Tadeusza Banachiewicza na górze Lubomir w Węglówce (Gmina Wiśniowa), Muzeum Niepodległości w Myślenicach (Gmina Myślenice), Kalwaria Tokarska </w:t>
      </w:r>
      <w:r w:rsidRPr="00CE5D9A">
        <w:rPr>
          <w:rFonts w:ascii="Times New Roman" w:hAnsi="Times New Roman"/>
        </w:rPr>
        <w:softHyphen/>
        <w:t xml:space="preserve">– zespół rzeźb plenerowych na północnym zboczu Urbaniej Góry (Gmina Tokarnia), </w:t>
      </w:r>
      <w:r w:rsidR="00A10A0B" w:rsidRPr="00CE5D9A">
        <w:rPr>
          <w:rFonts w:ascii="Times New Roman" w:hAnsi="Times New Roman"/>
        </w:rPr>
        <w:t xml:space="preserve">Sanktuarium bl. Anieli Salawy w Sieprawiu (Gmina Siepraw), </w:t>
      </w:r>
      <w:r w:rsidRPr="00CE5D9A">
        <w:rPr>
          <w:rFonts w:ascii="Times New Roman" w:hAnsi="Times New Roman"/>
        </w:rPr>
        <w:t>Centrum Sportu i Rekreacji w Myślenicach (Gmina Myślenice), C</w:t>
      </w:r>
      <w:r w:rsidR="00A10A0B" w:rsidRPr="00CE5D9A">
        <w:rPr>
          <w:rFonts w:ascii="Times New Roman" w:hAnsi="Times New Roman"/>
        </w:rPr>
        <w:t>entrum Wodne „Aquarius” w </w:t>
      </w:r>
      <w:r w:rsidRPr="00CE5D9A">
        <w:rPr>
          <w:rFonts w:ascii="Times New Roman" w:hAnsi="Times New Roman"/>
        </w:rPr>
        <w:t>Myślenicach (Gmina Myślenice), zalew w Kompleksie Rekreacyjno-Sportowym „Gościbia” w Sułkowicach. Ważnymi elementami infrastruktury turystycznej są także: odkryty basen letni w Myślenicach, jednoosobowa kolej liniowa wraz z wyciągiem krzesełkowym prowadząca na górę Chełm (Gmina Myślenice), schroniska turystyczne, korty tenisowe na Zarabiu w Myślenicach, hale i sale sportowe, a także boiska sportowe ze sztuczną nawierzchnią, liczne szlaki turystyczne oraz terenowe szlaki rowerowe i ścieżki turystyczne, gospodarstwa turystyczne, ośrodki jazdy konnej.</w:t>
      </w:r>
    </w:p>
    <w:p w14:paraId="411F4BEA" w14:textId="77777777" w:rsidR="00686DFE" w:rsidRPr="00CE5D9A" w:rsidRDefault="00686DFE">
      <w:pPr>
        <w:shd w:val="clear" w:color="auto" w:fill="FFFFFF"/>
        <w:spacing w:after="0" w:line="276" w:lineRule="auto"/>
        <w:ind w:firstLine="709"/>
        <w:jc w:val="both"/>
        <w:rPr>
          <w:rStyle w:val="Pogrubienie"/>
          <w:rFonts w:ascii="Times New Roman" w:hAnsi="Times New Roman"/>
          <w:b w:val="0"/>
          <w:bCs w:val="0"/>
        </w:rPr>
      </w:pPr>
      <w:r w:rsidRPr="00CE5D9A">
        <w:rPr>
          <w:rStyle w:val="Pogrubienie"/>
          <w:rFonts w:ascii="Times New Roman" w:hAnsi="Times New Roman"/>
          <w:b w:val="0"/>
          <w:bCs w:val="0"/>
        </w:rPr>
        <w:t xml:space="preserve">Ze względu na położenie, na obszarze LGD możliwe jest również aktywne spędzanie czasu i uprawianie sportów zimowych. Na terenie gmin obszaru funkcjonuje: </w:t>
      </w:r>
    </w:p>
    <w:p w14:paraId="68B01D8E" w14:textId="77777777" w:rsidR="00686DFE" w:rsidRPr="00CE5D9A" w:rsidRDefault="00686DFE">
      <w:pPr>
        <w:pStyle w:val="Akapitzlist"/>
        <w:numPr>
          <w:ilvl w:val="0"/>
          <w:numId w:val="19"/>
        </w:numPr>
        <w:shd w:val="clear" w:color="auto" w:fill="FFFFFF"/>
        <w:spacing w:after="0" w:line="276" w:lineRule="auto"/>
        <w:ind w:left="851" w:hanging="284"/>
        <w:jc w:val="both"/>
        <w:rPr>
          <w:rStyle w:val="Pogrubienie"/>
          <w:rFonts w:ascii="Times New Roman" w:hAnsi="Times New Roman"/>
          <w:b w:val="0"/>
          <w:bCs w:val="0"/>
        </w:rPr>
      </w:pPr>
      <w:r w:rsidRPr="00CE5D9A">
        <w:rPr>
          <w:rStyle w:val="Pogrubienie"/>
          <w:rFonts w:ascii="Times New Roman" w:hAnsi="Times New Roman"/>
          <w:b w:val="0"/>
          <w:bCs w:val="0"/>
        </w:rPr>
        <w:t xml:space="preserve">stacja narciarska </w:t>
      </w:r>
      <w:r w:rsidRPr="00CE5D9A">
        <w:rPr>
          <w:rStyle w:val="Pogrubienie"/>
          <w:rFonts w:ascii="Times New Roman" w:hAnsi="Times New Roman"/>
          <w:b w:val="0"/>
          <w:bCs w:val="0"/>
          <w:sz w:val="21"/>
          <w:szCs w:val="21"/>
        </w:rPr>
        <w:t>S</w:t>
      </w:r>
      <w:r w:rsidRPr="00CE5D9A">
        <w:rPr>
          <w:rStyle w:val="Pogrubienie"/>
          <w:rFonts w:ascii="Times New Roman" w:hAnsi="Times New Roman"/>
          <w:b w:val="0"/>
          <w:bCs w:val="0"/>
        </w:rPr>
        <w:t>zklana Góra Ski – powstała w położonej zaledwie 25 km od Krakowa miejscowości Harbutowice (Gmina Sułkowice). Ulokowana na północno-zachodnim stoku Szklanej Góry, charakteryzuje się łagodnym nachyleniem</w:t>
      </w:r>
      <w:r w:rsidRPr="00CE5D9A">
        <w:rPr>
          <w:rStyle w:val="Odwoanieprzypisudolnego"/>
          <w:rFonts w:ascii="Times New Roman" w:hAnsi="Times New Roman"/>
          <w:b/>
          <w:bCs/>
        </w:rPr>
        <w:footnoteReference w:id="30"/>
      </w:r>
      <w:r w:rsidRPr="00CE5D9A">
        <w:rPr>
          <w:rStyle w:val="Pogrubienie"/>
          <w:rFonts w:ascii="Times New Roman" w:hAnsi="Times New Roman"/>
          <w:b w:val="0"/>
          <w:bCs w:val="0"/>
        </w:rPr>
        <w:t>;</w:t>
      </w:r>
    </w:p>
    <w:p w14:paraId="476AD0B7" w14:textId="77777777" w:rsidR="00686DFE" w:rsidRPr="00CE5D9A" w:rsidRDefault="00686DFE">
      <w:pPr>
        <w:pStyle w:val="Akapitzlist"/>
        <w:numPr>
          <w:ilvl w:val="0"/>
          <w:numId w:val="19"/>
        </w:numPr>
        <w:shd w:val="clear" w:color="auto" w:fill="FFFFFF"/>
        <w:spacing w:before="240" w:after="0" w:line="276" w:lineRule="auto"/>
        <w:ind w:left="851" w:hanging="284"/>
        <w:jc w:val="both"/>
        <w:rPr>
          <w:rFonts w:ascii="Times New Roman" w:hAnsi="Times New Roman"/>
        </w:rPr>
      </w:pPr>
      <w:r w:rsidRPr="00CE5D9A">
        <w:rPr>
          <w:rStyle w:val="Pogrubienie"/>
          <w:rFonts w:ascii="Times New Roman" w:hAnsi="Times New Roman"/>
          <w:b w:val="0"/>
          <w:bCs w:val="0"/>
        </w:rPr>
        <w:t>stacja narciarska „Myślenice Sport Arena”</w:t>
      </w:r>
      <w:r w:rsidRPr="00CE5D9A">
        <w:rPr>
          <w:rStyle w:val="Pogrubienie"/>
          <w:rFonts w:ascii="Times New Roman" w:hAnsi="Times New Roman"/>
        </w:rPr>
        <w:t xml:space="preserve"> – </w:t>
      </w:r>
      <w:r w:rsidRPr="00CE5D9A">
        <w:rPr>
          <w:rFonts w:ascii="Times New Roman" w:hAnsi="Times New Roman"/>
        </w:rPr>
        <w:t>położona w Beskidzie Wyspowym na górze Chełm (654 m n.p.m.). Posiada 2 trasy narciarskie o długości 855 m i 1100 m. Jedna z nich posiada homologację FIS, obie trasy są oświetlone, naśnieżane oraz ratrakowane. Przy stacji znajduje się 4-osobowa kolej krzesełkowa o długości 770 m, z której korzystają narciarze, a także osoby chcące skorzystać z Karczmy na Górze Chełm oraz podziwiać piękne widoki na Myślenice. Na szczycie Góry Chełm przy trasie Czerwonej znajduje się wyciąg talerzykowy dla początkujących narciarzy, o długości 150 m;</w:t>
      </w:r>
    </w:p>
    <w:p w14:paraId="67D5C72F" w14:textId="77777777" w:rsidR="007C41DE" w:rsidRPr="00CE5D9A" w:rsidRDefault="007C41DE" w:rsidP="00A10A0B">
      <w:pPr>
        <w:pStyle w:val="Akapitzlist"/>
        <w:numPr>
          <w:ilvl w:val="0"/>
          <w:numId w:val="19"/>
        </w:numPr>
        <w:shd w:val="clear" w:color="auto" w:fill="FFFFFF"/>
        <w:spacing w:before="240" w:after="0" w:line="276" w:lineRule="auto"/>
        <w:ind w:left="851" w:hanging="284"/>
        <w:jc w:val="both"/>
        <w:rPr>
          <w:rFonts w:ascii="Times New Roman" w:hAnsi="Times New Roman"/>
        </w:rPr>
      </w:pPr>
      <w:r w:rsidRPr="00CE5D9A">
        <w:rPr>
          <w:rFonts w:ascii="Times New Roman" w:hAnsi="Times New Roman"/>
        </w:rPr>
        <w:t xml:space="preserve">stacja narciarska „Siepraw-Ski” w Kawęcinach – położna w Gminie Siepraw, posiada </w:t>
      </w:r>
      <w:r w:rsidR="00A10A0B" w:rsidRPr="00CE5D9A">
        <w:rPr>
          <w:rFonts w:ascii="Times New Roman" w:hAnsi="Times New Roman"/>
        </w:rPr>
        <w:t>cztery wyciągi orczykowe oraz wyciąg taśmowy. Cztery trasy narciarskie, o długościach odpowiednich do długości wyciągów.</w:t>
      </w:r>
    </w:p>
    <w:p w14:paraId="0F473397" w14:textId="77777777" w:rsidR="00686DFE" w:rsidRPr="00CE5D9A" w:rsidRDefault="00686DFE">
      <w:pPr>
        <w:pStyle w:val="Akapitzlist"/>
        <w:numPr>
          <w:ilvl w:val="0"/>
          <w:numId w:val="19"/>
        </w:numPr>
        <w:shd w:val="clear" w:color="auto" w:fill="FFFFFF"/>
        <w:spacing w:before="240" w:after="0" w:line="276" w:lineRule="auto"/>
        <w:ind w:left="851" w:hanging="284"/>
        <w:jc w:val="both"/>
        <w:rPr>
          <w:rFonts w:ascii="Times New Roman" w:hAnsi="Times New Roman"/>
        </w:rPr>
      </w:pPr>
      <w:r w:rsidRPr="00CE5D9A">
        <w:rPr>
          <w:rFonts w:ascii="Times New Roman" w:hAnsi="Times New Roman"/>
        </w:rPr>
        <w:t>stacja narciarska „Skomielna Czarna Ski” – położona w Gminie Tokarnia, posiada dwa wyciągi: orczykowy o długości 700 metrów i dla początkujących – o długości 100 metrów. Dysponuje oświetlonymi trasami, co umożliwia jazdę wieczorną;</w:t>
      </w:r>
    </w:p>
    <w:p w14:paraId="3992CF58" w14:textId="77777777" w:rsidR="00686DFE" w:rsidRPr="00CE5D9A" w:rsidRDefault="00686DFE">
      <w:pPr>
        <w:pStyle w:val="Akapitzlist"/>
        <w:numPr>
          <w:ilvl w:val="0"/>
          <w:numId w:val="19"/>
        </w:numPr>
        <w:shd w:val="clear" w:color="auto" w:fill="FFFFFF"/>
        <w:spacing w:before="240" w:after="0" w:line="276" w:lineRule="auto"/>
        <w:ind w:left="851" w:hanging="284"/>
        <w:jc w:val="both"/>
        <w:rPr>
          <w:rFonts w:ascii="Times New Roman" w:hAnsi="Times New Roman"/>
        </w:rPr>
      </w:pPr>
      <w:r w:rsidRPr="00CE5D9A">
        <w:rPr>
          <w:rFonts w:ascii="Times New Roman" w:hAnsi="Times New Roman"/>
        </w:rPr>
        <w:t>szkoła narciarka dla osób chętnych do nauki jazdy oraz Kryte Lodowisko „Zarabie”, które jest czynne od listopada do marca (Gmina Myślenice)</w:t>
      </w:r>
      <w:r w:rsidRPr="00CE5D9A">
        <w:rPr>
          <w:rStyle w:val="Odwoanieprzypisudolnego"/>
          <w:rFonts w:ascii="Times New Roman" w:hAnsi="Times New Roman"/>
        </w:rPr>
        <w:footnoteReference w:id="31"/>
      </w:r>
      <w:r w:rsidRPr="00CE5D9A">
        <w:rPr>
          <w:rFonts w:ascii="Times New Roman" w:hAnsi="Times New Roman"/>
        </w:rPr>
        <w:t>;</w:t>
      </w:r>
    </w:p>
    <w:p w14:paraId="5029323E" w14:textId="77777777" w:rsidR="00686DFE" w:rsidRPr="00CE5D9A" w:rsidRDefault="00686DFE">
      <w:pPr>
        <w:pStyle w:val="Akapitzlist"/>
        <w:numPr>
          <w:ilvl w:val="0"/>
          <w:numId w:val="19"/>
        </w:numPr>
        <w:shd w:val="clear" w:color="auto" w:fill="FFFFFF"/>
        <w:spacing w:before="240" w:line="276" w:lineRule="auto"/>
        <w:ind w:left="851" w:hanging="284"/>
        <w:jc w:val="both"/>
        <w:rPr>
          <w:rFonts w:ascii="Times New Roman" w:hAnsi="Times New Roman"/>
        </w:rPr>
      </w:pPr>
      <w:r w:rsidRPr="00CE5D9A">
        <w:rPr>
          <w:rFonts w:ascii="Times New Roman" w:hAnsi="Times New Roman"/>
        </w:rPr>
        <w:t>trasy zjazdowe typu downhill zlokalizowane na górze Chełm (Gmina Myślenice).</w:t>
      </w:r>
    </w:p>
    <w:p w14:paraId="5779551B" w14:textId="77777777" w:rsidR="00686DFE" w:rsidRPr="00CE5D9A" w:rsidRDefault="00686DFE">
      <w:pPr>
        <w:spacing w:after="0" w:line="276" w:lineRule="auto"/>
        <w:ind w:firstLine="708"/>
        <w:jc w:val="both"/>
        <w:rPr>
          <w:rFonts w:ascii="Times New Roman" w:hAnsi="Times New Roman"/>
        </w:rPr>
      </w:pPr>
      <w:r w:rsidRPr="00CE5D9A">
        <w:rPr>
          <w:rStyle w:val="Pogrubienie"/>
          <w:rFonts w:ascii="Times New Roman" w:hAnsi="Times New Roman"/>
          <w:b w:val="0"/>
          <w:bCs w:val="0"/>
          <w:shd w:val="clear" w:color="auto" w:fill="FFFFFF"/>
        </w:rPr>
        <w:t>Bardzo ważna dla obszaru LGD jest kultura ludowa, która charakteryzuje się dużą oryginalnością, na co wpływ miała wspólna historia. Specyfiką obszaru jest to, że występuje bardzo mocne przywiązanie do tradycji, które przetrwały i są nadal kultywowane. Charakterystycznym elementem dla obszaru LGD jest kowalstwo, kamieniarstwo, bednarstwo.</w:t>
      </w:r>
      <w:r w:rsidRPr="00CE5D9A">
        <w:rPr>
          <w:rStyle w:val="Pogrubienie"/>
          <w:rFonts w:ascii="Times New Roman" w:hAnsi="Times New Roman"/>
          <w:shd w:val="clear" w:color="auto" w:fill="FFFFFF"/>
        </w:rPr>
        <w:t xml:space="preserve"> </w:t>
      </w:r>
      <w:r w:rsidRPr="00CE5D9A">
        <w:rPr>
          <w:rFonts w:ascii="Times New Roman" w:hAnsi="Times New Roman"/>
        </w:rPr>
        <w:t>Silne poczucie tożsamości lokalnej i regionalnej obszaru LGD pozwala na kultywowanie tradycji oraz rozwój sztuki ludowej. Tradycyjne rzemiosła, zawody, specjalizacje, specyficzne umiejętności są przekazywane z pokolenia na pokolenie i sztuka ludowa na tych terenach wciąż się rozwija. Bardzo ważnym elementem dla zamieszkującej obszar LGD ludności jest muzyka i folklor na niej oparty.</w:t>
      </w:r>
    </w:p>
    <w:p w14:paraId="64C2CBD1"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Wyniki z ankiet wskazują, iż zdaniem mieszkańców: </w:t>
      </w:r>
      <w:r w:rsidRPr="00CE5D9A">
        <w:rPr>
          <w:rFonts w:ascii="Times New Roman" w:hAnsi="Times New Roman"/>
          <w:iCs/>
        </w:rPr>
        <w:t>„</w:t>
      </w:r>
      <w:r w:rsidRPr="00CE5D9A">
        <w:rPr>
          <w:rFonts w:ascii="Times New Roman" w:hAnsi="Times New Roman"/>
        </w:rPr>
        <w:t xml:space="preserve">wzrost świadomości obywatelskiej, w tym poczucia tożsamości i identyfikacji z miejscem zamieszkania” (43% odpowiedzi) jest jedną z największych szans dla </w:t>
      </w:r>
      <w:r w:rsidRPr="00CE5D9A">
        <w:rPr>
          <w:rFonts w:ascii="Times New Roman" w:hAnsi="Times New Roman"/>
        </w:rPr>
        <w:lastRenderedPageBreak/>
        <w:t>rozwoju regionu</w:t>
      </w:r>
      <w:bookmarkStart w:id="111" w:name="_Hlk134963596"/>
      <w:r w:rsidRPr="00CE5D9A">
        <w:rPr>
          <w:rFonts w:ascii="Times New Roman" w:hAnsi="Times New Roman"/>
        </w:rPr>
        <w:t xml:space="preserve">. Ponadto w badaniu ankietowym dotyczącym wskazania wyróżników obszaru, najczęściej wymieniano lokalną tradycję, dziedzictwo kulturowe, zabytki oraz tradycyjne kowalstwo sułkowickie. Najistotniejszym produktem wdrażania LSR powinny być działania dające możliwości zagospodarowania czasu wolnego mieszkańców przy wykorzystaniu posiadanych potencjałów. </w:t>
      </w:r>
      <w:bookmarkStart w:id="112" w:name="_Hlk134963566"/>
      <w:r w:rsidRPr="00CE5D9A">
        <w:rPr>
          <w:rFonts w:ascii="Times New Roman" w:hAnsi="Times New Roman"/>
        </w:rPr>
        <w:t xml:space="preserve">Stanowią one fundament do rozwoju mentalnego lokalnej społeczności i turystów, kultywowania tradycji i korzystania z kultury. Kluczowe będzie zapewnienie mieszkańcom szerokiego dostępu do kultury – udział w kulturze to nie jedynie rozrywka i rekreacja, ale także ważny element budowania lokalnych tożsamości oraz kapitału społecznego. Efektem podejmowanych działań będzie zwiększenie integracji międzypokoleniowej oraz rozszerzenie oferty kulturalnej </w:t>
      </w:r>
      <w:bookmarkEnd w:id="112"/>
      <w:r w:rsidRPr="00CE5D9A">
        <w:rPr>
          <w:rFonts w:ascii="Times New Roman" w:hAnsi="Times New Roman"/>
        </w:rPr>
        <w:t>na obszarze</w:t>
      </w:r>
      <w:bookmarkEnd w:id="111"/>
      <w:r w:rsidRPr="00CE5D9A">
        <w:rPr>
          <w:rFonts w:ascii="Times New Roman" w:hAnsi="Times New Roman"/>
        </w:rPr>
        <w:t xml:space="preserve">. </w:t>
      </w:r>
    </w:p>
    <w:p w14:paraId="6C3F9DAA" w14:textId="77777777" w:rsidR="00686DFE" w:rsidRPr="00CE5D9A" w:rsidRDefault="00686DFE">
      <w:pPr>
        <w:pStyle w:val="Akapitzlist"/>
        <w:numPr>
          <w:ilvl w:val="1"/>
          <w:numId w:val="15"/>
        </w:numPr>
        <w:ind w:left="1701" w:hanging="567"/>
        <w:rPr>
          <w:rFonts w:ascii="Times New Roman" w:hAnsi="Times New Roman"/>
          <w:b/>
          <w:bCs/>
        </w:rPr>
      </w:pPr>
      <w:r w:rsidRPr="00CE5D9A">
        <w:rPr>
          <w:rFonts w:ascii="Times New Roman" w:hAnsi="Times New Roman"/>
          <w:b/>
          <w:bCs/>
        </w:rPr>
        <w:t>Rolnictwo, rynek rolny</w:t>
      </w:r>
    </w:p>
    <w:p w14:paraId="5F906AD5" w14:textId="67378173" w:rsidR="00686DFE" w:rsidRPr="00CE5D9A" w:rsidRDefault="00686DFE">
      <w:pPr>
        <w:ind w:firstLine="708"/>
        <w:jc w:val="both"/>
        <w:rPr>
          <w:rFonts w:ascii="Times New Roman" w:hAnsi="Times New Roman"/>
        </w:rPr>
      </w:pPr>
      <w:bookmarkStart w:id="113" w:name="_Toc112152409"/>
      <w:r w:rsidRPr="00CE5D9A">
        <w:rPr>
          <w:rFonts w:ascii="Times New Roman" w:hAnsi="Times New Roman"/>
          <w:szCs w:val="20"/>
        </w:rPr>
        <w:t>Spójność obszaru</w:t>
      </w:r>
      <w:r w:rsidR="003D77F1">
        <w:rPr>
          <w:rFonts w:ascii="Times New Roman" w:hAnsi="Times New Roman"/>
          <w:szCs w:val="20"/>
        </w:rPr>
        <w:t xml:space="preserve"> </w:t>
      </w:r>
      <w:r w:rsidR="003D77F1" w:rsidRPr="003D77F1">
        <w:rPr>
          <w:rFonts w:ascii="Times New Roman" w:hAnsi="Times New Roman"/>
          <w:color w:val="FF0000"/>
          <w:szCs w:val="20"/>
        </w:rPr>
        <w:t>LGD Regionu Myślenickiego</w:t>
      </w:r>
      <w:r w:rsidRPr="003D77F1">
        <w:rPr>
          <w:rFonts w:ascii="Times New Roman" w:hAnsi="Times New Roman"/>
          <w:color w:val="FF0000"/>
          <w:szCs w:val="20"/>
        </w:rPr>
        <w:t xml:space="preserve"> </w:t>
      </w:r>
      <w:r w:rsidRPr="003D77F1">
        <w:rPr>
          <w:rFonts w:ascii="Times New Roman" w:hAnsi="Times New Roman"/>
          <w:strike/>
          <w:color w:val="FF0000"/>
          <w:szCs w:val="20"/>
        </w:rPr>
        <w:t>LGD Między Dalinem i Gościbią</w:t>
      </w:r>
      <w:r w:rsidRPr="003D77F1">
        <w:rPr>
          <w:rFonts w:ascii="Times New Roman" w:hAnsi="Times New Roman"/>
          <w:color w:val="FF0000"/>
          <w:szCs w:val="20"/>
        </w:rPr>
        <w:t xml:space="preserve"> </w:t>
      </w:r>
      <w:r w:rsidRPr="00CE5D9A">
        <w:rPr>
          <w:rFonts w:ascii="Times New Roman" w:hAnsi="Times New Roman"/>
          <w:szCs w:val="20"/>
        </w:rPr>
        <w:t xml:space="preserve">pod względem ekonomicznym obrazuje ilość gospodarstw rolnych o podobnej strukturze. </w:t>
      </w:r>
      <w:r w:rsidRPr="00CE5D9A">
        <w:rPr>
          <w:rFonts w:ascii="Times New Roman" w:hAnsi="Times New Roman"/>
        </w:rPr>
        <w:t>Na obszarze tym charakterystyczna jest duża liczba małych gospodarstw, co jest odbiciem typowej struktury wielkościowej gospodarstw na obszarach wiejskich Polski, zwłaszcza terenów położonych na obszarach wyżynnych. W tabeli 15 przedstawiono dane z 2020 r. dotyczące udziału gospodarstw rolnych w powierzchni poszczególnych jednostek ogółem oraz udziały gospodarstw w gospodarstwach rolnych ogółem ze względu na wielkość.</w:t>
      </w:r>
    </w:p>
    <w:p w14:paraId="425F52C2" w14:textId="1C3359C1" w:rsidR="00686DFE" w:rsidRPr="00CE5D9A" w:rsidRDefault="00686DFE">
      <w:pPr>
        <w:pStyle w:val="Legenda"/>
        <w:spacing w:after="0"/>
        <w:jc w:val="center"/>
        <w:rPr>
          <w:rFonts w:ascii="Times New Roman" w:hAnsi="Times New Roman"/>
          <w:color w:val="auto"/>
        </w:rPr>
      </w:pPr>
      <w:bookmarkStart w:id="114" w:name="_Toc194581439"/>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15</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Struktura gospodarstw rolnych w poszczególnych gminach LGD oraz porównanie średniej obszaru LGD do województwa i kraju w 2020 r.</w:t>
      </w:r>
      <w:bookmarkEnd w:id="113"/>
      <w:bookmarkEnd w:id="114"/>
    </w:p>
    <w:tbl>
      <w:tblPr>
        <w:tblW w:w="5000" w:type="pct"/>
        <w:tblLayout w:type="fixed"/>
        <w:tblCellMar>
          <w:left w:w="70" w:type="dxa"/>
          <w:right w:w="70" w:type="dxa"/>
        </w:tblCellMar>
        <w:tblLook w:val="0000" w:firstRow="0" w:lastRow="0" w:firstColumn="0" w:lastColumn="0" w:noHBand="0" w:noVBand="0"/>
      </w:tblPr>
      <w:tblGrid>
        <w:gridCol w:w="3049"/>
        <w:gridCol w:w="2123"/>
        <w:gridCol w:w="1293"/>
        <w:gridCol w:w="1293"/>
        <w:gridCol w:w="1293"/>
        <w:gridCol w:w="1293"/>
      </w:tblGrid>
      <w:tr w:rsidR="00686DFE" w:rsidRPr="00CE5D9A" w14:paraId="65868A3D" w14:textId="77777777">
        <w:trPr>
          <w:trHeight w:val="340"/>
        </w:trPr>
        <w:tc>
          <w:tcPr>
            <w:tcW w:w="1474" w:type="pct"/>
            <w:vMerge w:val="restart"/>
            <w:tcBorders>
              <w:top w:val="single" w:sz="4" w:space="0" w:color="auto"/>
              <w:left w:val="single" w:sz="4" w:space="0" w:color="auto"/>
              <w:bottom w:val="single" w:sz="4" w:space="0" w:color="auto"/>
              <w:right w:val="single" w:sz="4" w:space="0" w:color="auto"/>
            </w:tcBorders>
            <w:vAlign w:val="center"/>
          </w:tcPr>
          <w:p w14:paraId="5DF6AD1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026" w:type="pct"/>
            <w:vMerge w:val="restart"/>
            <w:tcBorders>
              <w:top w:val="single" w:sz="4" w:space="0" w:color="auto"/>
              <w:left w:val="single" w:sz="4" w:space="0" w:color="auto"/>
              <w:bottom w:val="single" w:sz="4" w:space="0" w:color="auto"/>
              <w:right w:val="single" w:sz="4" w:space="0" w:color="auto"/>
            </w:tcBorders>
            <w:vAlign w:val="center"/>
          </w:tcPr>
          <w:p w14:paraId="5B5B830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Udział gospodarstw rolnych w powierzchni ogółem</w:t>
            </w:r>
          </w:p>
        </w:tc>
        <w:tc>
          <w:tcPr>
            <w:tcW w:w="2500" w:type="pct"/>
            <w:gridSpan w:val="4"/>
            <w:tcBorders>
              <w:top w:val="single" w:sz="4" w:space="0" w:color="auto"/>
              <w:left w:val="nil"/>
              <w:bottom w:val="single" w:sz="4" w:space="0" w:color="auto"/>
              <w:right w:val="single" w:sz="4" w:space="0" w:color="auto"/>
            </w:tcBorders>
            <w:vAlign w:val="center"/>
          </w:tcPr>
          <w:p w14:paraId="60BD9EE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 xml:space="preserve">Udział gospodarstw w gospodarstwach rolnych </w:t>
            </w:r>
            <w:r w:rsidRPr="00CE5D9A">
              <w:rPr>
                <w:rFonts w:ascii="Times New Roman" w:eastAsia="Times New Roman" w:hAnsi="Times New Roman"/>
                <w:b/>
                <w:bCs/>
                <w:sz w:val="20"/>
                <w:szCs w:val="20"/>
                <w:lang w:eastAsia="pl-PL"/>
              </w:rPr>
              <w:br/>
              <w:t>ogółem ze względu na wielkość</w:t>
            </w:r>
          </w:p>
        </w:tc>
      </w:tr>
      <w:tr w:rsidR="00686DFE" w:rsidRPr="00CE5D9A" w14:paraId="4A7CDC74" w14:textId="77777777">
        <w:trPr>
          <w:trHeight w:val="340"/>
        </w:trPr>
        <w:tc>
          <w:tcPr>
            <w:tcW w:w="1474" w:type="pct"/>
            <w:vMerge/>
            <w:tcBorders>
              <w:top w:val="single" w:sz="4" w:space="0" w:color="auto"/>
              <w:left w:val="single" w:sz="4" w:space="0" w:color="auto"/>
              <w:bottom w:val="single" w:sz="4" w:space="0" w:color="auto"/>
              <w:right w:val="single" w:sz="4" w:space="0" w:color="auto"/>
            </w:tcBorders>
            <w:vAlign w:val="center"/>
          </w:tcPr>
          <w:p w14:paraId="75724370"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1026" w:type="pct"/>
            <w:vMerge/>
            <w:tcBorders>
              <w:top w:val="single" w:sz="4" w:space="0" w:color="auto"/>
              <w:left w:val="single" w:sz="4" w:space="0" w:color="auto"/>
              <w:bottom w:val="single" w:sz="4" w:space="0" w:color="auto"/>
              <w:right w:val="single" w:sz="4" w:space="0" w:color="auto"/>
            </w:tcBorders>
            <w:vAlign w:val="center"/>
          </w:tcPr>
          <w:p w14:paraId="3B921480"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625" w:type="pct"/>
            <w:tcBorders>
              <w:top w:val="nil"/>
              <w:left w:val="nil"/>
              <w:bottom w:val="single" w:sz="4" w:space="0" w:color="auto"/>
              <w:right w:val="single" w:sz="4" w:space="0" w:color="auto"/>
            </w:tcBorders>
            <w:vAlign w:val="center"/>
          </w:tcPr>
          <w:p w14:paraId="6E29533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1–5 ha</w:t>
            </w:r>
          </w:p>
        </w:tc>
        <w:tc>
          <w:tcPr>
            <w:tcW w:w="625" w:type="pct"/>
            <w:tcBorders>
              <w:top w:val="nil"/>
              <w:left w:val="nil"/>
              <w:bottom w:val="single" w:sz="4" w:space="0" w:color="auto"/>
              <w:right w:val="single" w:sz="4" w:space="0" w:color="auto"/>
            </w:tcBorders>
            <w:vAlign w:val="center"/>
          </w:tcPr>
          <w:p w14:paraId="426AEB6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5–10 ha</w:t>
            </w:r>
          </w:p>
        </w:tc>
        <w:tc>
          <w:tcPr>
            <w:tcW w:w="625" w:type="pct"/>
            <w:tcBorders>
              <w:top w:val="nil"/>
              <w:left w:val="nil"/>
              <w:bottom w:val="single" w:sz="4" w:space="0" w:color="auto"/>
              <w:right w:val="single" w:sz="4" w:space="0" w:color="auto"/>
            </w:tcBorders>
            <w:vAlign w:val="center"/>
          </w:tcPr>
          <w:p w14:paraId="1AD4C64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10–15 ha</w:t>
            </w:r>
          </w:p>
        </w:tc>
        <w:tc>
          <w:tcPr>
            <w:tcW w:w="625" w:type="pct"/>
            <w:tcBorders>
              <w:top w:val="nil"/>
              <w:left w:val="nil"/>
              <w:bottom w:val="single" w:sz="4" w:space="0" w:color="auto"/>
              <w:right w:val="single" w:sz="4" w:space="0" w:color="auto"/>
            </w:tcBorders>
            <w:vAlign w:val="center"/>
          </w:tcPr>
          <w:p w14:paraId="6FC743B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15 ha i więcej</w:t>
            </w:r>
          </w:p>
        </w:tc>
      </w:tr>
      <w:tr w:rsidR="00686DFE" w:rsidRPr="00CE5D9A" w14:paraId="48427338" w14:textId="77777777">
        <w:trPr>
          <w:trHeight w:val="340"/>
        </w:trPr>
        <w:tc>
          <w:tcPr>
            <w:tcW w:w="1474" w:type="pct"/>
            <w:tcBorders>
              <w:top w:val="nil"/>
              <w:left w:val="single" w:sz="4" w:space="0" w:color="auto"/>
              <w:bottom w:val="single" w:sz="4" w:space="0" w:color="auto"/>
              <w:right w:val="single" w:sz="4" w:space="0" w:color="auto"/>
            </w:tcBorders>
            <w:vAlign w:val="center"/>
          </w:tcPr>
          <w:p w14:paraId="3322316C" w14:textId="77777777" w:rsidR="00686DFE" w:rsidRPr="00CE5D9A" w:rsidRDefault="00686DFE">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1026" w:type="pct"/>
            <w:tcBorders>
              <w:top w:val="nil"/>
              <w:left w:val="nil"/>
              <w:bottom w:val="single" w:sz="4" w:space="0" w:color="auto"/>
              <w:right w:val="single" w:sz="4" w:space="0" w:color="auto"/>
            </w:tcBorders>
            <w:vAlign w:val="center"/>
          </w:tcPr>
          <w:p w14:paraId="41CEC99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22,5</w:t>
            </w:r>
          </w:p>
        </w:tc>
        <w:tc>
          <w:tcPr>
            <w:tcW w:w="625" w:type="pct"/>
            <w:tcBorders>
              <w:top w:val="nil"/>
              <w:left w:val="nil"/>
              <w:bottom w:val="single" w:sz="4" w:space="0" w:color="auto"/>
              <w:right w:val="single" w:sz="4" w:space="0" w:color="auto"/>
            </w:tcBorders>
            <w:vAlign w:val="center"/>
          </w:tcPr>
          <w:p w14:paraId="35175E2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65,1</w:t>
            </w:r>
          </w:p>
        </w:tc>
        <w:tc>
          <w:tcPr>
            <w:tcW w:w="625" w:type="pct"/>
            <w:tcBorders>
              <w:top w:val="nil"/>
              <w:left w:val="nil"/>
              <w:bottom w:val="single" w:sz="4" w:space="0" w:color="auto"/>
              <w:right w:val="single" w:sz="4" w:space="0" w:color="auto"/>
            </w:tcBorders>
            <w:vAlign w:val="center"/>
          </w:tcPr>
          <w:p w14:paraId="5C84950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14,2</w:t>
            </w:r>
          </w:p>
        </w:tc>
        <w:tc>
          <w:tcPr>
            <w:tcW w:w="625" w:type="pct"/>
            <w:tcBorders>
              <w:top w:val="nil"/>
              <w:left w:val="nil"/>
              <w:bottom w:val="single" w:sz="4" w:space="0" w:color="auto"/>
              <w:right w:val="single" w:sz="4" w:space="0" w:color="auto"/>
            </w:tcBorders>
            <w:vAlign w:val="center"/>
          </w:tcPr>
          <w:p w14:paraId="6556F0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c>
          <w:tcPr>
            <w:tcW w:w="625" w:type="pct"/>
            <w:tcBorders>
              <w:top w:val="nil"/>
              <w:left w:val="nil"/>
              <w:bottom w:val="single" w:sz="4" w:space="0" w:color="auto"/>
              <w:right w:val="single" w:sz="4" w:space="0" w:color="auto"/>
            </w:tcBorders>
            <w:vAlign w:val="center"/>
          </w:tcPr>
          <w:p w14:paraId="53463A9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r>
      <w:tr w:rsidR="00686DFE" w:rsidRPr="00CE5D9A" w14:paraId="7AFEFC26" w14:textId="77777777">
        <w:trPr>
          <w:trHeight w:val="340"/>
        </w:trPr>
        <w:tc>
          <w:tcPr>
            <w:tcW w:w="1474" w:type="pct"/>
            <w:tcBorders>
              <w:top w:val="nil"/>
              <w:left w:val="single" w:sz="4" w:space="0" w:color="auto"/>
              <w:bottom w:val="single" w:sz="4" w:space="0" w:color="auto"/>
              <w:right w:val="single" w:sz="4" w:space="0" w:color="auto"/>
            </w:tcBorders>
            <w:vAlign w:val="center"/>
          </w:tcPr>
          <w:p w14:paraId="384B064F" w14:textId="77777777" w:rsidR="00686DFE" w:rsidRPr="00CE5D9A" w:rsidRDefault="00686DFE">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1026" w:type="pct"/>
            <w:tcBorders>
              <w:top w:val="nil"/>
              <w:left w:val="nil"/>
              <w:bottom w:val="single" w:sz="4" w:space="0" w:color="auto"/>
              <w:right w:val="single" w:sz="4" w:space="0" w:color="auto"/>
            </w:tcBorders>
            <w:vAlign w:val="center"/>
          </w:tcPr>
          <w:p w14:paraId="313DCBC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22,6</w:t>
            </w:r>
          </w:p>
        </w:tc>
        <w:tc>
          <w:tcPr>
            <w:tcW w:w="625" w:type="pct"/>
            <w:tcBorders>
              <w:top w:val="nil"/>
              <w:left w:val="nil"/>
              <w:bottom w:val="single" w:sz="4" w:space="0" w:color="auto"/>
              <w:right w:val="single" w:sz="4" w:space="0" w:color="auto"/>
            </w:tcBorders>
            <w:vAlign w:val="center"/>
          </w:tcPr>
          <w:p w14:paraId="2AC0862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73,7</w:t>
            </w:r>
          </w:p>
        </w:tc>
        <w:tc>
          <w:tcPr>
            <w:tcW w:w="625" w:type="pct"/>
            <w:tcBorders>
              <w:top w:val="nil"/>
              <w:left w:val="nil"/>
              <w:bottom w:val="single" w:sz="4" w:space="0" w:color="auto"/>
              <w:right w:val="single" w:sz="4" w:space="0" w:color="auto"/>
            </w:tcBorders>
            <w:vAlign w:val="center"/>
          </w:tcPr>
          <w:p w14:paraId="36E6C08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7,5</w:t>
            </w:r>
          </w:p>
        </w:tc>
        <w:tc>
          <w:tcPr>
            <w:tcW w:w="625" w:type="pct"/>
            <w:tcBorders>
              <w:top w:val="nil"/>
              <w:left w:val="nil"/>
              <w:bottom w:val="single" w:sz="4" w:space="0" w:color="auto"/>
              <w:right w:val="single" w:sz="4" w:space="0" w:color="auto"/>
            </w:tcBorders>
            <w:vAlign w:val="center"/>
          </w:tcPr>
          <w:p w14:paraId="4D76119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2,4</w:t>
            </w:r>
          </w:p>
        </w:tc>
        <w:tc>
          <w:tcPr>
            <w:tcW w:w="625" w:type="pct"/>
            <w:tcBorders>
              <w:top w:val="nil"/>
              <w:left w:val="nil"/>
              <w:bottom w:val="single" w:sz="4" w:space="0" w:color="auto"/>
              <w:right w:val="single" w:sz="4" w:space="0" w:color="auto"/>
            </w:tcBorders>
            <w:vAlign w:val="center"/>
          </w:tcPr>
          <w:p w14:paraId="458E311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14,9</w:t>
            </w:r>
          </w:p>
        </w:tc>
      </w:tr>
      <w:tr w:rsidR="00686DFE" w:rsidRPr="00CE5D9A" w14:paraId="5E6DF77E" w14:textId="77777777">
        <w:trPr>
          <w:trHeight w:val="340"/>
        </w:trPr>
        <w:tc>
          <w:tcPr>
            <w:tcW w:w="1474" w:type="pct"/>
            <w:tcBorders>
              <w:top w:val="nil"/>
              <w:left w:val="single" w:sz="4" w:space="0" w:color="auto"/>
              <w:bottom w:val="single" w:sz="4" w:space="0" w:color="auto"/>
              <w:right w:val="single" w:sz="4" w:space="0" w:color="auto"/>
            </w:tcBorders>
            <w:vAlign w:val="center"/>
          </w:tcPr>
          <w:p w14:paraId="231C3D1C" w14:textId="77777777" w:rsidR="00686DFE" w:rsidRPr="00CE5D9A" w:rsidRDefault="00686DFE">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1026" w:type="pct"/>
            <w:tcBorders>
              <w:top w:val="nil"/>
              <w:left w:val="nil"/>
              <w:bottom w:val="single" w:sz="4" w:space="0" w:color="auto"/>
              <w:right w:val="single" w:sz="4" w:space="0" w:color="auto"/>
            </w:tcBorders>
            <w:vAlign w:val="center"/>
          </w:tcPr>
          <w:p w14:paraId="0D61260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17,3</w:t>
            </w:r>
          </w:p>
        </w:tc>
        <w:tc>
          <w:tcPr>
            <w:tcW w:w="625" w:type="pct"/>
            <w:tcBorders>
              <w:top w:val="nil"/>
              <w:left w:val="nil"/>
              <w:bottom w:val="single" w:sz="4" w:space="0" w:color="auto"/>
              <w:right w:val="single" w:sz="4" w:space="0" w:color="auto"/>
            </w:tcBorders>
            <w:vAlign w:val="center"/>
          </w:tcPr>
          <w:p w14:paraId="62FC9FA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86,8</w:t>
            </w:r>
          </w:p>
        </w:tc>
        <w:tc>
          <w:tcPr>
            <w:tcW w:w="625" w:type="pct"/>
            <w:tcBorders>
              <w:top w:val="nil"/>
              <w:left w:val="nil"/>
              <w:bottom w:val="single" w:sz="4" w:space="0" w:color="auto"/>
              <w:right w:val="single" w:sz="4" w:space="0" w:color="auto"/>
            </w:tcBorders>
            <w:vAlign w:val="center"/>
          </w:tcPr>
          <w:p w14:paraId="1084A91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625" w:type="pct"/>
            <w:tcBorders>
              <w:top w:val="nil"/>
              <w:left w:val="nil"/>
              <w:bottom w:val="single" w:sz="4" w:space="0" w:color="auto"/>
              <w:right w:val="single" w:sz="4" w:space="0" w:color="auto"/>
            </w:tcBorders>
            <w:vAlign w:val="center"/>
          </w:tcPr>
          <w:p w14:paraId="4C57F4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c>
          <w:tcPr>
            <w:tcW w:w="625" w:type="pct"/>
            <w:tcBorders>
              <w:top w:val="nil"/>
              <w:left w:val="nil"/>
              <w:bottom w:val="single" w:sz="4" w:space="0" w:color="auto"/>
              <w:right w:val="single" w:sz="4" w:space="0" w:color="auto"/>
            </w:tcBorders>
            <w:vAlign w:val="center"/>
          </w:tcPr>
          <w:p w14:paraId="653C895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r>
      <w:tr w:rsidR="00686DFE" w:rsidRPr="00CE5D9A" w14:paraId="4083CEA2" w14:textId="77777777">
        <w:trPr>
          <w:trHeight w:val="340"/>
        </w:trPr>
        <w:tc>
          <w:tcPr>
            <w:tcW w:w="1474" w:type="pct"/>
            <w:tcBorders>
              <w:top w:val="nil"/>
              <w:left w:val="single" w:sz="4" w:space="0" w:color="auto"/>
              <w:bottom w:val="single" w:sz="4" w:space="0" w:color="auto"/>
              <w:right w:val="single" w:sz="4" w:space="0" w:color="auto"/>
            </w:tcBorders>
            <w:vAlign w:val="center"/>
          </w:tcPr>
          <w:p w14:paraId="3BBC86A6" w14:textId="77777777" w:rsidR="00686DFE" w:rsidRPr="00CE5D9A" w:rsidRDefault="00686DFE">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1026" w:type="pct"/>
            <w:tcBorders>
              <w:top w:val="nil"/>
              <w:left w:val="nil"/>
              <w:bottom w:val="single" w:sz="4" w:space="0" w:color="auto"/>
              <w:right w:val="single" w:sz="4" w:space="0" w:color="auto"/>
            </w:tcBorders>
            <w:vAlign w:val="center"/>
          </w:tcPr>
          <w:p w14:paraId="4A865B0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48,8</w:t>
            </w:r>
          </w:p>
        </w:tc>
        <w:tc>
          <w:tcPr>
            <w:tcW w:w="625" w:type="pct"/>
            <w:tcBorders>
              <w:top w:val="nil"/>
              <w:left w:val="nil"/>
              <w:bottom w:val="single" w:sz="4" w:space="0" w:color="auto"/>
              <w:right w:val="single" w:sz="4" w:space="0" w:color="auto"/>
            </w:tcBorders>
            <w:vAlign w:val="center"/>
          </w:tcPr>
          <w:p w14:paraId="1F5F1BB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55,0</w:t>
            </w:r>
          </w:p>
        </w:tc>
        <w:tc>
          <w:tcPr>
            <w:tcW w:w="625" w:type="pct"/>
            <w:tcBorders>
              <w:top w:val="nil"/>
              <w:left w:val="nil"/>
              <w:bottom w:val="single" w:sz="4" w:space="0" w:color="auto"/>
              <w:right w:val="single" w:sz="4" w:space="0" w:color="auto"/>
            </w:tcBorders>
            <w:vAlign w:val="center"/>
          </w:tcPr>
          <w:p w14:paraId="1EB8401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26,9</w:t>
            </w:r>
          </w:p>
        </w:tc>
        <w:tc>
          <w:tcPr>
            <w:tcW w:w="625" w:type="pct"/>
            <w:tcBorders>
              <w:top w:val="nil"/>
              <w:left w:val="nil"/>
              <w:bottom w:val="single" w:sz="4" w:space="0" w:color="auto"/>
              <w:right w:val="single" w:sz="4" w:space="0" w:color="auto"/>
            </w:tcBorders>
            <w:vAlign w:val="center"/>
          </w:tcPr>
          <w:p w14:paraId="1D7E58D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w:t>
            </w:r>
          </w:p>
        </w:tc>
        <w:tc>
          <w:tcPr>
            <w:tcW w:w="625" w:type="pct"/>
            <w:tcBorders>
              <w:top w:val="nil"/>
              <w:left w:val="nil"/>
              <w:bottom w:val="single" w:sz="4" w:space="0" w:color="auto"/>
              <w:right w:val="single" w:sz="4" w:space="0" w:color="auto"/>
            </w:tcBorders>
            <w:vAlign w:val="center"/>
          </w:tcPr>
          <w:p w14:paraId="1322FE5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11,2</w:t>
            </w:r>
          </w:p>
        </w:tc>
      </w:tr>
      <w:tr w:rsidR="006333E9" w:rsidRPr="00CE5D9A" w14:paraId="0A5B1309" w14:textId="77777777">
        <w:trPr>
          <w:trHeight w:val="340"/>
        </w:trPr>
        <w:tc>
          <w:tcPr>
            <w:tcW w:w="1474" w:type="pct"/>
            <w:tcBorders>
              <w:top w:val="nil"/>
              <w:left w:val="single" w:sz="4" w:space="0" w:color="auto"/>
              <w:bottom w:val="single" w:sz="4" w:space="0" w:color="auto"/>
              <w:right w:val="single" w:sz="4" w:space="0" w:color="auto"/>
            </w:tcBorders>
            <w:vAlign w:val="center"/>
          </w:tcPr>
          <w:p w14:paraId="1B9AE8D5"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1026" w:type="pct"/>
            <w:tcBorders>
              <w:top w:val="nil"/>
              <w:left w:val="nil"/>
              <w:bottom w:val="single" w:sz="4" w:space="0" w:color="auto"/>
              <w:right w:val="single" w:sz="4" w:space="0" w:color="auto"/>
            </w:tcBorders>
            <w:vAlign w:val="center"/>
          </w:tcPr>
          <w:p w14:paraId="20E2EDE6"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25,8</w:t>
            </w:r>
          </w:p>
        </w:tc>
        <w:tc>
          <w:tcPr>
            <w:tcW w:w="625" w:type="pct"/>
            <w:tcBorders>
              <w:top w:val="nil"/>
              <w:left w:val="nil"/>
              <w:bottom w:val="single" w:sz="4" w:space="0" w:color="auto"/>
              <w:right w:val="single" w:sz="4" w:space="0" w:color="auto"/>
            </w:tcBorders>
            <w:vAlign w:val="center"/>
          </w:tcPr>
          <w:p w14:paraId="3CCD6513"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79,5</w:t>
            </w:r>
          </w:p>
        </w:tc>
        <w:tc>
          <w:tcPr>
            <w:tcW w:w="625" w:type="pct"/>
            <w:tcBorders>
              <w:top w:val="nil"/>
              <w:left w:val="nil"/>
              <w:bottom w:val="single" w:sz="4" w:space="0" w:color="auto"/>
              <w:right w:val="single" w:sz="4" w:space="0" w:color="auto"/>
            </w:tcBorders>
            <w:vAlign w:val="center"/>
          </w:tcPr>
          <w:p w14:paraId="2EAB5F8C"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10,7</w:t>
            </w:r>
          </w:p>
        </w:tc>
        <w:tc>
          <w:tcPr>
            <w:tcW w:w="625" w:type="pct"/>
            <w:tcBorders>
              <w:top w:val="nil"/>
              <w:left w:val="nil"/>
              <w:bottom w:val="single" w:sz="4" w:space="0" w:color="auto"/>
              <w:right w:val="single" w:sz="4" w:space="0" w:color="auto"/>
            </w:tcBorders>
            <w:vAlign w:val="center"/>
          </w:tcPr>
          <w:p w14:paraId="7F7D48EF" w14:textId="77777777" w:rsidR="006333E9" w:rsidRPr="00CE5D9A" w:rsidRDefault="006333E9" w:rsidP="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c>
          <w:tcPr>
            <w:tcW w:w="625" w:type="pct"/>
            <w:tcBorders>
              <w:top w:val="nil"/>
              <w:left w:val="nil"/>
              <w:bottom w:val="single" w:sz="4" w:space="0" w:color="auto"/>
              <w:right w:val="single" w:sz="4" w:space="0" w:color="auto"/>
            </w:tcBorders>
            <w:vAlign w:val="center"/>
          </w:tcPr>
          <w:p w14:paraId="0463F92E" w14:textId="77777777" w:rsidR="006333E9" w:rsidRPr="00CE5D9A" w:rsidRDefault="006333E9" w:rsidP="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r>
      <w:tr w:rsidR="006333E9" w:rsidRPr="00CE5D9A" w14:paraId="7340C258" w14:textId="77777777">
        <w:trPr>
          <w:trHeight w:val="340"/>
        </w:trPr>
        <w:tc>
          <w:tcPr>
            <w:tcW w:w="1474" w:type="pct"/>
            <w:tcBorders>
              <w:top w:val="nil"/>
              <w:left w:val="single" w:sz="4" w:space="0" w:color="auto"/>
              <w:bottom w:val="single" w:sz="4" w:space="0" w:color="auto"/>
              <w:right w:val="single" w:sz="4" w:space="0" w:color="auto"/>
            </w:tcBorders>
            <w:vAlign w:val="center"/>
          </w:tcPr>
          <w:p w14:paraId="62F5F205"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1026" w:type="pct"/>
            <w:tcBorders>
              <w:top w:val="nil"/>
              <w:left w:val="nil"/>
              <w:bottom w:val="single" w:sz="4" w:space="0" w:color="auto"/>
              <w:right w:val="single" w:sz="4" w:space="0" w:color="auto"/>
            </w:tcBorders>
            <w:vAlign w:val="center"/>
          </w:tcPr>
          <w:p w14:paraId="10529B09"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14,3</w:t>
            </w:r>
          </w:p>
        </w:tc>
        <w:tc>
          <w:tcPr>
            <w:tcW w:w="625" w:type="pct"/>
            <w:tcBorders>
              <w:top w:val="nil"/>
              <w:left w:val="nil"/>
              <w:bottom w:val="single" w:sz="4" w:space="0" w:color="auto"/>
              <w:right w:val="single" w:sz="4" w:space="0" w:color="auto"/>
            </w:tcBorders>
            <w:vAlign w:val="center"/>
          </w:tcPr>
          <w:p w14:paraId="4C126D5A"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89,6</w:t>
            </w:r>
          </w:p>
        </w:tc>
        <w:tc>
          <w:tcPr>
            <w:tcW w:w="625" w:type="pct"/>
            <w:tcBorders>
              <w:top w:val="nil"/>
              <w:left w:val="nil"/>
              <w:bottom w:val="single" w:sz="4" w:space="0" w:color="auto"/>
              <w:right w:val="single" w:sz="4" w:space="0" w:color="auto"/>
            </w:tcBorders>
            <w:vAlign w:val="center"/>
          </w:tcPr>
          <w:p w14:paraId="79FA01AA"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8,6</w:t>
            </w:r>
          </w:p>
        </w:tc>
        <w:tc>
          <w:tcPr>
            <w:tcW w:w="625" w:type="pct"/>
            <w:tcBorders>
              <w:top w:val="nil"/>
              <w:left w:val="nil"/>
              <w:bottom w:val="single" w:sz="4" w:space="0" w:color="auto"/>
              <w:right w:val="single" w:sz="4" w:space="0" w:color="auto"/>
            </w:tcBorders>
            <w:vAlign w:val="center"/>
          </w:tcPr>
          <w:p w14:paraId="071ECD26"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0,0</w:t>
            </w:r>
          </w:p>
        </w:tc>
        <w:tc>
          <w:tcPr>
            <w:tcW w:w="625" w:type="pct"/>
            <w:tcBorders>
              <w:top w:val="nil"/>
              <w:left w:val="nil"/>
              <w:bottom w:val="single" w:sz="4" w:space="0" w:color="auto"/>
              <w:right w:val="single" w:sz="4" w:space="0" w:color="auto"/>
            </w:tcBorders>
            <w:vAlign w:val="center"/>
          </w:tcPr>
          <w:p w14:paraId="43B0DDFB"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0,0</w:t>
            </w:r>
          </w:p>
        </w:tc>
      </w:tr>
      <w:tr w:rsidR="006333E9" w:rsidRPr="00CE5D9A" w14:paraId="21CDFB7F" w14:textId="77777777">
        <w:trPr>
          <w:trHeight w:val="340"/>
        </w:trPr>
        <w:tc>
          <w:tcPr>
            <w:tcW w:w="1474" w:type="pct"/>
            <w:tcBorders>
              <w:top w:val="nil"/>
              <w:left w:val="single" w:sz="4" w:space="0" w:color="auto"/>
              <w:bottom w:val="single" w:sz="4" w:space="0" w:color="auto"/>
              <w:right w:val="single" w:sz="4" w:space="0" w:color="auto"/>
            </w:tcBorders>
            <w:vAlign w:val="center"/>
          </w:tcPr>
          <w:p w14:paraId="166C93D8"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1026" w:type="pct"/>
            <w:tcBorders>
              <w:top w:val="nil"/>
              <w:left w:val="nil"/>
              <w:bottom w:val="single" w:sz="4" w:space="0" w:color="auto"/>
              <w:right w:val="single" w:sz="4" w:space="0" w:color="auto"/>
            </w:tcBorders>
            <w:vAlign w:val="center"/>
          </w:tcPr>
          <w:p w14:paraId="5E709245"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19,3</w:t>
            </w:r>
          </w:p>
        </w:tc>
        <w:tc>
          <w:tcPr>
            <w:tcW w:w="625" w:type="pct"/>
            <w:tcBorders>
              <w:top w:val="nil"/>
              <w:left w:val="nil"/>
              <w:bottom w:val="single" w:sz="4" w:space="0" w:color="auto"/>
              <w:right w:val="single" w:sz="4" w:space="0" w:color="auto"/>
            </w:tcBorders>
            <w:vAlign w:val="center"/>
          </w:tcPr>
          <w:p w14:paraId="1FA841E0"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85,1</w:t>
            </w:r>
          </w:p>
        </w:tc>
        <w:tc>
          <w:tcPr>
            <w:tcW w:w="625" w:type="pct"/>
            <w:tcBorders>
              <w:top w:val="nil"/>
              <w:left w:val="nil"/>
              <w:bottom w:val="single" w:sz="4" w:space="0" w:color="auto"/>
              <w:right w:val="single" w:sz="4" w:space="0" w:color="auto"/>
            </w:tcBorders>
            <w:vAlign w:val="center"/>
          </w:tcPr>
          <w:p w14:paraId="14F3FBEE"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12,4</w:t>
            </w:r>
          </w:p>
        </w:tc>
        <w:tc>
          <w:tcPr>
            <w:tcW w:w="625" w:type="pct"/>
            <w:tcBorders>
              <w:top w:val="nil"/>
              <w:left w:val="nil"/>
              <w:bottom w:val="single" w:sz="4" w:space="0" w:color="auto"/>
              <w:right w:val="single" w:sz="4" w:space="0" w:color="auto"/>
            </w:tcBorders>
            <w:vAlign w:val="center"/>
          </w:tcPr>
          <w:p w14:paraId="6F148CDC"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c>
          <w:tcPr>
            <w:tcW w:w="625" w:type="pct"/>
            <w:tcBorders>
              <w:top w:val="nil"/>
              <w:left w:val="nil"/>
              <w:bottom w:val="single" w:sz="4" w:space="0" w:color="auto"/>
              <w:right w:val="single" w:sz="4" w:space="0" w:color="auto"/>
            </w:tcBorders>
            <w:vAlign w:val="center"/>
          </w:tcPr>
          <w:p w14:paraId="026CC4FE"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brak danych</w:t>
            </w:r>
          </w:p>
        </w:tc>
      </w:tr>
      <w:tr w:rsidR="006333E9" w:rsidRPr="00CE5D9A" w14:paraId="58405132" w14:textId="77777777">
        <w:trPr>
          <w:trHeight w:val="340"/>
        </w:trPr>
        <w:tc>
          <w:tcPr>
            <w:tcW w:w="1474" w:type="pct"/>
            <w:tcBorders>
              <w:top w:val="nil"/>
              <w:left w:val="single" w:sz="4" w:space="0" w:color="auto"/>
              <w:bottom w:val="single" w:sz="4" w:space="0" w:color="auto"/>
              <w:right w:val="single" w:sz="4" w:space="0" w:color="auto"/>
            </w:tcBorders>
            <w:vAlign w:val="center"/>
          </w:tcPr>
          <w:p w14:paraId="76360BF4"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1026" w:type="pct"/>
            <w:tcBorders>
              <w:top w:val="nil"/>
              <w:left w:val="nil"/>
              <w:bottom w:val="single" w:sz="4" w:space="0" w:color="auto"/>
              <w:right w:val="single" w:sz="4" w:space="0" w:color="auto"/>
            </w:tcBorders>
            <w:vAlign w:val="center"/>
          </w:tcPr>
          <w:p w14:paraId="1275982A"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37,3</w:t>
            </w:r>
          </w:p>
        </w:tc>
        <w:tc>
          <w:tcPr>
            <w:tcW w:w="625" w:type="pct"/>
            <w:tcBorders>
              <w:top w:val="nil"/>
              <w:left w:val="nil"/>
              <w:bottom w:val="single" w:sz="4" w:space="0" w:color="auto"/>
              <w:right w:val="single" w:sz="4" w:space="0" w:color="auto"/>
            </w:tcBorders>
            <w:vAlign w:val="center"/>
          </w:tcPr>
          <w:p w14:paraId="445B34EF"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67,6</w:t>
            </w:r>
          </w:p>
        </w:tc>
        <w:tc>
          <w:tcPr>
            <w:tcW w:w="625" w:type="pct"/>
            <w:tcBorders>
              <w:top w:val="nil"/>
              <w:left w:val="nil"/>
              <w:bottom w:val="single" w:sz="4" w:space="0" w:color="auto"/>
              <w:right w:val="single" w:sz="4" w:space="0" w:color="auto"/>
            </w:tcBorders>
            <w:vAlign w:val="center"/>
          </w:tcPr>
          <w:p w14:paraId="7A0A9F12"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26,2</w:t>
            </w:r>
          </w:p>
        </w:tc>
        <w:tc>
          <w:tcPr>
            <w:tcW w:w="625" w:type="pct"/>
            <w:tcBorders>
              <w:top w:val="nil"/>
              <w:left w:val="nil"/>
              <w:bottom w:val="single" w:sz="4" w:space="0" w:color="auto"/>
              <w:right w:val="single" w:sz="4" w:space="0" w:color="auto"/>
            </w:tcBorders>
            <w:vAlign w:val="center"/>
          </w:tcPr>
          <w:p w14:paraId="0485651C"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2,8</w:t>
            </w:r>
          </w:p>
        </w:tc>
        <w:tc>
          <w:tcPr>
            <w:tcW w:w="625" w:type="pct"/>
            <w:tcBorders>
              <w:top w:val="nil"/>
              <w:left w:val="nil"/>
              <w:bottom w:val="single" w:sz="4" w:space="0" w:color="auto"/>
              <w:right w:val="single" w:sz="4" w:space="0" w:color="auto"/>
            </w:tcBorders>
            <w:vAlign w:val="center"/>
          </w:tcPr>
          <w:p w14:paraId="0C84A87C"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3,1</w:t>
            </w:r>
          </w:p>
        </w:tc>
      </w:tr>
      <w:tr w:rsidR="006333E9" w:rsidRPr="00CE5D9A" w14:paraId="4C9D36B5" w14:textId="77777777">
        <w:trPr>
          <w:trHeight w:val="340"/>
        </w:trPr>
        <w:tc>
          <w:tcPr>
            <w:tcW w:w="1474" w:type="pct"/>
            <w:tcBorders>
              <w:top w:val="nil"/>
              <w:left w:val="single" w:sz="4" w:space="0" w:color="auto"/>
              <w:bottom w:val="nil"/>
              <w:right w:val="single" w:sz="4" w:space="0" w:color="auto"/>
            </w:tcBorders>
            <w:vAlign w:val="center"/>
          </w:tcPr>
          <w:p w14:paraId="4E409F3B" w14:textId="77777777" w:rsidR="006333E9" w:rsidRPr="0061486F" w:rsidRDefault="006333E9">
            <w:pPr>
              <w:spacing w:after="0" w:line="240" w:lineRule="auto"/>
              <w:rPr>
                <w:rFonts w:ascii="Times New Roman" w:eastAsia="Times New Roman" w:hAnsi="Times New Roman"/>
                <w:b/>
                <w:bCs/>
                <w:strike/>
                <w:color w:val="FF0000"/>
                <w:sz w:val="20"/>
                <w:szCs w:val="20"/>
                <w:lang w:eastAsia="pl-PL"/>
              </w:rPr>
            </w:pPr>
            <w:r w:rsidRPr="0061486F">
              <w:rPr>
                <w:rFonts w:ascii="Times New Roman" w:eastAsia="Times New Roman" w:hAnsi="Times New Roman"/>
                <w:b/>
                <w:bCs/>
                <w:strike/>
                <w:color w:val="FF0000"/>
                <w:sz w:val="20"/>
                <w:szCs w:val="20"/>
                <w:lang w:eastAsia="pl-PL"/>
              </w:rPr>
              <w:t>LGD Między Dalinem i Gościbią</w:t>
            </w:r>
          </w:p>
          <w:p w14:paraId="3677D530" w14:textId="46DA2366" w:rsidR="0061486F" w:rsidRPr="00CE5D9A" w:rsidRDefault="0061486F">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1026" w:type="pct"/>
            <w:tcBorders>
              <w:top w:val="nil"/>
              <w:left w:val="nil"/>
              <w:bottom w:val="single" w:sz="4" w:space="0" w:color="auto"/>
              <w:right w:val="single" w:sz="4" w:space="0" w:color="auto"/>
            </w:tcBorders>
            <w:vAlign w:val="center"/>
          </w:tcPr>
          <w:p w14:paraId="2E3A6D1A" w14:textId="77777777" w:rsidR="006333E9" w:rsidRPr="00CE5D9A" w:rsidRDefault="006333E9">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25,0</w:t>
            </w:r>
          </w:p>
        </w:tc>
        <w:tc>
          <w:tcPr>
            <w:tcW w:w="625" w:type="pct"/>
            <w:tcBorders>
              <w:top w:val="nil"/>
              <w:left w:val="nil"/>
              <w:bottom w:val="nil"/>
              <w:right w:val="single" w:sz="4" w:space="0" w:color="auto"/>
            </w:tcBorders>
            <w:vAlign w:val="center"/>
          </w:tcPr>
          <w:p w14:paraId="1278500C" w14:textId="77777777" w:rsidR="006333E9" w:rsidRPr="00CE5D9A" w:rsidRDefault="006333E9" w:rsidP="006333E9">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71,6</w:t>
            </w:r>
          </w:p>
        </w:tc>
        <w:tc>
          <w:tcPr>
            <w:tcW w:w="625" w:type="pct"/>
            <w:tcBorders>
              <w:top w:val="nil"/>
              <w:left w:val="nil"/>
              <w:bottom w:val="single" w:sz="4" w:space="0" w:color="auto"/>
              <w:right w:val="single" w:sz="4" w:space="0" w:color="auto"/>
            </w:tcBorders>
            <w:vAlign w:val="center"/>
          </w:tcPr>
          <w:p w14:paraId="2CA3886B" w14:textId="77777777" w:rsidR="006333E9" w:rsidRPr="00CE5D9A" w:rsidRDefault="006333E9">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16,0</w:t>
            </w:r>
          </w:p>
        </w:tc>
        <w:tc>
          <w:tcPr>
            <w:tcW w:w="625" w:type="pct"/>
            <w:tcBorders>
              <w:top w:val="nil"/>
              <w:left w:val="nil"/>
              <w:bottom w:val="single" w:sz="4" w:space="0" w:color="auto"/>
              <w:right w:val="single" w:sz="4" w:space="0" w:color="auto"/>
            </w:tcBorders>
            <w:vAlign w:val="center"/>
          </w:tcPr>
          <w:p w14:paraId="18B54338" w14:textId="77777777" w:rsidR="006333E9" w:rsidRPr="00CE5D9A" w:rsidRDefault="006333E9" w:rsidP="006333E9">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2,3</w:t>
            </w:r>
          </w:p>
        </w:tc>
        <w:tc>
          <w:tcPr>
            <w:tcW w:w="625" w:type="pct"/>
            <w:tcBorders>
              <w:top w:val="nil"/>
              <w:left w:val="nil"/>
              <w:bottom w:val="single" w:sz="4" w:space="0" w:color="auto"/>
              <w:right w:val="single" w:sz="4" w:space="0" w:color="auto"/>
            </w:tcBorders>
            <w:vAlign w:val="center"/>
          </w:tcPr>
          <w:p w14:paraId="7CE086B8" w14:textId="77777777" w:rsidR="006333E9" w:rsidRPr="00CE5D9A" w:rsidRDefault="006333E9" w:rsidP="006333E9">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6,1</w:t>
            </w:r>
          </w:p>
        </w:tc>
      </w:tr>
      <w:tr w:rsidR="006333E9" w:rsidRPr="00CE5D9A" w14:paraId="208AC029" w14:textId="77777777">
        <w:trPr>
          <w:trHeight w:val="340"/>
        </w:trPr>
        <w:tc>
          <w:tcPr>
            <w:tcW w:w="1474" w:type="pct"/>
            <w:tcBorders>
              <w:top w:val="single" w:sz="4" w:space="0" w:color="auto"/>
              <w:left w:val="single" w:sz="4" w:space="0" w:color="auto"/>
              <w:bottom w:val="single" w:sz="4" w:space="0" w:color="auto"/>
              <w:right w:val="single" w:sz="4" w:space="0" w:color="auto"/>
            </w:tcBorders>
            <w:vAlign w:val="center"/>
          </w:tcPr>
          <w:p w14:paraId="46488CF4"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1026" w:type="pct"/>
            <w:tcBorders>
              <w:top w:val="nil"/>
              <w:left w:val="nil"/>
              <w:bottom w:val="single" w:sz="4" w:space="0" w:color="auto"/>
              <w:right w:val="single" w:sz="4" w:space="0" w:color="auto"/>
            </w:tcBorders>
            <w:vAlign w:val="center"/>
          </w:tcPr>
          <w:p w14:paraId="68544641"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36,3</w:t>
            </w:r>
          </w:p>
        </w:tc>
        <w:tc>
          <w:tcPr>
            <w:tcW w:w="625" w:type="pct"/>
            <w:tcBorders>
              <w:top w:val="single" w:sz="4" w:space="0" w:color="auto"/>
              <w:left w:val="nil"/>
              <w:bottom w:val="single" w:sz="4" w:space="0" w:color="auto"/>
              <w:right w:val="single" w:sz="4" w:space="0" w:color="auto"/>
            </w:tcBorders>
            <w:vAlign w:val="center"/>
          </w:tcPr>
          <w:p w14:paraId="04180EBF"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43,8</w:t>
            </w:r>
          </w:p>
        </w:tc>
        <w:tc>
          <w:tcPr>
            <w:tcW w:w="625" w:type="pct"/>
            <w:tcBorders>
              <w:top w:val="nil"/>
              <w:left w:val="nil"/>
              <w:bottom w:val="single" w:sz="4" w:space="0" w:color="auto"/>
              <w:right w:val="single" w:sz="4" w:space="0" w:color="auto"/>
            </w:tcBorders>
            <w:vAlign w:val="center"/>
          </w:tcPr>
          <w:p w14:paraId="29FA74C7"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20,2</w:t>
            </w:r>
          </w:p>
        </w:tc>
        <w:tc>
          <w:tcPr>
            <w:tcW w:w="625" w:type="pct"/>
            <w:tcBorders>
              <w:top w:val="nil"/>
              <w:left w:val="nil"/>
              <w:bottom w:val="single" w:sz="4" w:space="0" w:color="auto"/>
              <w:right w:val="single" w:sz="4" w:space="0" w:color="auto"/>
            </w:tcBorders>
            <w:vAlign w:val="center"/>
          </w:tcPr>
          <w:p w14:paraId="085EC366"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7,6</w:t>
            </w:r>
          </w:p>
        </w:tc>
        <w:tc>
          <w:tcPr>
            <w:tcW w:w="625" w:type="pct"/>
            <w:tcBorders>
              <w:top w:val="nil"/>
              <w:left w:val="nil"/>
              <w:bottom w:val="single" w:sz="4" w:space="0" w:color="auto"/>
              <w:right w:val="single" w:sz="4" w:space="0" w:color="auto"/>
            </w:tcBorders>
            <w:vAlign w:val="center"/>
          </w:tcPr>
          <w:p w14:paraId="367AD002"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27,9</w:t>
            </w:r>
          </w:p>
        </w:tc>
      </w:tr>
      <w:tr w:rsidR="006333E9" w:rsidRPr="00CE5D9A" w14:paraId="5CFE5C88" w14:textId="77777777">
        <w:trPr>
          <w:trHeight w:val="340"/>
        </w:trPr>
        <w:tc>
          <w:tcPr>
            <w:tcW w:w="1474" w:type="pct"/>
            <w:tcBorders>
              <w:top w:val="nil"/>
              <w:left w:val="single" w:sz="4" w:space="0" w:color="auto"/>
              <w:bottom w:val="single" w:sz="4" w:space="0" w:color="auto"/>
              <w:right w:val="single" w:sz="4" w:space="0" w:color="auto"/>
            </w:tcBorders>
            <w:vAlign w:val="center"/>
          </w:tcPr>
          <w:p w14:paraId="05FA99CC" w14:textId="77777777" w:rsidR="006333E9" w:rsidRPr="00CE5D9A" w:rsidRDefault="006333E9">
            <w:pPr>
              <w:spacing w:after="0" w:line="240"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1026" w:type="pct"/>
            <w:tcBorders>
              <w:top w:val="nil"/>
              <w:left w:val="nil"/>
              <w:bottom w:val="single" w:sz="4" w:space="0" w:color="auto"/>
              <w:right w:val="single" w:sz="4" w:space="0" w:color="auto"/>
            </w:tcBorders>
            <w:vAlign w:val="center"/>
          </w:tcPr>
          <w:p w14:paraId="79EAE3B9"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47,8</w:t>
            </w:r>
          </w:p>
        </w:tc>
        <w:tc>
          <w:tcPr>
            <w:tcW w:w="625" w:type="pct"/>
            <w:tcBorders>
              <w:top w:val="nil"/>
              <w:left w:val="nil"/>
              <w:bottom w:val="single" w:sz="4" w:space="0" w:color="auto"/>
              <w:right w:val="single" w:sz="4" w:space="0" w:color="auto"/>
            </w:tcBorders>
            <w:vAlign w:val="center"/>
          </w:tcPr>
          <w:p w14:paraId="432F2E63"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11,6</w:t>
            </w:r>
          </w:p>
        </w:tc>
        <w:tc>
          <w:tcPr>
            <w:tcW w:w="625" w:type="pct"/>
            <w:tcBorders>
              <w:top w:val="nil"/>
              <w:left w:val="nil"/>
              <w:bottom w:val="single" w:sz="4" w:space="0" w:color="auto"/>
              <w:right w:val="single" w:sz="4" w:space="0" w:color="auto"/>
            </w:tcBorders>
            <w:vAlign w:val="center"/>
          </w:tcPr>
          <w:p w14:paraId="04136150"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13,7</w:t>
            </w:r>
          </w:p>
        </w:tc>
        <w:tc>
          <w:tcPr>
            <w:tcW w:w="625" w:type="pct"/>
            <w:tcBorders>
              <w:top w:val="nil"/>
              <w:left w:val="nil"/>
              <w:bottom w:val="single" w:sz="4" w:space="0" w:color="auto"/>
              <w:right w:val="single" w:sz="4" w:space="0" w:color="auto"/>
            </w:tcBorders>
            <w:vAlign w:val="center"/>
          </w:tcPr>
          <w:p w14:paraId="7688E944"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10,6</w:t>
            </w:r>
          </w:p>
        </w:tc>
        <w:tc>
          <w:tcPr>
            <w:tcW w:w="625" w:type="pct"/>
            <w:tcBorders>
              <w:top w:val="nil"/>
              <w:left w:val="nil"/>
              <w:bottom w:val="single" w:sz="4" w:space="0" w:color="auto"/>
              <w:right w:val="single" w:sz="4" w:space="0" w:color="auto"/>
            </w:tcBorders>
            <w:vAlign w:val="center"/>
          </w:tcPr>
          <w:p w14:paraId="7D69C02C" w14:textId="77777777" w:rsidR="006333E9" w:rsidRPr="00CE5D9A" w:rsidRDefault="006333E9">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64,0</w:t>
            </w:r>
          </w:p>
        </w:tc>
      </w:tr>
    </w:tbl>
    <w:p w14:paraId="2530B3AF" w14:textId="77777777" w:rsidR="00686DFE" w:rsidRPr="00CE5D9A" w:rsidRDefault="00686DFE">
      <w:pPr>
        <w:spacing w:line="27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586A1817" w14:textId="3D3BA41A"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2012 roku rozpoczął się wieloletni projekt badawczy pn. Monitoring Rozwoju Obszarów Wiejskich (MROW) finansowany przez Fundację Europejski Fundusz Rozwoju Wsi Polskiej</w:t>
      </w:r>
      <w:r w:rsidRPr="00CE5D9A">
        <w:rPr>
          <w:rFonts w:ascii="Times New Roman" w:hAnsi="Times New Roman"/>
          <w:vertAlign w:val="superscript"/>
        </w:rPr>
        <w:footnoteReference w:id="32"/>
      </w:r>
      <w:r w:rsidRPr="00CE5D9A">
        <w:rPr>
          <w:rFonts w:ascii="Times New Roman" w:hAnsi="Times New Roman"/>
        </w:rPr>
        <w:t>. Celem projektu jest stała obserwacja zmian społeczno-gospodarczych dokonujących się na obszarach wiejskich w Polsce.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gminy</w:t>
      </w:r>
      <w:r w:rsidR="0061486F">
        <w:rPr>
          <w:rFonts w:ascii="Times New Roman" w:hAnsi="Times New Roman"/>
        </w:rPr>
        <w:t xml:space="preserve"> </w:t>
      </w:r>
      <w:r w:rsidR="0061486F" w:rsidRPr="00EB66C4">
        <w:rPr>
          <w:rFonts w:ascii="Times New Roman" w:hAnsi="Times New Roman"/>
          <w:color w:val="FF0000"/>
        </w:rPr>
        <w:t>LGD Regionu Myślenickiego</w:t>
      </w:r>
      <w:r w:rsidRPr="00CE5D9A">
        <w:rPr>
          <w:rFonts w:ascii="Times New Roman" w:hAnsi="Times New Roman"/>
        </w:rPr>
        <w:t xml:space="preserve"> </w:t>
      </w:r>
      <w:r w:rsidRPr="0061486F">
        <w:rPr>
          <w:rFonts w:ascii="Times New Roman" w:hAnsi="Times New Roman"/>
          <w:strike/>
          <w:color w:val="FF0000"/>
        </w:rPr>
        <w:t>LGD Między Dalinem i Gościbią</w:t>
      </w:r>
      <w:r w:rsidRPr="0061486F">
        <w:rPr>
          <w:rFonts w:ascii="Times New Roman" w:hAnsi="Times New Roman"/>
          <w:color w:val="FF0000"/>
        </w:rPr>
        <w:t xml:space="preserve"> </w:t>
      </w:r>
      <w:r w:rsidRPr="00CE5D9A">
        <w:rPr>
          <w:rFonts w:ascii="Times New Roman" w:hAnsi="Times New Roman"/>
        </w:rPr>
        <w:t xml:space="preserve">zostały zakwalifikowane jako następujące typy: </w:t>
      </w:r>
    </w:p>
    <w:p w14:paraId="792B0A30" w14:textId="77777777" w:rsidR="00686DFE" w:rsidRPr="00CE5D9A" w:rsidRDefault="00686DFE">
      <w:pPr>
        <w:numPr>
          <w:ilvl w:val="0"/>
          <w:numId w:val="20"/>
        </w:numPr>
        <w:spacing w:after="0"/>
        <w:contextualSpacing/>
        <w:rPr>
          <w:rFonts w:ascii="Times New Roman" w:hAnsi="Times New Roman"/>
        </w:rPr>
      </w:pPr>
      <w:r w:rsidRPr="00CE5D9A">
        <w:rPr>
          <w:rFonts w:ascii="Times New Roman" w:hAnsi="Times New Roman"/>
          <w:i/>
          <w:iCs/>
        </w:rPr>
        <w:t xml:space="preserve">zurbanizowane, redukcja funkcji rolniczej </w:t>
      </w:r>
      <w:r w:rsidRPr="00CE5D9A">
        <w:rPr>
          <w:rFonts w:ascii="Times New Roman" w:hAnsi="Times New Roman"/>
        </w:rPr>
        <w:t xml:space="preserve">– </w:t>
      </w:r>
      <w:r w:rsidR="00F84747" w:rsidRPr="00CE5D9A">
        <w:rPr>
          <w:rFonts w:ascii="Times New Roman" w:hAnsi="Times New Roman"/>
        </w:rPr>
        <w:t>g</w:t>
      </w:r>
      <w:r w:rsidRPr="00CE5D9A">
        <w:rPr>
          <w:rFonts w:ascii="Times New Roman" w:hAnsi="Times New Roman"/>
        </w:rPr>
        <w:t>min</w:t>
      </w:r>
      <w:r w:rsidR="00F84747" w:rsidRPr="00CE5D9A">
        <w:rPr>
          <w:rFonts w:ascii="Times New Roman" w:hAnsi="Times New Roman"/>
        </w:rPr>
        <w:t>y:</w:t>
      </w:r>
      <w:r w:rsidRPr="00CE5D9A">
        <w:rPr>
          <w:rFonts w:ascii="Times New Roman" w:hAnsi="Times New Roman"/>
        </w:rPr>
        <w:t xml:space="preserve"> Myślenice</w:t>
      </w:r>
      <w:r w:rsidR="00F84747" w:rsidRPr="00CE5D9A">
        <w:rPr>
          <w:rFonts w:ascii="Times New Roman" w:hAnsi="Times New Roman"/>
        </w:rPr>
        <w:t>, Siepraw</w:t>
      </w:r>
      <w:r w:rsidRPr="00CE5D9A">
        <w:rPr>
          <w:rFonts w:ascii="Times New Roman" w:hAnsi="Times New Roman"/>
        </w:rPr>
        <w:t>;</w:t>
      </w:r>
    </w:p>
    <w:p w14:paraId="0332B97E" w14:textId="77777777" w:rsidR="00686DFE" w:rsidRPr="00CE5D9A" w:rsidRDefault="00686DFE">
      <w:pPr>
        <w:numPr>
          <w:ilvl w:val="0"/>
          <w:numId w:val="20"/>
        </w:numPr>
        <w:spacing w:after="0"/>
        <w:contextualSpacing/>
        <w:rPr>
          <w:rFonts w:ascii="Times New Roman" w:hAnsi="Times New Roman"/>
        </w:rPr>
      </w:pPr>
      <w:r w:rsidRPr="00CE5D9A">
        <w:rPr>
          <w:rFonts w:ascii="Times New Roman" w:hAnsi="Times New Roman"/>
          <w:i/>
          <w:iCs/>
        </w:rPr>
        <w:t xml:space="preserve">wielodochodowe, rozdrobnione rolnictwo </w:t>
      </w:r>
      <w:r w:rsidRPr="00CE5D9A">
        <w:rPr>
          <w:rFonts w:ascii="Times New Roman" w:hAnsi="Times New Roman"/>
        </w:rPr>
        <w:t>– gminy: Sułkowice, Wiśniowa, Pcim, Tokarnia, Lubień;</w:t>
      </w:r>
    </w:p>
    <w:p w14:paraId="4C02D989" w14:textId="77777777" w:rsidR="00686DFE" w:rsidRPr="00CE5D9A" w:rsidRDefault="00686DFE">
      <w:pPr>
        <w:numPr>
          <w:ilvl w:val="0"/>
          <w:numId w:val="20"/>
        </w:numPr>
        <w:ind w:left="714" w:hanging="357"/>
        <w:rPr>
          <w:rFonts w:ascii="Times New Roman" w:hAnsi="Times New Roman"/>
        </w:rPr>
      </w:pPr>
      <w:r w:rsidRPr="00CE5D9A">
        <w:rPr>
          <w:rFonts w:ascii="Times New Roman" w:hAnsi="Times New Roman"/>
          <w:i/>
          <w:iCs/>
        </w:rPr>
        <w:t xml:space="preserve">przewaga funkcji rolniczej, pośredni </w:t>
      </w:r>
      <w:r w:rsidRPr="00CE5D9A">
        <w:rPr>
          <w:rFonts w:ascii="Times New Roman" w:hAnsi="Times New Roman"/>
        </w:rPr>
        <w:t>– Gmina Raciechowice.</w:t>
      </w:r>
    </w:p>
    <w:p w14:paraId="2460308B"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Jakość rolniczej przestrzeni produkcyjnej została zwaloryzowana przez Instytut Uprawy Nawożenia i Gleboznawstwa w Puławach w latach 70. XX w.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punktu, przy średniej dla kraju 66,6 punktu. Jakość przestrzeni rolniczej jest jednak zróżnicowana przestrzennie</w:t>
      </w:r>
      <w:bookmarkStart w:id="115" w:name="_Toc112838935"/>
      <w:r w:rsidRPr="00CE5D9A">
        <w:rPr>
          <w:rFonts w:ascii="Times New Roman" w:hAnsi="Times New Roman"/>
        </w:rPr>
        <w:t>.</w:t>
      </w:r>
    </w:p>
    <w:bookmarkEnd w:id="115"/>
    <w:p w14:paraId="193311D3" w14:textId="175B3959" w:rsidR="00686DFE" w:rsidRPr="00CE5D9A" w:rsidRDefault="00686DFE">
      <w:pPr>
        <w:spacing w:before="240" w:after="0" w:line="276" w:lineRule="auto"/>
        <w:ind w:firstLine="709"/>
        <w:jc w:val="both"/>
        <w:rPr>
          <w:rFonts w:ascii="Times New Roman" w:hAnsi="Times New Roman"/>
        </w:rPr>
      </w:pPr>
      <w:r w:rsidRPr="00CE5D9A">
        <w:rPr>
          <w:rFonts w:ascii="Times New Roman" w:hAnsi="Times New Roman"/>
        </w:rPr>
        <w:t>Zdecydowana większość obszaru LGD została zakwalifikowana do ONW z ograniczeniami naturalnymi. Na terenie</w:t>
      </w:r>
      <w:r w:rsidR="0061486F">
        <w:rPr>
          <w:rFonts w:ascii="Times New Roman" w:hAnsi="Times New Roman"/>
        </w:rPr>
        <w:t xml:space="preserve"> </w:t>
      </w:r>
      <w:r w:rsidR="0061486F" w:rsidRPr="00EB66C4">
        <w:rPr>
          <w:rFonts w:ascii="Times New Roman" w:hAnsi="Times New Roman"/>
          <w:color w:val="FF0000"/>
        </w:rPr>
        <w:t>LGD Regionu Myślenickiego</w:t>
      </w:r>
      <w:r w:rsidRPr="00CE5D9A">
        <w:rPr>
          <w:rFonts w:ascii="Times New Roman" w:hAnsi="Times New Roman"/>
        </w:rPr>
        <w:t xml:space="preserve"> </w:t>
      </w:r>
      <w:r w:rsidRPr="0061486F">
        <w:rPr>
          <w:rFonts w:ascii="Times New Roman" w:hAnsi="Times New Roman"/>
          <w:strike/>
          <w:color w:val="FF0000"/>
        </w:rPr>
        <w:t>LGD Między Dalinem i Gościbią</w:t>
      </w:r>
      <w:r w:rsidRPr="0061486F">
        <w:rPr>
          <w:rFonts w:ascii="Times New Roman" w:hAnsi="Times New Roman"/>
          <w:color w:val="FF0000"/>
        </w:rPr>
        <w:t xml:space="preserve"> </w:t>
      </w:r>
      <w:r w:rsidRPr="00CE5D9A">
        <w:rPr>
          <w:rFonts w:ascii="Times New Roman" w:hAnsi="Times New Roman"/>
        </w:rPr>
        <w:t xml:space="preserve">wyodrębniono następujące obszary, które zostały sklasyfikowane jako obszary ONW z ograniczeniami naturalnymi: </w:t>
      </w:r>
    </w:p>
    <w:p w14:paraId="573F9083"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Myślenice: 11 obszarów ONW specyficzne (strefa 2) oraz 7 obszarów ONW specyficzne (strefa 1);</w:t>
      </w:r>
    </w:p>
    <w:p w14:paraId="3C97C8A8"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Gminie Sułkowice: cały obszar miejski został sklasyfikowany jako teren poza ONW, pozostała część gminy to obszary specyficzne (strefa 2);</w:t>
      </w:r>
    </w:p>
    <w:p w14:paraId="25F9B16B"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Lubień – cały obszar: ONW typu górskiego;</w:t>
      </w:r>
    </w:p>
    <w:p w14:paraId="77182E49"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Pcim – cały obszar ONW specyficzne (strefa 2);</w:t>
      </w:r>
    </w:p>
    <w:p w14:paraId="75B48D3E"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Raciechowice – 2 obszary ONW specyficzne (strefa 2), 2 obszary ONW z ograniczeniami naturalnymi (strefa 1), 11 obszarów poza ONW;</w:t>
      </w:r>
    </w:p>
    <w:p w14:paraId="2A9B84ED" w14:textId="77777777" w:rsidR="00F84747" w:rsidRPr="00CE5D9A" w:rsidRDefault="00F84747">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Siepraw – cały obszar został sklasyfikowany jako teren poza ONW;</w:t>
      </w:r>
    </w:p>
    <w:p w14:paraId="2B474640"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Tokarnia – cały obszar ONW typu górskiego;</w:t>
      </w:r>
    </w:p>
    <w:p w14:paraId="685ECA08" w14:textId="77777777" w:rsidR="00686DFE" w:rsidRPr="00CE5D9A" w:rsidRDefault="00686DFE">
      <w:pPr>
        <w:numPr>
          <w:ilvl w:val="0"/>
          <w:numId w:val="21"/>
        </w:numPr>
        <w:spacing w:after="0" w:line="276" w:lineRule="auto"/>
        <w:ind w:left="1134" w:hanging="425"/>
        <w:jc w:val="both"/>
        <w:rPr>
          <w:rFonts w:ascii="Times New Roman" w:hAnsi="Times New Roman"/>
        </w:rPr>
      </w:pPr>
      <w:r w:rsidRPr="00CE5D9A">
        <w:rPr>
          <w:rFonts w:ascii="Times New Roman" w:hAnsi="Times New Roman"/>
        </w:rPr>
        <w:t>Gmina Wiśniowa – 1 obszar ONW typu górskiego, 6 obszarów ONW specyficzne (strefa 2).</w:t>
      </w:r>
    </w:p>
    <w:p w14:paraId="17798B5F" w14:textId="77777777" w:rsidR="00686DFE" w:rsidRPr="00CE5D9A" w:rsidRDefault="00686DFE">
      <w:pPr>
        <w:pStyle w:val="Akapitzlist"/>
        <w:numPr>
          <w:ilvl w:val="1"/>
          <w:numId w:val="15"/>
        </w:numPr>
        <w:spacing w:before="240"/>
        <w:ind w:left="1701" w:hanging="567"/>
        <w:rPr>
          <w:rFonts w:ascii="Times New Roman" w:hAnsi="Times New Roman"/>
          <w:b/>
          <w:bCs/>
        </w:rPr>
      </w:pPr>
      <w:r w:rsidRPr="00CE5D9A">
        <w:rPr>
          <w:rFonts w:ascii="Times New Roman" w:hAnsi="Times New Roman"/>
          <w:b/>
          <w:bCs/>
        </w:rPr>
        <w:t>Produkty lokalne</w:t>
      </w:r>
    </w:p>
    <w:p w14:paraId="2CE475A8"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 xml:space="preserve">Cały obszar LGD charakteryzuje się bogatym dziedzictwem kulturowym, walorami naturalnymi oraz rzeźbą terenu, która sprzyja rozwojowi turystyki rekreacyjnej, rowerowej, pieszej, konnej czy ekoturystyki. Na terenie gmin obszaru funkcjonują podmioty tworzące bazę dla rozwoju turystyki i stanowią one bazę rozwoju tego obszaru. Są to m.in. ścieżki turystyczne, gospodarstwa turystyczne, ośrodki jazdy konnej. Żadna z gmin obszaru nie jest jednak rozpoznawalna pod względem turystycznym i nie posiada unikatowego produktu turystycznego. </w:t>
      </w:r>
    </w:p>
    <w:p w14:paraId="53828612" w14:textId="77777777" w:rsidR="00686DFE" w:rsidRPr="00CE5D9A" w:rsidRDefault="00686DFE">
      <w:pPr>
        <w:spacing w:after="0" w:line="276" w:lineRule="auto"/>
        <w:ind w:firstLine="708"/>
        <w:jc w:val="both"/>
        <w:rPr>
          <w:rFonts w:ascii="Times New Roman" w:hAnsi="Times New Roman"/>
          <w:b/>
          <w:bCs/>
        </w:rPr>
      </w:pPr>
      <w:r w:rsidRPr="00CE5D9A">
        <w:rPr>
          <w:rFonts w:ascii="Times New Roman" w:hAnsi="Times New Roman"/>
        </w:rPr>
        <w:t xml:space="preserve">Poza specyficznymi i rozpoznawalnymi na większą skalę produktami, wytwarzane są tutaj produkty tradycyjne, w tym te wpisane na Listę Produktów Tradycyjnych Ministerstwa Rolnictwa i Rozwoju Wsi </w:t>
      </w:r>
      <w:r w:rsidRPr="00CE5D9A">
        <w:rPr>
          <w:rFonts w:ascii="Times New Roman" w:hAnsi="Times New Roman"/>
        </w:rPr>
        <w:br/>
        <w:t>z Województwa Małopolskiego. Są to</w:t>
      </w:r>
      <w:r w:rsidRPr="00CE5D9A">
        <w:rPr>
          <w:rFonts w:ascii="Times New Roman" w:hAnsi="Times New Roman"/>
          <w:vertAlign w:val="superscript"/>
        </w:rPr>
        <w:footnoteReference w:id="33"/>
      </w:r>
      <w:r w:rsidRPr="00CE5D9A">
        <w:rPr>
          <w:rFonts w:ascii="Times New Roman" w:hAnsi="Times New Roman"/>
        </w:rPr>
        <w:t>: Sułkowicka Krzonówka (wpisana na Listę Produktów Tradycyjnych w dniu 1 grudnia 2010 r. w kategorii gotowe dania i potrawy), boczek tradycyjny raciechowicki (wpisany na Listę Produktów Tradycyjnych w dniu 9 marca 2016 r. w kategorii mięso i wędliny), kiełbasa wiejska raciechowicka (wpisana na Listę Produktów Tradycyjnych w dniu 9 marca 2016 r. w kategorii mięso i wędliny), schab tradycyjny raciechowicki (wpisany na Listę Produktów Tradycyjnych w dniu 9 marca 2016 r. w kategorii mięso i wędliny), szynka tradycyjna raciechowicka (wpisana na Listę Produktów Tradycyjnych w dniu 9 marca 2016 r. w kategorii mięso i wędliny), jabłko z Raciechowic (wpisane na Listę Produktów Tradycyjnych w dniu 27 kwietnia 2006 r. w kategorii wyroby owoce i warzywa).</w:t>
      </w:r>
    </w:p>
    <w:p w14:paraId="515E4AC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Na obszarze organizowane są również różne wydarzenia kulturalne, sportowe oraz promujące lokalne tradycje, skierowane zarówno do mieszkańców jak i turystów. Podczas organizowanych przez gminy LGD imprez cyklicznych, odbywają się konkursy potraw regionalnych, w których uczestniczą Koła Gospodyń Wiejskich </w:t>
      </w:r>
      <w:r w:rsidRPr="00CE5D9A">
        <w:rPr>
          <w:rFonts w:ascii="Times New Roman" w:hAnsi="Times New Roman"/>
        </w:rPr>
        <w:br/>
        <w:t xml:space="preserve">i gospodarstwa agroturystyczne. </w:t>
      </w:r>
    </w:p>
    <w:p w14:paraId="2967F097" w14:textId="77777777" w:rsidR="00686DFE" w:rsidRPr="00CE5D9A" w:rsidRDefault="00686DFE">
      <w:pPr>
        <w:suppressAutoHyphens/>
        <w:autoSpaceDN w:val="0"/>
        <w:spacing w:after="0" w:line="276" w:lineRule="auto"/>
        <w:ind w:firstLine="708"/>
        <w:jc w:val="both"/>
        <w:textAlignment w:val="baseline"/>
        <w:rPr>
          <w:rFonts w:ascii="Times New Roman" w:eastAsia="Times New Roman" w:hAnsi="Times New Roman"/>
          <w:lang w:eastAsia="pl-PL"/>
        </w:rPr>
      </w:pPr>
      <w:r w:rsidRPr="00CE5D9A">
        <w:rPr>
          <w:rFonts w:ascii="Times New Roman" w:eastAsia="Times New Roman" w:hAnsi="Times New Roman"/>
          <w:lang w:eastAsia="pl-PL"/>
        </w:rPr>
        <w:t xml:space="preserve">Zdaniem mieszkańców najważniejszy dla obszaru jest rozwój turystyki, która wygeneruje popyt również w innych branżach. Szansy rozwoju mieszkańcy upatrują w rozwoju turystyki i agroturystyki, które przyczynią się do promocji zdrowych i naturalnych produktów lokalnych oraz zdrowego stylu życia. Moda na produkty lokalne oraz ich certyfikacja, a także ogólnie panująca tendencja promowania zdrowej i ekologicznej żywności, mogą być szansą dla zwiększenia rozpoznawalności obszaru. Rosnąca mobilność ludności i zwiększająca się ilość osób podróżujących po Polsce, wpłynie na wzrost liczby turystów na obszarze LGD. </w:t>
      </w:r>
    </w:p>
    <w:p w14:paraId="13859618" w14:textId="77777777" w:rsidR="00686DFE" w:rsidRPr="00CE5D9A" w:rsidRDefault="00686DFE">
      <w:pPr>
        <w:suppressAutoHyphens/>
        <w:autoSpaceDN w:val="0"/>
        <w:spacing w:after="0" w:line="276" w:lineRule="auto"/>
        <w:ind w:firstLine="708"/>
        <w:jc w:val="both"/>
        <w:textAlignment w:val="baseline"/>
        <w:rPr>
          <w:rFonts w:ascii="Times New Roman" w:eastAsia="Times New Roman" w:hAnsi="Times New Roman"/>
          <w:lang w:eastAsia="pl-PL"/>
        </w:rPr>
      </w:pPr>
      <w:r w:rsidRPr="00CE5D9A">
        <w:rPr>
          <w:rFonts w:ascii="Times New Roman" w:eastAsia="Times New Roman" w:hAnsi="Times New Roman"/>
          <w:lang w:eastAsia="pl-PL"/>
        </w:rPr>
        <w:lastRenderedPageBreak/>
        <w:t>Jako przykładowe rozwiązanie wskazano tworzenie wiosek tematycznych. Jest to innowacyjny sposób na ożywienie gospodarki wiejskiej oraz zapewnienie mieszkańcom wsi alternatywnych dochodów. Oferta wiosek tematycznych – budowana na bazie zasobów przyrodniczych, kulturowych i historycznych danej miejscowości – pozwala przyciągnąć na tereny wiejskie turystów oraz zintegrować lokalną społeczność.</w:t>
      </w:r>
    </w:p>
    <w:p w14:paraId="06DBC3E8" w14:textId="77777777" w:rsidR="00686DFE" w:rsidRPr="00CE5D9A" w:rsidRDefault="00686DFE">
      <w:pPr>
        <w:suppressAutoHyphens/>
        <w:autoSpaceDN w:val="0"/>
        <w:spacing w:after="0" w:line="276" w:lineRule="auto"/>
        <w:ind w:firstLine="708"/>
        <w:jc w:val="both"/>
        <w:textAlignment w:val="baseline"/>
        <w:rPr>
          <w:rFonts w:ascii="Times New Roman" w:eastAsia="Times New Roman" w:hAnsi="Times New Roman"/>
          <w:lang w:eastAsia="pl-PL"/>
        </w:rPr>
      </w:pPr>
      <w:r w:rsidRPr="00CE5D9A">
        <w:rPr>
          <w:rFonts w:ascii="Times New Roman" w:eastAsia="Times New Roman" w:hAnsi="Times New Roman"/>
          <w:lang w:eastAsia="pl-PL"/>
        </w:rPr>
        <w:t xml:space="preserve">Ważne jest, aby wykorzystać potencjały obszaru do dalszego rozwoju agroturystyki na obszarze LGD poprzez tworzenie odpowiednich warunków do rozwoju działalności gospodarczej. Uzupełnieniem gospodarstw agroturystycznych może być prowadzenie zagrody edukacyjnej na rzecz edukacji poprzez organizowanie warsztatów w swoim gospodarstwie rolnym. </w:t>
      </w:r>
    </w:p>
    <w:p w14:paraId="37F73CB3" w14:textId="77777777" w:rsidR="00E236DA" w:rsidRPr="00CE5D9A" w:rsidRDefault="00686DFE">
      <w:pPr>
        <w:spacing w:line="276" w:lineRule="auto"/>
        <w:ind w:firstLine="708"/>
        <w:jc w:val="both"/>
        <w:rPr>
          <w:rFonts w:ascii="Times New Roman" w:eastAsia="Times New Roman" w:hAnsi="Times New Roman"/>
          <w:lang w:eastAsia="pl-PL"/>
        </w:rPr>
      </w:pPr>
      <w:r w:rsidRPr="00CE5D9A">
        <w:rPr>
          <w:rFonts w:ascii="Times New Roman" w:eastAsia="Times New Roman" w:hAnsi="Times New Roman"/>
          <w:lang w:eastAsia="pl-PL"/>
        </w:rPr>
        <w:t>Obszar LSR charakteryzuje się terenami sprzyjającymi prowadzeniu działalności agroturystycznej oraz związanej z wypoczynkiem i rekreacją oraz niewykorzystanym w pełni potencjałem zasobów ludzkich. Zapotrzebowanie na tego typu działania związane jest z zainteresowaniem mieszkańców do rozwoju swoich gospodarstw rolnych, co licznie podkreślano podczas spotkań z mieszkańcami na etapie opracowania LSR.</w:t>
      </w:r>
    </w:p>
    <w:p w14:paraId="22E07951" w14:textId="77777777" w:rsidR="00686DFE" w:rsidRPr="00CE5D9A" w:rsidRDefault="00686DFE">
      <w:pPr>
        <w:pStyle w:val="Akapitzlist"/>
        <w:numPr>
          <w:ilvl w:val="1"/>
          <w:numId w:val="15"/>
        </w:numPr>
        <w:spacing w:before="240"/>
        <w:ind w:left="1701" w:hanging="567"/>
        <w:rPr>
          <w:rFonts w:ascii="Times New Roman" w:hAnsi="Times New Roman"/>
          <w:b/>
          <w:bCs/>
        </w:rPr>
      </w:pPr>
      <w:r w:rsidRPr="00CE5D9A">
        <w:rPr>
          <w:rFonts w:ascii="Times New Roman" w:hAnsi="Times New Roman"/>
          <w:b/>
          <w:bCs/>
        </w:rPr>
        <w:t>Edukacja</w:t>
      </w:r>
    </w:p>
    <w:p w14:paraId="189AED8C" w14:textId="0304CB79" w:rsidR="00686DFE" w:rsidRPr="00CE5D9A" w:rsidRDefault="00686DFE">
      <w:pPr>
        <w:spacing w:after="0" w:line="276" w:lineRule="auto"/>
        <w:ind w:firstLine="709"/>
        <w:jc w:val="both"/>
        <w:rPr>
          <w:rFonts w:ascii="Times New Roman" w:hAnsi="Times New Roman"/>
          <w:szCs w:val="20"/>
        </w:rPr>
      </w:pPr>
      <w:r w:rsidRPr="00CE5D9A">
        <w:rPr>
          <w:rFonts w:ascii="Times New Roman" w:hAnsi="Times New Roman"/>
        </w:rPr>
        <w:t xml:space="preserve">W zakresie szkolnictwa podstawowego, na obszarze </w:t>
      </w:r>
      <w:r w:rsidR="0061486F" w:rsidRPr="00EB66C4">
        <w:rPr>
          <w:rFonts w:ascii="Times New Roman" w:hAnsi="Times New Roman"/>
          <w:color w:val="FF0000"/>
        </w:rPr>
        <w:t>LGD Regionu Myślenickiego</w:t>
      </w:r>
      <w:r w:rsidR="0061486F" w:rsidRPr="00CE5D9A">
        <w:rPr>
          <w:rFonts w:ascii="Times New Roman" w:hAnsi="Times New Roman"/>
        </w:rPr>
        <w:t xml:space="preserve"> </w:t>
      </w:r>
      <w:r w:rsidRPr="0061486F">
        <w:rPr>
          <w:rFonts w:ascii="Times New Roman" w:hAnsi="Times New Roman"/>
          <w:strike/>
          <w:color w:val="FF0000"/>
          <w:szCs w:val="20"/>
        </w:rPr>
        <w:t>LGD Między Dalinem i Gościbią</w:t>
      </w:r>
      <w:r w:rsidRPr="00CE5D9A">
        <w:rPr>
          <w:rFonts w:ascii="Times New Roman" w:hAnsi="Times New Roman"/>
          <w:szCs w:val="20"/>
        </w:rPr>
        <w:t xml:space="preserve"> zlokalizowane są następujące placówki oświatowe</w:t>
      </w:r>
      <w:r w:rsidRPr="00CE5D9A">
        <w:rPr>
          <w:rFonts w:ascii="Times New Roman" w:hAnsi="Times New Roman"/>
          <w:szCs w:val="20"/>
          <w:vertAlign w:val="superscript"/>
        </w:rPr>
        <w:footnoteReference w:id="34"/>
      </w:r>
      <w:r w:rsidRPr="00CE5D9A">
        <w:rPr>
          <w:rFonts w:ascii="Times New Roman" w:hAnsi="Times New Roman"/>
          <w:szCs w:val="20"/>
        </w:rPr>
        <w:t>:</w:t>
      </w:r>
    </w:p>
    <w:p w14:paraId="0A97D487" w14:textId="77777777" w:rsidR="00686DFE" w:rsidRPr="00CE5D9A" w:rsidRDefault="00686DFE">
      <w:pPr>
        <w:numPr>
          <w:ilvl w:val="0"/>
          <w:numId w:val="16"/>
        </w:numPr>
        <w:spacing w:after="0" w:line="276" w:lineRule="auto"/>
        <w:ind w:left="1134" w:hanging="425"/>
        <w:contextualSpacing/>
        <w:jc w:val="both"/>
        <w:rPr>
          <w:rFonts w:ascii="Times New Roman" w:hAnsi="Times New Roman"/>
          <w:szCs w:val="20"/>
        </w:rPr>
      </w:pPr>
      <w:r w:rsidRPr="00CE5D9A">
        <w:rPr>
          <w:rFonts w:ascii="Times New Roman" w:hAnsi="Times New Roman"/>
          <w:szCs w:val="20"/>
        </w:rPr>
        <w:t>Gmina Lubień: cztery publiczne placówki oświatowe – po jednej w Lubniu, Tenczynie, Krzeczowie oraz Skomielnej Białej;</w:t>
      </w:r>
    </w:p>
    <w:p w14:paraId="7DC0E926" w14:textId="77777777" w:rsidR="00686DFE" w:rsidRPr="00CE5D9A" w:rsidRDefault="00686DFE">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Gmina Myślenice: osiemnaście publicznych placówek oświatowych – cztery w Myślenicach, po jednej w Bęczarce, Borzęcie, Bysinie, Drogini, Głogoczowie, Jasienicy, Jaworniku, Krzyszkowicach, Osieczanach, Polance, Porębie, Trzemeśni, Zasani oraz Zawadzie;</w:t>
      </w:r>
    </w:p>
    <w:p w14:paraId="6CBD5A27" w14:textId="77777777" w:rsidR="00686DFE" w:rsidRPr="00CE5D9A" w:rsidRDefault="00686DFE">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 xml:space="preserve">Gmina Pcim: pięć publicznych placówek oświatowych – dwie w Stróży, dwie w Pcimiu oraz jedna </w:t>
      </w:r>
      <w:r w:rsidRPr="00CE5D9A">
        <w:rPr>
          <w:rFonts w:ascii="Times New Roman" w:hAnsi="Times New Roman"/>
          <w:szCs w:val="20"/>
        </w:rPr>
        <w:br/>
        <w:t>w Trzebuni;</w:t>
      </w:r>
    </w:p>
    <w:p w14:paraId="3738740B" w14:textId="77777777" w:rsidR="00686DFE" w:rsidRPr="00CE5D9A" w:rsidRDefault="00686DFE">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 xml:space="preserve">Gmina Raciechowice: pięć publicznych placówek oświatowych – po jednej w Raciechowicach, Gruszowie, Krzesławicach, Czasławiu oraz Zegartowicach; </w:t>
      </w:r>
    </w:p>
    <w:p w14:paraId="0BC896CD" w14:textId="77777777" w:rsidR="00E236DA" w:rsidRPr="00CE5D9A" w:rsidRDefault="00E236DA">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 xml:space="preserve">Gmina Siepraw: cztery publiczne placówki oświatowe – po jednej w Sieprawiu, Czechówce, Łyczance oraz Zakliczynie. </w:t>
      </w:r>
    </w:p>
    <w:p w14:paraId="294DF0EB" w14:textId="77777777" w:rsidR="00686DFE" w:rsidRPr="00CE5D9A" w:rsidRDefault="00686DFE">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 xml:space="preserve">Gmina Sułkowice: sześć publicznych placówek oświatowych – dwie w Sułkowicach, po jednej </w:t>
      </w:r>
      <w:r w:rsidRPr="00CE5D9A">
        <w:rPr>
          <w:rFonts w:ascii="Times New Roman" w:hAnsi="Times New Roman"/>
          <w:szCs w:val="20"/>
        </w:rPr>
        <w:br/>
        <w:t>w Rudniku, Harbutowicach, Biertowicach, Krzywaczce;</w:t>
      </w:r>
    </w:p>
    <w:p w14:paraId="2E2034EC" w14:textId="77777777" w:rsidR="00686DFE" w:rsidRPr="00CE5D9A" w:rsidRDefault="00686DFE">
      <w:pPr>
        <w:numPr>
          <w:ilvl w:val="0"/>
          <w:numId w:val="22"/>
        </w:numPr>
        <w:spacing w:after="200" w:line="276" w:lineRule="auto"/>
        <w:ind w:left="1134" w:hanging="425"/>
        <w:contextualSpacing/>
        <w:jc w:val="both"/>
        <w:rPr>
          <w:rFonts w:ascii="Times New Roman" w:hAnsi="Times New Roman"/>
          <w:szCs w:val="20"/>
        </w:rPr>
      </w:pPr>
      <w:r w:rsidRPr="00CE5D9A">
        <w:rPr>
          <w:rFonts w:ascii="Times New Roman" w:hAnsi="Times New Roman"/>
          <w:szCs w:val="20"/>
        </w:rPr>
        <w:t>Gmina Tokarnia: pięć publicznych placówek oświatowych – dwie w Tokarni, po jednej w Krzczonowie, Skomielnej Czarnej oraz w Bogdanówce;</w:t>
      </w:r>
    </w:p>
    <w:p w14:paraId="249B1B80" w14:textId="77777777" w:rsidR="00686DFE" w:rsidRPr="00CE5D9A" w:rsidRDefault="00686DFE">
      <w:pPr>
        <w:numPr>
          <w:ilvl w:val="0"/>
          <w:numId w:val="22"/>
        </w:numPr>
        <w:spacing w:line="276" w:lineRule="auto"/>
        <w:ind w:left="1134" w:hanging="425"/>
        <w:jc w:val="both"/>
        <w:rPr>
          <w:rFonts w:ascii="Times New Roman" w:hAnsi="Times New Roman"/>
          <w:szCs w:val="20"/>
        </w:rPr>
      </w:pPr>
      <w:r w:rsidRPr="00CE5D9A">
        <w:rPr>
          <w:rFonts w:ascii="Times New Roman" w:hAnsi="Times New Roman"/>
          <w:szCs w:val="20"/>
        </w:rPr>
        <w:t>Gmina Wiśniowa: pięć publicznych placówek oświatowych – po jednej w Glichowie, Kobielniku, Lipniku, Wiśniowej</w:t>
      </w:r>
      <w:r w:rsidRPr="00CE5D9A">
        <w:rPr>
          <w:rFonts w:ascii="Times New Roman" w:hAnsi="Times New Roman"/>
        </w:rPr>
        <w:t xml:space="preserve"> oraz </w:t>
      </w:r>
      <w:r w:rsidRPr="00CE5D9A">
        <w:rPr>
          <w:rFonts w:ascii="Times New Roman" w:hAnsi="Times New Roman"/>
          <w:shd w:val="clear" w:color="auto" w:fill="FFFFFF"/>
        </w:rPr>
        <w:t>Węglówce</w:t>
      </w:r>
      <w:r w:rsidRPr="00CE5D9A">
        <w:rPr>
          <w:rFonts w:ascii="Times New Roman" w:hAnsi="Times New Roman"/>
          <w:lang w:eastAsia="pl-PL"/>
        </w:rPr>
        <w:t>.</w:t>
      </w:r>
    </w:p>
    <w:p w14:paraId="6D7AC833" w14:textId="77777777" w:rsidR="00E236DA" w:rsidRPr="00CE5D9A" w:rsidRDefault="00686DFE">
      <w:pPr>
        <w:spacing w:line="276" w:lineRule="auto"/>
        <w:ind w:firstLine="708"/>
        <w:jc w:val="both"/>
        <w:rPr>
          <w:rFonts w:ascii="Times New Roman" w:hAnsi="Times New Roman"/>
          <w:szCs w:val="20"/>
        </w:rPr>
      </w:pPr>
      <w:r w:rsidRPr="00CE5D9A">
        <w:rPr>
          <w:rFonts w:ascii="Times New Roman" w:hAnsi="Times New Roman"/>
        </w:rPr>
        <w:t xml:space="preserve">W tabeli 16 przedstawiony został </w:t>
      </w:r>
      <w:r w:rsidRPr="00CE5D9A">
        <w:rPr>
          <w:rFonts w:ascii="Times New Roman" w:hAnsi="Times New Roman"/>
          <w:i/>
          <w:iCs/>
        </w:rPr>
        <w:t>współczynnik skolaryzacji brutto</w:t>
      </w:r>
      <w:r w:rsidRPr="00CE5D9A">
        <w:rPr>
          <w:rFonts w:ascii="Times New Roman" w:hAnsi="Times New Roman"/>
        </w:rPr>
        <w:t xml:space="preserve"> oraz </w:t>
      </w:r>
      <w:r w:rsidRPr="00CE5D9A">
        <w:rPr>
          <w:rFonts w:ascii="Times New Roman" w:hAnsi="Times New Roman"/>
          <w:i/>
          <w:iCs/>
        </w:rPr>
        <w:t xml:space="preserve">liczba uczniów w przeliczeniu na 1 000 mieszkańców. </w:t>
      </w:r>
      <w:r w:rsidRPr="00CE5D9A">
        <w:rPr>
          <w:rFonts w:ascii="Times New Roman" w:hAnsi="Times New Roman"/>
        </w:rPr>
        <w:t xml:space="preserve">Współczynnik skolaryzacji jest miarą powszechności nauczania, tj. służy do oceny aktywności edukacyjnej ludności. </w:t>
      </w:r>
      <w:r w:rsidRPr="00CE5D9A">
        <w:rPr>
          <w:rFonts w:ascii="Times New Roman" w:hAnsi="Times New Roman"/>
          <w:szCs w:val="20"/>
        </w:rPr>
        <w:t xml:space="preserve">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skolaryzacji, tym mniej dzieci, które w danej gminie powinny realizować obowiązek szkolny. Można założyć, że jeśli dzieci z danej gminy nie uczęszczają w niej do szkoły, to istnieje duże prawdopodobieństwo, że w ogóle fizycznie ich tam nie ma, a co za tym idzie – nie ma też rodziców (wyjazd za granicę, praca i nauka w większych ośrodkach miejskich). </w:t>
      </w:r>
    </w:p>
    <w:p w14:paraId="1A5F5067" w14:textId="6351450A" w:rsidR="00686DFE" w:rsidRPr="00CE5D9A" w:rsidRDefault="00686DFE">
      <w:pPr>
        <w:pStyle w:val="Legenda"/>
        <w:spacing w:after="0"/>
        <w:jc w:val="center"/>
        <w:rPr>
          <w:rFonts w:ascii="Times New Roman" w:hAnsi="Times New Roman"/>
          <w:color w:val="auto"/>
        </w:rPr>
      </w:pPr>
      <w:bookmarkStart w:id="117" w:name="_Toc112152416"/>
      <w:bookmarkStart w:id="118" w:name="_Toc194581440"/>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16</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Współczynnik skolaryzacji brutto oraz liczba uczniów w przeliczeniu na 1 000 mieszkańców </w:t>
      </w:r>
      <w:r w:rsidRPr="00CE5D9A">
        <w:rPr>
          <w:rFonts w:ascii="Times New Roman" w:hAnsi="Times New Roman"/>
          <w:b/>
          <w:bCs/>
          <w:i w:val="0"/>
          <w:iCs w:val="0"/>
          <w:color w:val="auto"/>
          <w:sz w:val="20"/>
          <w:szCs w:val="20"/>
        </w:rPr>
        <w:br/>
        <w:t>w poszczególnych gminach LGD oraz porównanie średniej obszaru LGD do województwa i kraju w latach 2016–2020</w:t>
      </w:r>
      <w:bookmarkEnd w:id="117"/>
      <w:bookmarkEnd w:id="118"/>
    </w:p>
    <w:tbl>
      <w:tblPr>
        <w:tblW w:w="5000" w:type="pct"/>
        <w:tblCellMar>
          <w:left w:w="70" w:type="dxa"/>
          <w:right w:w="70" w:type="dxa"/>
        </w:tblCellMar>
        <w:tblLook w:val="0000" w:firstRow="0" w:lastRow="0" w:firstColumn="0" w:lastColumn="0" w:noHBand="0" w:noVBand="0"/>
      </w:tblPr>
      <w:tblGrid>
        <w:gridCol w:w="2929"/>
        <w:gridCol w:w="711"/>
        <w:gridCol w:w="711"/>
        <w:gridCol w:w="711"/>
        <w:gridCol w:w="712"/>
        <w:gridCol w:w="714"/>
        <w:gridCol w:w="772"/>
        <w:gridCol w:w="772"/>
        <w:gridCol w:w="772"/>
        <w:gridCol w:w="772"/>
        <w:gridCol w:w="768"/>
      </w:tblGrid>
      <w:tr w:rsidR="00686DFE" w:rsidRPr="00CE5D9A" w14:paraId="41AA6972" w14:textId="77777777" w:rsidTr="00747D9B">
        <w:trPr>
          <w:trHeight w:val="340"/>
          <w:tblHeader/>
        </w:trPr>
        <w:tc>
          <w:tcPr>
            <w:tcW w:w="1416" w:type="pct"/>
            <w:vMerge w:val="restart"/>
            <w:tcBorders>
              <w:top w:val="single" w:sz="4" w:space="0" w:color="auto"/>
              <w:left w:val="single" w:sz="4" w:space="0" w:color="auto"/>
              <w:bottom w:val="single" w:sz="4" w:space="0" w:color="auto"/>
              <w:right w:val="single" w:sz="4" w:space="0" w:color="auto"/>
            </w:tcBorders>
            <w:noWrap/>
            <w:vAlign w:val="center"/>
          </w:tcPr>
          <w:p w14:paraId="559C4D4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720" w:type="pct"/>
            <w:gridSpan w:val="5"/>
            <w:tcBorders>
              <w:top w:val="single" w:sz="4" w:space="0" w:color="auto"/>
              <w:left w:val="nil"/>
              <w:bottom w:val="single" w:sz="4" w:space="0" w:color="auto"/>
              <w:right w:val="single" w:sz="4" w:space="0" w:color="auto"/>
            </w:tcBorders>
            <w:vAlign w:val="center"/>
          </w:tcPr>
          <w:p w14:paraId="684D1F5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Współczynnik skolaryzacji brutto</w:t>
            </w:r>
          </w:p>
        </w:tc>
        <w:tc>
          <w:tcPr>
            <w:tcW w:w="1864" w:type="pct"/>
            <w:gridSpan w:val="5"/>
            <w:tcBorders>
              <w:top w:val="single" w:sz="4" w:space="0" w:color="auto"/>
              <w:left w:val="nil"/>
              <w:bottom w:val="single" w:sz="4" w:space="0" w:color="auto"/>
              <w:right w:val="single" w:sz="4" w:space="0" w:color="auto"/>
            </w:tcBorders>
            <w:vAlign w:val="center"/>
          </w:tcPr>
          <w:p w14:paraId="71B82D2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Liczba uczniów w przeliczeniu na 1 000 mieszkańców</w:t>
            </w:r>
          </w:p>
        </w:tc>
      </w:tr>
      <w:tr w:rsidR="00686DFE" w:rsidRPr="00CE5D9A" w14:paraId="593621AA" w14:textId="77777777" w:rsidTr="00747D9B">
        <w:trPr>
          <w:trHeight w:val="340"/>
          <w:tblHeader/>
        </w:trPr>
        <w:tc>
          <w:tcPr>
            <w:tcW w:w="1416" w:type="pct"/>
            <w:vMerge/>
            <w:tcBorders>
              <w:top w:val="single" w:sz="4" w:space="0" w:color="auto"/>
              <w:left w:val="single" w:sz="4" w:space="0" w:color="auto"/>
              <w:bottom w:val="single" w:sz="4" w:space="0" w:color="auto"/>
              <w:right w:val="single" w:sz="4" w:space="0" w:color="auto"/>
            </w:tcBorders>
            <w:vAlign w:val="center"/>
          </w:tcPr>
          <w:p w14:paraId="419C208B"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344" w:type="pct"/>
            <w:tcBorders>
              <w:top w:val="nil"/>
              <w:left w:val="nil"/>
              <w:bottom w:val="single" w:sz="4" w:space="0" w:color="auto"/>
              <w:right w:val="single" w:sz="4" w:space="0" w:color="auto"/>
            </w:tcBorders>
            <w:noWrap/>
            <w:vAlign w:val="center"/>
          </w:tcPr>
          <w:p w14:paraId="1D993E1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344" w:type="pct"/>
            <w:tcBorders>
              <w:top w:val="nil"/>
              <w:left w:val="nil"/>
              <w:bottom w:val="single" w:sz="4" w:space="0" w:color="auto"/>
              <w:right w:val="single" w:sz="4" w:space="0" w:color="auto"/>
            </w:tcBorders>
            <w:noWrap/>
            <w:vAlign w:val="center"/>
          </w:tcPr>
          <w:p w14:paraId="1AEF46F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344" w:type="pct"/>
            <w:tcBorders>
              <w:top w:val="nil"/>
              <w:left w:val="nil"/>
              <w:bottom w:val="single" w:sz="4" w:space="0" w:color="auto"/>
              <w:right w:val="single" w:sz="4" w:space="0" w:color="auto"/>
            </w:tcBorders>
            <w:noWrap/>
            <w:vAlign w:val="center"/>
          </w:tcPr>
          <w:p w14:paraId="6882CA1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344" w:type="pct"/>
            <w:tcBorders>
              <w:top w:val="nil"/>
              <w:left w:val="nil"/>
              <w:bottom w:val="single" w:sz="4" w:space="0" w:color="auto"/>
              <w:right w:val="single" w:sz="4" w:space="0" w:color="auto"/>
            </w:tcBorders>
            <w:noWrap/>
            <w:vAlign w:val="center"/>
          </w:tcPr>
          <w:p w14:paraId="7C90F74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345" w:type="pct"/>
            <w:tcBorders>
              <w:top w:val="nil"/>
              <w:left w:val="nil"/>
              <w:bottom w:val="single" w:sz="4" w:space="0" w:color="auto"/>
              <w:right w:val="single" w:sz="4" w:space="0" w:color="auto"/>
            </w:tcBorders>
            <w:noWrap/>
            <w:vAlign w:val="center"/>
          </w:tcPr>
          <w:p w14:paraId="606B4DD6"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373" w:type="pct"/>
            <w:tcBorders>
              <w:top w:val="nil"/>
              <w:left w:val="nil"/>
              <w:bottom w:val="single" w:sz="4" w:space="0" w:color="auto"/>
              <w:right w:val="single" w:sz="4" w:space="0" w:color="auto"/>
            </w:tcBorders>
            <w:noWrap/>
            <w:vAlign w:val="center"/>
          </w:tcPr>
          <w:p w14:paraId="0F95EC1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2016</w:t>
            </w:r>
          </w:p>
        </w:tc>
        <w:tc>
          <w:tcPr>
            <w:tcW w:w="373" w:type="pct"/>
            <w:tcBorders>
              <w:top w:val="nil"/>
              <w:left w:val="nil"/>
              <w:bottom w:val="single" w:sz="4" w:space="0" w:color="auto"/>
              <w:right w:val="single" w:sz="4" w:space="0" w:color="auto"/>
            </w:tcBorders>
            <w:noWrap/>
            <w:vAlign w:val="center"/>
          </w:tcPr>
          <w:p w14:paraId="058E6CD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2017</w:t>
            </w:r>
          </w:p>
        </w:tc>
        <w:tc>
          <w:tcPr>
            <w:tcW w:w="373" w:type="pct"/>
            <w:tcBorders>
              <w:top w:val="nil"/>
              <w:left w:val="nil"/>
              <w:bottom w:val="single" w:sz="4" w:space="0" w:color="auto"/>
              <w:right w:val="single" w:sz="4" w:space="0" w:color="auto"/>
            </w:tcBorders>
            <w:noWrap/>
            <w:vAlign w:val="center"/>
          </w:tcPr>
          <w:p w14:paraId="43F363EE"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2018</w:t>
            </w:r>
          </w:p>
        </w:tc>
        <w:tc>
          <w:tcPr>
            <w:tcW w:w="373" w:type="pct"/>
            <w:tcBorders>
              <w:top w:val="nil"/>
              <w:left w:val="nil"/>
              <w:bottom w:val="single" w:sz="4" w:space="0" w:color="auto"/>
              <w:right w:val="single" w:sz="4" w:space="0" w:color="auto"/>
            </w:tcBorders>
            <w:noWrap/>
            <w:vAlign w:val="center"/>
          </w:tcPr>
          <w:p w14:paraId="6B4D6EC9"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371" w:type="pct"/>
            <w:tcBorders>
              <w:top w:val="nil"/>
              <w:left w:val="nil"/>
              <w:bottom w:val="single" w:sz="4" w:space="0" w:color="auto"/>
              <w:right w:val="single" w:sz="4" w:space="0" w:color="auto"/>
            </w:tcBorders>
            <w:noWrap/>
            <w:vAlign w:val="center"/>
          </w:tcPr>
          <w:p w14:paraId="14A0003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r>
      <w:tr w:rsidR="00686DFE" w:rsidRPr="00CE5D9A" w14:paraId="0B135BC3"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0CB65A1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344" w:type="pct"/>
            <w:tcBorders>
              <w:top w:val="nil"/>
              <w:left w:val="nil"/>
              <w:bottom w:val="single" w:sz="4" w:space="0" w:color="auto"/>
              <w:right w:val="single" w:sz="4" w:space="0" w:color="auto"/>
            </w:tcBorders>
            <w:noWrap/>
            <w:vAlign w:val="center"/>
          </w:tcPr>
          <w:p w14:paraId="4AABDE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92,8</w:t>
            </w:r>
          </w:p>
        </w:tc>
        <w:tc>
          <w:tcPr>
            <w:tcW w:w="344" w:type="pct"/>
            <w:tcBorders>
              <w:top w:val="nil"/>
              <w:left w:val="nil"/>
              <w:bottom w:val="single" w:sz="4" w:space="0" w:color="auto"/>
              <w:right w:val="single" w:sz="4" w:space="0" w:color="auto"/>
            </w:tcBorders>
            <w:noWrap/>
            <w:vAlign w:val="center"/>
          </w:tcPr>
          <w:p w14:paraId="3E90521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91,9</w:t>
            </w:r>
          </w:p>
        </w:tc>
        <w:tc>
          <w:tcPr>
            <w:tcW w:w="344" w:type="pct"/>
            <w:tcBorders>
              <w:top w:val="nil"/>
              <w:left w:val="nil"/>
              <w:bottom w:val="single" w:sz="4" w:space="0" w:color="auto"/>
              <w:right w:val="single" w:sz="4" w:space="0" w:color="auto"/>
            </w:tcBorders>
            <w:noWrap/>
            <w:vAlign w:val="center"/>
          </w:tcPr>
          <w:p w14:paraId="41AB205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94,5</w:t>
            </w:r>
          </w:p>
        </w:tc>
        <w:tc>
          <w:tcPr>
            <w:tcW w:w="344" w:type="pct"/>
            <w:tcBorders>
              <w:top w:val="nil"/>
              <w:left w:val="nil"/>
              <w:bottom w:val="single" w:sz="4" w:space="0" w:color="auto"/>
              <w:right w:val="single" w:sz="4" w:space="0" w:color="auto"/>
            </w:tcBorders>
            <w:noWrap/>
            <w:vAlign w:val="center"/>
          </w:tcPr>
          <w:p w14:paraId="5D04827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93,1</w:t>
            </w:r>
          </w:p>
        </w:tc>
        <w:tc>
          <w:tcPr>
            <w:tcW w:w="345" w:type="pct"/>
            <w:tcBorders>
              <w:top w:val="nil"/>
              <w:left w:val="nil"/>
              <w:bottom w:val="single" w:sz="4" w:space="0" w:color="auto"/>
              <w:right w:val="single" w:sz="4" w:space="0" w:color="auto"/>
            </w:tcBorders>
            <w:noWrap/>
            <w:vAlign w:val="center"/>
          </w:tcPr>
          <w:p w14:paraId="110E1FC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94,8</w:t>
            </w:r>
          </w:p>
        </w:tc>
        <w:tc>
          <w:tcPr>
            <w:tcW w:w="373" w:type="pct"/>
            <w:tcBorders>
              <w:top w:val="nil"/>
              <w:left w:val="nil"/>
              <w:bottom w:val="single" w:sz="4" w:space="0" w:color="auto"/>
              <w:right w:val="single" w:sz="4" w:space="0" w:color="auto"/>
            </w:tcBorders>
            <w:noWrap/>
            <w:vAlign w:val="center"/>
          </w:tcPr>
          <w:p w14:paraId="65E58AC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w:t>
            </w:r>
          </w:p>
        </w:tc>
        <w:tc>
          <w:tcPr>
            <w:tcW w:w="373" w:type="pct"/>
            <w:tcBorders>
              <w:top w:val="nil"/>
              <w:left w:val="nil"/>
              <w:bottom w:val="single" w:sz="4" w:space="0" w:color="auto"/>
              <w:right w:val="single" w:sz="4" w:space="0" w:color="auto"/>
            </w:tcBorders>
            <w:noWrap/>
            <w:vAlign w:val="center"/>
          </w:tcPr>
          <w:p w14:paraId="320ACA3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373" w:type="pct"/>
            <w:tcBorders>
              <w:top w:val="nil"/>
              <w:left w:val="nil"/>
              <w:bottom w:val="single" w:sz="4" w:space="0" w:color="auto"/>
              <w:right w:val="single" w:sz="4" w:space="0" w:color="auto"/>
            </w:tcBorders>
            <w:noWrap/>
            <w:vAlign w:val="center"/>
          </w:tcPr>
          <w:p w14:paraId="62FB8CF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373" w:type="pct"/>
            <w:tcBorders>
              <w:top w:val="nil"/>
              <w:left w:val="nil"/>
              <w:bottom w:val="single" w:sz="4" w:space="0" w:color="auto"/>
              <w:right w:val="single" w:sz="4" w:space="0" w:color="auto"/>
            </w:tcBorders>
            <w:noWrap/>
            <w:vAlign w:val="center"/>
          </w:tcPr>
          <w:p w14:paraId="675BF7C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97</w:t>
            </w:r>
          </w:p>
        </w:tc>
        <w:tc>
          <w:tcPr>
            <w:tcW w:w="371" w:type="pct"/>
            <w:tcBorders>
              <w:top w:val="nil"/>
              <w:left w:val="nil"/>
              <w:bottom w:val="single" w:sz="4" w:space="0" w:color="auto"/>
              <w:right w:val="single" w:sz="4" w:space="0" w:color="auto"/>
            </w:tcBorders>
            <w:noWrap/>
            <w:vAlign w:val="center"/>
          </w:tcPr>
          <w:p w14:paraId="4E3CBC5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98</w:t>
            </w:r>
          </w:p>
        </w:tc>
      </w:tr>
      <w:tr w:rsidR="00686DFE" w:rsidRPr="00CE5D9A" w14:paraId="1ADFB4A6"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00B3F3C1"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344" w:type="pct"/>
            <w:tcBorders>
              <w:top w:val="nil"/>
              <w:left w:val="nil"/>
              <w:bottom w:val="single" w:sz="4" w:space="0" w:color="auto"/>
              <w:right w:val="single" w:sz="4" w:space="0" w:color="auto"/>
            </w:tcBorders>
            <w:noWrap/>
            <w:vAlign w:val="center"/>
          </w:tcPr>
          <w:p w14:paraId="129AD12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100,6</w:t>
            </w:r>
          </w:p>
        </w:tc>
        <w:tc>
          <w:tcPr>
            <w:tcW w:w="344" w:type="pct"/>
            <w:tcBorders>
              <w:top w:val="nil"/>
              <w:left w:val="nil"/>
              <w:bottom w:val="single" w:sz="4" w:space="0" w:color="auto"/>
              <w:right w:val="single" w:sz="4" w:space="0" w:color="auto"/>
            </w:tcBorders>
            <w:noWrap/>
            <w:vAlign w:val="center"/>
          </w:tcPr>
          <w:p w14:paraId="5856E58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99,3</w:t>
            </w:r>
          </w:p>
        </w:tc>
        <w:tc>
          <w:tcPr>
            <w:tcW w:w="344" w:type="pct"/>
            <w:tcBorders>
              <w:top w:val="nil"/>
              <w:left w:val="nil"/>
              <w:bottom w:val="single" w:sz="4" w:space="0" w:color="auto"/>
              <w:right w:val="single" w:sz="4" w:space="0" w:color="auto"/>
            </w:tcBorders>
            <w:noWrap/>
            <w:vAlign w:val="center"/>
          </w:tcPr>
          <w:p w14:paraId="18AFD33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101,1</w:t>
            </w:r>
          </w:p>
        </w:tc>
        <w:tc>
          <w:tcPr>
            <w:tcW w:w="344" w:type="pct"/>
            <w:tcBorders>
              <w:top w:val="nil"/>
              <w:left w:val="nil"/>
              <w:bottom w:val="single" w:sz="4" w:space="0" w:color="auto"/>
              <w:right w:val="single" w:sz="4" w:space="0" w:color="auto"/>
            </w:tcBorders>
            <w:noWrap/>
            <w:vAlign w:val="center"/>
          </w:tcPr>
          <w:p w14:paraId="2C4656B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100,5</w:t>
            </w:r>
          </w:p>
        </w:tc>
        <w:tc>
          <w:tcPr>
            <w:tcW w:w="345" w:type="pct"/>
            <w:tcBorders>
              <w:top w:val="nil"/>
              <w:left w:val="nil"/>
              <w:bottom w:val="single" w:sz="4" w:space="0" w:color="auto"/>
              <w:right w:val="single" w:sz="4" w:space="0" w:color="auto"/>
            </w:tcBorders>
            <w:noWrap/>
            <w:vAlign w:val="center"/>
          </w:tcPr>
          <w:p w14:paraId="217AA39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103,8</w:t>
            </w:r>
          </w:p>
        </w:tc>
        <w:tc>
          <w:tcPr>
            <w:tcW w:w="373" w:type="pct"/>
            <w:tcBorders>
              <w:top w:val="nil"/>
              <w:left w:val="nil"/>
              <w:bottom w:val="single" w:sz="4" w:space="0" w:color="auto"/>
              <w:right w:val="single" w:sz="4" w:space="0" w:color="auto"/>
            </w:tcBorders>
            <w:noWrap/>
            <w:vAlign w:val="center"/>
          </w:tcPr>
          <w:p w14:paraId="78E2DF9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71</w:t>
            </w:r>
          </w:p>
        </w:tc>
        <w:tc>
          <w:tcPr>
            <w:tcW w:w="373" w:type="pct"/>
            <w:tcBorders>
              <w:top w:val="nil"/>
              <w:left w:val="nil"/>
              <w:bottom w:val="single" w:sz="4" w:space="0" w:color="auto"/>
              <w:right w:val="single" w:sz="4" w:space="0" w:color="auto"/>
            </w:tcBorders>
            <w:noWrap/>
            <w:vAlign w:val="center"/>
          </w:tcPr>
          <w:p w14:paraId="32A9DC0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373" w:type="pct"/>
            <w:tcBorders>
              <w:top w:val="nil"/>
              <w:left w:val="nil"/>
              <w:bottom w:val="single" w:sz="4" w:space="0" w:color="auto"/>
              <w:right w:val="single" w:sz="4" w:space="0" w:color="auto"/>
            </w:tcBorders>
            <w:noWrap/>
            <w:vAlign w:val="center"/>
          </w:tcPr>
          <w:p w14:paraId="396C0AA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373" w:type="pct"/>
            <w:tcBorders>
              <w:top w:val="nil"/>
              <w:left w:val="nil"/>
              <w:bottom w:val="single" w:sz="4" w:space="0" w:color="auto"/>
              <w:right w:val="single" w:sz="4" w:space="0" w:color="auto"/>
            </w:tcBorders>
            <w:noWrap/>
            <w:vAlign w:val="center"/>
          </w:tcPr>
          <w:p w14:paraId="00E2B03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w:t>
            </w:r>
          </w:p>
        </w:tc>
        <w:tc>
          <w:tcPr>
            <w:tcW w:w="371" w:type="pct"/>
            <w:tcBorders>
              <w:top w:val="nil"/>
              <w:left w:val="nil"/>
              <w:bottom w:val="single" w:sz="4" w:space="0" w:color="auto"/>
              <w:right w:val="single" w:sz="4" w:space="0" w:color="auto"/>
            </w:tcBorders>
            <w:noWrap/>
            <w:vAlign w:val="center"/>
          </w:tcPr>
          <w:p w14:paraId="13901E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r>
      <w:tr w:rsidR="00686DFE" w:rsidRPr="00CE5D9A" w14:paraId="7DA10AB6"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1322042F"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344" w:type="pct"/>
            <w:tcBorders>
              <w:top w:val="nil"/>
              <w:left w:val="nil"/>
              <w:bottom w:val="single" w:sz="4" w:space="0" w:color="auto"/>
              <w:right w:val="single" w:sz="4" w:space="0" w:color="auto"/>
            </w:tcBorders>
            <w:noWrap/>
            <w:vAlign w:val="center"/>
          </w:tcPr>
          <w:p w14:paraId="1B073FE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95,6</w:t>
            </w:r>
          </w:p>
        </w:tc>
        <w:tc>
          <w:tcPr>
            <w:tcW w:w="344" w:type="pct"/>
            <w:tcBorders>
              <w:top w:val="nil"/>
              <w:left w:val="nil"/>
              <w:bottom w:val="single" w:sz="4" w:space="0" w:color="auto"/>
              <w:right w:val="single" w:sz="4" w:space="0" w:color="auto"/>
            </w:tcBorders>
            <w:noWrap/>
            <w:vAlign w:val="center"/>
          </w:tcPr>
          <w:p w14:paraId="002C35D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95,4</w:t>
            </w:r>
          </w:p>
        </w:tc>
        <w:tc>
          <w:tcPr>
            <w:tcW w:w="344" w:type="pct"/>
            <w:tcBorders>
              <w:top w:val="nil"/>
              <w:left w:val="nil"/>
              <w:bottom w:val="single" w:sz="4" w:space="0" w:color="auto"/>
              <w:right w:val="single" w:sz="4" w:space="0" w:color="auto"/>
            </w:tcBorders>
            <w:noWrap/>
            <w:vAlign w:val="center"/>
          </w:tcPr>
          <w:p w14:paraId="3B192C1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94,9</w:t>
            </w:r>
          </w:p>
        </w:tc>
        <w:tc>
          <w:tcPr>
            <w:tcW w:w="344" w:type="pct"/>
            <w:tcBorders>
              <w:top w:val="nil"/>
              <w:left w:val="nil"/>
              <w:bottom w:val="single" w:sz="4" w:space="0" w:color="auto"/>
              <w:right w:val="single" w:sz="4" w:space="0" w:color="auto"/>
            </w:tcBorders>
            <w:noWrap/>
            <w:vAlign w:val="center"/>
          </w:tcPr>
          <w:p w14:paraId="4FBC4C8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92,8</w:t>
            </w:r>
          </w:p>
        </w:tc>
        <w:tc>
          <w:tcPr>
            <w:tcW w:w="345" w:type="pct"/>
            <w:tcBorders>
              <w:top w:val="nil"/>
              <w:left w:val="nil"/>
              <w:bottom w:val="single" w:sz="4" w:space="0" w:color="auto"/>
              <w:right w:val="single" w:sz="4" w:space="0" w:color="auto"/>
            </w:tcBorders>
            <w:noWrap/>
            <w:vAlign w:val="center"/>
          </w:tcPr>
          <w:p w14:paraId="05D1888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92,7</w:t>
            </w:r>
          </w:p>
        </w:tc>
        <w:tc>
          <w:tcPr>
            <w:tcW w:w="373" w:type="pct"/>
            <w:tcBorders>
              <w:top w:val="nil"/>
              <w:left w:val="nil"/>
              <w:bottom w:val="single" w:sz="4" w:space="0" w:color="auto"/>
              <w:right w:val="single" w:sz="4" w:space="0" w:color="auto"/>
            </w:tcBorders>
            <w:noWrap/>
            <w:vAlign w:val="center"/>
          </w:tcPr>
          <w:p w14:paraId="526F6B9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w:t>
            </w:r>
          </w:p>
        </w:tc>
        <w:tc>
          <w:tcPr>
            <w:tcW w:w="373" w:type="pct"/>
            <w:tcBorders>
              <w:top w:val="nil"/>
              <w:left w:val="nil"/>
              <w:bottom w:val="single" w:sz="4" w:space="0" w:color="auto"/>
              <w:right w:val="single" w:sz="4" w:space="0" w:color="auto"/>
            </w:tcBorders>
            <w:noWrap/>
            <w:vAlign w:val="center"/>
          </w:tcPr>
          <w:p w14:paraId="177EB9A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373" w:type="pct"/>
            <w:tcBorders>
              <w:top w:val="nil"/>
              <w:left w:val="nil"/>
              <w:bottom w:val="single" w:sz="4" w:space="0" w:color="auto"/>
              <w:right w:val="single" w:sz="4" w:space="0" w:color="auto"/>
            </w:tcBorders>
            <w:noWrap/>
            <w:vAlign w:val="center"/>
          </w:tcPr>
          <w:p w14:paraId="73A4E79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w:t>
            </w:r>
          </w:p>
        </w:tc>
        <w:tc>
          <w:tcPr>
            <w:tcW w:w="373" w:type="pct"/>
            <w:tcBorders>
              <w:top w:val="nil"/>
              <w:left w:val="nil"/>
              <w:bottom w:val="single" w:sz="4" w:space="0" w:color="auto"/>
              <w:right w:val="single" w:sz="4" w:space="0" w:color="auto"/>
            </w:tcBorders>
            <w:noWrap/>
            <w:vAlign w:val="center"/>
          </w:tcPr>
          <w:p w14:paraId="1854DD2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90</w:t>
            </w:r>
          </w:p>
        </w:tc>
        <w:tc>
          <w:tcPr>
            <w:tcW w:w="371" w:type="pct"/>
            <w:tcBorders>
              <w:top w:val="nil"/>
              <w:left w:val="nil"/>
              <w:bottom w:val="single" w:sz="4" w:space="0" w:color="auto"/>
              <w:right w:val="single" w:sz="4" w:space="0" w:color="auto"/>
            </w:tcBorders>
            <w:noWrap/>
            <w:vAlign w:val="center"/>
          </w:tcPr>
          <w:p w14:paraId="0AB5DB0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r>
      <w:tr w:rsidR="00686DFE" w:rsidRPr="00CE5D9A" w14:paraId="447778CF"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2624E087"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344" w:type="pct"/>
            <w:tcBorders>
              <w:top w:val="nil"/>
              <w:left w:val="nil"/>
              <w:bottom w:val="single" w:sz="4" w:space="0" w:color="auto"/>
              <w:right w:val="single" w:sz="4" w:space="0" w:color="auto"/>
            </w:tcBorders>
            <w:noWrap/>
            <w:vAlign w:val="center"/>
          </w:tcPr>
          <w:p w14:paraId="6FC670F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100,0</w:t>
            </w:r>
          </w:p>
        </w:tc>
        <w:tc>
          <w:tcPr>
            <w:tcW w:w="344" w:type="pct"/>
            <w:tcBorders>
              <w:top w:val="nil"/>
              <w:left w:val="nil"/>
              <w:bottom w:val="single" w:sz="4" w:space="0" w:color="auto"/>
              <w:right w:val="single" w:sz="4" w:space="0" w:color="auto"/>
            </w:tcBorders>
            <w:noWrap/>
            <w:vAlign w:val="center"/>
          </w:tcPr>
          <w:p w14:paraId="2AE95A8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105,6</w:t>
            </w:r>
          </w:p>
        </w:tc>
        <w:tc>
          <w:tcPr>
            <w:tcW w:w="344" w:type="pct"/>
            <w:tcBorders>
              <w:top w:val="nil"/>
              <w:left w:val="nil"/>
              <w:bottom w:val="single" w:sz="4" w:space="0" w:color="auto"/>
              <w:right w:val="single" w:sz="4" w:space="0" w:color="auto"/>
            </w:tcBorders>
            <w:noWrap/>
            <w:vAlign w:val="center"/>
          </w:tcPr>
          <w:p w14:paraId="5541AA2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98,0</w:t>
            </w:r>
          </w:p>
        </w:tc>
        <w:tc>
          <w:tcPr>
            <w:tcW w:w="344" w:type="pct"/>
            <w:tcBorders>
              <w:top w:val="nil"/>
              <w:left w:val="nil"/>
              <w:bottom w:val="single" w:sz="4" w:space="0" w:color="auto"/>
              <w:right w:val="single" w:sz="4" w:space="0" w:color="auto"/>
            </w:tcBorders>
            <w:noWrap/>
            <w:vAlign w:val="center"/>
          </w:tcPr>
          <w:p w14:paraId="5329893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95,0</w:t>
            </w:r>
          </w:p>
        </w:tc>
        <w:tc>
          <w:tcPr>
            <w:tcW w:w="345" w:type="pct"/>
            <w:tcBorders>
              <w:top w:val="nil"/>
              <w:left w:val="nil"/>
              <w:bottom w:val="single" w:sz="4" w:space="0" w:color="auto"/>
              <w:right w:val="single" w:sz="4" w:space="0" w:color="auto"/>
            </w:tcBorders>
            <w:noWrap/>
            <w:vAlign w:val="center"/>
          </w:tcPr>
          <w:p w14:paraId="7B81BDC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95,8</w:t>
            </w:r>
          </w:p>
        </w:tc>
        <w:tc>
          <w:tcPr>
            <w:tcW w:w="373" w:type="pct"/>
            <w:tcBorders>
              <w:top w:val="nil"/>
              <w:left w:val="nil"/>
              <w:bottom w:val="single" w:sz="4" w:space="0" w:color="auto"/>
              <w:right w:val="single" w:sz="4" w:space="0" w:color="auto"/>
            </w:tcBorders>
            <w:noWrap/>
            <w:vAlign w:val="center"/>
          </w:tcPr>
          <w:p w14:paraId="3B5B2B8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w:t>
            </w:r>
          </w:p>
        </w:tc>
        <w:tc>
          <w:tcPr>
            <w:tcW w:w="373" w:type="pct"/>
            <w:tcBorders>
              <w:top w:val="nil"/>
              <w:left w:val="nil"/>
              <w:bottom w:val="single" w:sz="4" w:space="0" w:color="auto"/>
              <w:right w:val="single" w:sz="4" w:space="0" w:color="auto"/>
            </w:tcBorders>
            <w:noWrap/>
            <w:vAlign w:val="center"/>
          </w:tcPr>
          <w:p w14:paraId="33A0B90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c>
          <w:tcPr>
            <w:tcW w:w="373" w:type="pct"/>
            <w:tcBorders>
              <w:top w:val="nil"/>
              <w:left w:val="nil"/>
              <w:bottom w:val="single" w:sz="4" w:space="0" w:color="auto"/>
              <w:right w:val="single" w:sz="4" w:space="0" w:color="auto"/>
            </w:tcBorders>
            <w:noWrap/>
            <w:vAlign w:val="center"/>
          </w:tcPr>
          <w:p w14:paraId="37E6E7C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w:t>
            </w:r>
          </w:p>
        </w:tc>
        <w:tc>
          <w:tcPr>
            <w:tcW w:w="373" w:type="pct"/>
            <w:tcBorders>
              <w:top w:val="nil"/>
              <w:left w:val="nil"/>
              <w:bottom w:val="single" w:sz="4" w:space="0" w:color="auto"/>
              <w:right w:val="single" w:sz="4" w:space="0" w:color="auto"/>
            </w:tcBorders>
            <w:noWrap/>
            <w:vAlign w:val="center"/>
          </w:tcPr>
          <w:p w14:paraId="3055C96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w:t>
            </w:r>
          </w:p>
        </w:tc>
        <w:tc>
          <w:tcPr>
            <w:tcW w:w="371" w:type="pct"/>
            <w:tcBorders>
              <w:top w:val="nil"/>
              <w:left w:val="nil"/>
              <w:bottom w:val="single" w:sz="4" w:space="0" w:color="auto"/>
              <w:right w:val="single" w:sz="4" w:space="0" w:color="auto"/>
            </w:tcBorders>
            <w:noWrap/>
            <w:vAlign w:val="center"/>
          </w:tcPr>
          <w:p w14:paraId="661B682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w:t>
            </w:r>
          </w:p>
        </w:tc>
      </w:tr>
      <w:tr w:rsidR="0089709C" w:rsidRPr="00CE5D9A" w14:paraId="5C999C41"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36627278" w14:textId="77777777" w:rsidR="0089709C" w:rsidRPr="00CE5D9A" w:rsidRDefault="0089709C">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344" w:type="pct"/>
            <w:tcBorders>
              <w:top w:val="nil"/>
              <w:left w:val="nil"/>
              <w:bottom w:val="single" w:sz="4" w:space="0" w:color="auto"/>
              <w:right w:val="single" w:sz="4" w:space="0" w:color="auto"/>
            </w:tcBorders>
            <w:noWrap/>
            <w:vAlign w:val="center"/>
          </w:tcPr>
          <w:p w14:paraId="79CE3431"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95,7</w:t>
            </w:r>
          </w:p>
        </w:tc>
        <w:tc>
          <w:tcPr>
            <w:tcW w:w="344" w:type="pct"/>
            <w:tcBorders>
              <w:top w:val="nil"/>
              <w:left w:val="nil"/>
              <w:bottom w:val="single" w:sz="4" w:space="0" w:color="auto"/>
              <w:right w:val="single" w:sz="4" w:space="0" w:color="auto"/>
            </w:tcBorders>
            <w:noWrap/>
            <w:vAlign w:val="center"/>
          </w:tcPr>
          <w:p w14:paraId="76B52A64"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94,9</w:t>
            </w:r>
          </w:p>
        </w:tc>
        <w:tc>
          <w:tcPr>
            <w:tcW w:w="344" w:type="pct"/>
            <w:tcBorders>
              <w:top w:val="nil"/>
              <w:left w:val="nil"/>
              <w:bottom w:val="single" w:sz="4" w:space="0" w:color="auto"/>
              <w:right w:val="single" w:sz="4" w:space="0" w:color="auto"/>
            </w:tcBorders>
            <w:noWrap/>
            <w:vAlign w:val="center"/>
          </w:tcPr>
          <w:p w14:paraId="1F28426E"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93,8</w:t>
            </w:r>
          </w:p>
        </w:tc>
        <w:tc>
          <w:tcPr>
            <w:tcW w:w="344" w:type="pct"/>
            <w:tcBorders>
              <w:top w:val="nil"/>
              <w:left w:val="nil"/>
              <w:bottom w:val="single" w:sz="4" w:space="0" w:color="auto"/>
              <w:right w:val="single" w:sz="4" w:space="0" w:color="auto"/>
            </w:tcBorders>
            <w:noWrap/>
            <w:vAlign w:val="center"/>
          </w:tcPr>
          <w:p w14:paraId="6689326D"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91,7</w:t>
            </w:r>
          </w:p>
        </w:tc>
        <w:tc>
          <w:tcPr>
            <w:tcW w:w="345" w:type="pct"/>
            <w:tcBorders>
              <w:top w:val="nil"/>
              <w:left w:val="nil"/>
              <w:bottom w:val="single" w:sz="4" w:space="0" w:color="auto"/>
              <w:right w:val="single" w:sz="4" w:space="0" w:color="auto"/>
            </w:tcBorders>
            <w:noWrap/>
            <w:vAlign w:val="center"/>
          </w:tcPr>
          <w:p w14:paraId="38606FD7"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92,4</w:t>
            </w:r>
          </w:p>
        </w:tc>
        <w:tc>
          <w:tcPr>
            <w:tcW w:w="373" w:type="pct"/>
            <w:tcBorders>
              <w:top w:val="nil"/>
              <w:left w:val="nil"/>
              <w:bottom w:val="single" w:sz="4" w:space="0" w:color="auto"/>
              <w:right w:val="single" w:sz="4" w:space="0" w:color="auto"/>
            </w:tcBorders>
            <w:noWrap/>
            <w:vAlign w:val="center"/>
          </w:tcPr>
          <w:p w14:paraId="66AF68B0"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74</w:t>
            </w:r>
          </w:p>
        </w:tc>
        <w:tc>
          <w:tcPr>
            <w:tcW w:w="373" w:type="pct"/>
            <w:tcBorders>
              <w:top w:val="nil"/>
              <w:left w:val="nil"/>
              <w:bottom w:val="single" w:sz="4" w:space="0" w:color="auto"/>
              <w:right w:val="single" w:sz="4" w:space="0" w:color="auto"/>
            </w:tcBorders>
            <w:noWrap/>
            <w:vAlign w:val="center"/>
          </w:tcPr>
          <w:p w14:paraId="7250231E"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85</w:t>
            </w:r>
          </w:p>
        </w:tc>
        <w:tc>
          <w:tcPr>
            <w:tcW w:w="373" w:type="pct"/>
            <w:tcBorders>
              <w:top w:val="nil"/>
              <w:left w:val="nil"/>
              <w:bottom w:val="single" w:sz="4" w:space="0" w:color="auto"/>
              <w:right w:val="single" w:sz="4" w:space="0" w:color="auto"/>
            </w:tcBorders>
            <w:noWrap/>
            <w:vAlign w:val="center"/>
          </w:tcPr>
          <w:p w14:paraId="0760276B"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w:t>
            </w:r>
          </w:p>
        </w:tc>
        <w:tc>
          <w:tcPr>
            <w:tcW w:w="373" w:type="pct"/>
            <w:tcBorders>
              <w:top w:val="nil"/>
              <w:left w:val="nil"/>
              <w:bottom w:val="single" w:sz="4" w:space="0" w:color="auto"/>
              <w:right w:val="single" w:sz="4" w:space="0" w:color="auto"/>
            </w:tcBorders>
            <w:noWrap/>
            <w:vAlign w:val="center"/>
          </w:tcPr>
          <w:p w14:paraId="0ED4EE8B"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w:t>
            </w:r>
          </w:p>
        </w:tc>
        <w:tc>
          <w:tcPr>
            <w:tcW w:w="371" w:type="pct"/>
            <w:tcBorders>
              <w:top w:val="nil"/>
              <w:left w:val="nil"/>
              <w:bottom w:val="single" w:sz="4" w:space="0" w:color="auto"/>
              <w:right w:val="single" w:sz="4" w:space="0" w:color="auto"/>
            </w:tcBorders>
            <w:noWrap/>
            <w:vAlign w:val="center"/>
          </w:tcPr>
          <w:p w14:paraId="19D00697" w14:textId="77777777" w:rsidR="0089709C" w:rsidRPr="00CE5D9A" w:rsidRDefault="0089709C" w:rsidP="0089709C">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90</w:t>
            </w:r>
          </w:p>
        </w:tc>
      </w:tr>
      <w:tr w:rsidR="00686DFE" w:rsidRPr="00CE5D9A" w14:paraId="37A4B8A2"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0C0C5BCF"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344" w:type="pct"/>
            <w:tcBorders>
              <w:top w:val="nil"/>
              <w:left w:val="nil"/>
              <w:bottom w:val="single" w:sz="4" w:space="0" w:color="auto"/>
              <w:right w:val="single" w:sz="4" w:space="0" w:color="auto"/>
            </w:tcBorders>
            <w:noWrap/>
            <w:vAlign w:val="center"/>
          </w:tcPr>
          <w:p w14:paraId="512AC0C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93,5</w:t>
            </w:r>
          </w:p>
        </w:tc>
        <w:tc>
          <w:tcPr>
            <w:tcW w:w="344" w:type="pct"/>
            <w:tcBorders>
              <w:top w:val="nil"/>
              <w:left w:val="nil"/>
              <w:bottom w:val="single" w:sz="4" w:space="0" w:color="auto"/>
              <w:right w:val="single" w:sz="4" w:space="0" w:color="auto"/>
            </w:tcBorders>
            <w:noWrap/>
            <w:vAlign w:val="center"/>
          </w:tcPr>
          <w:p w14:paraId="7032956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92,4</w:t>
            </w:r>
          </w:p>
        </w:tc>
        <w:tc>
          <w:tcPr>
            <w:tcW w:w="344" w:type="pct"/>
            <w:tcBorders>
              <w:top w:val="nil"/>
              <w:left w:val="nil"/>
              <w:bottom w:val="single" w:sz="4" w:space="0" w:color="auto"/>
              <w:right w:val="single" w:sz="4" w:space="0" w:color="auto"/>
            </w:tcBorders>
            <w:noWrap/>
            <w:vAlign w:val="center"/>
          </w:tcPr>
          <w:p w14:paraId="5F9AFEC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92,2</w:t>
            </w:r>
          </w:p>
        </w:tc>
        <w:tc>
          <w:tcPr>
            <w:tcW w:w="344" w:type="pct"/>
            <w:tcBorders>
              <w:top w:val="nil"/>
              <w:left w:val="nil"/>
              <w:bottom w:val="single" w:sz="4" w:space="0" w:color="auto"/>
              <w:right w:val="single" w:sz="4" w:space="0" w:color="auto"/>
            </w:tcBorders>
            <w:noWrap/>
            <w:vAlign w:val="center"/>
          </w:tcPr>
          <w:p w14:paraId="582C776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91,3</w:t>
            </w:r>
          </w:p>
        </w:tc>
        <w:tc>
          <w:tcPr>
            <w:tcW w:w="345" w:type="pct"/>
            <w:tcBorders>
              <w:top w:val="nil"/>
              <w:left w:val="nil"/>
              <w:bottom w:val="single" w:sz="4" w:space="0" w:color="auto"/>
              <w:right w:val="single" w:sz="4" w:space="0" w:color="auto"/>
            </w:tcBorders>
            <w:noWrap/>
            <w:vAlign w:val="center"/>
          </w:tcPr>
          <w:p w14:paraId="3CED67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91,5</w:t>
            </w:r>
          </w:p>
        </w:tc>
        <w:tc>
          <w:tcPr>
            <w:tcW w:w="373" w:type="pct"/>
            <w:tcBorders>
              <w:top w:val="nil"/>
              <w:left w:val="nil"/>
              <w:bottom w:val="single" w:sz="4" w:space="0" w:color="auto"/>
              <w:right w:val="single" w:sz="4" w:space="0" w:color="auto"/>
            </w:tcBorders>
            <w:noWrap/>
            <w:vAlign w:val="center"/>
          </w:tcPr>
          <w:p w14:paraId="7AB63AA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w:t>
            </w:r>
          </w:p>
        </w:tc>
        <w:tc>
          <w:tcPr>
            <w:tcW w:w="373" w:type="pct"/>
            <w:tcBorders>
              <w:top w:val="nil"/>
              <w:left w:val="nil"/>
              <w:bottom w:val="single" w:sz="4" w:space="0" w:color="auto"/>
              <w:right w:val="single" w:sz="4" w:space="0" w:color="auto"/>
            </w:tcBorders>
            <w:noWrap/>
            <w:vAlign w:val="center"/>
          </w:tcPr>
          <w:p w14:paraId="3BF55A2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w:t>
            </w:r>
          </w:p>
        </w:tc>
        <w:tc>
          <w:tcPr>
            <w:tcW w:w="373" w:type="pct"/>
            <w:tcBorders>
              <w:top w:val="nil"/>
              <w:left w:val="nil"/>
              <w:bottom w:val="single" w:sz="4" w:space="0" w:color="auto"/>
              <w:right w:val="single" w:sz="4" w:space="0" w:color="auto"/>
            </w:tcBorders>
            <w:noWrap/>
            <w:vAlign w:val="center"/>
          </w:tcPr>
          <w:p w14:paraId="4E8FA43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88</w:t>
            </w:r>
          </w:p>
        </w:tc>
        <w:tc>
          <w:tcPr>
            <w:tcW w:w="373" w:type="pct"/>
            <w:tcBorders>
              <w:top w:val="nil"/>
              <w:left w:val="nil"/>
              <w:bottom w:val="single" w:sz="4" w:space="0" w:color="auto"/>
              <w:right w:val="single" w:sz="4" w:space="0" w:color="auto"/>
            </w:tcBorders>
            <w:noWrap/>
            <w:vAlign w:val="center"/>
          </w:tcPr>
          <w:p w14:paraId="779ABD7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c>
          <w:tcPr>
            <w:tcW w:w="371" w:type="pct"/>
            <w:tcBorders>
              <w:top w:val="nil"/>
              <w:left w:val="nil"/>
              <w:bottom w:val="single" w:sz="4" w:space="0" w:color="auto"/>
              <w:right w:val="single" w:sz="4" w:space="0" w:color="auto"/>
            </w:tcBorders>
            <w:noWrap/>
            <w:vAlign w:val="center"/>
          </w:tcPr>
          <w:p w14:paraId="0663A45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r>
      <w:tr w:rsidR="00686DFE" w:rsidRPr="00CE5D9A" w14:paraId="623BCABC"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454BF193"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344" w:type="pct"/>
            <w:tcBorders>
              <w:top w:val="nil"/>
              <w:left w:val="nil"/>
              <w:bottom w:val="single" w:sz="4" w:space="0" w:color="auto"/>
              <w:right w:val="single" w:sz="4" w:space="0" w:color="auto"/>
            </w:tcBorders>
            <w:noWrap/>
            <w:vAlign w:val="center"/>
          </w:tcPr>
          <w:p w14:paraId="0D7F5C4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95,7</w:t>
            </w:r>
          </w:p>
        </w:tc>
        <w:tc>
          <w:tcPr>
            <w:tcW w:w="344" w:type="pct"/>
            <w:tcBorders>
              <w:top w:val="nil"/>
              <w:left w:val="nil"/>
              <w:bottom w:val="single" w:sz="4" w:space="0" w:color="auto"/>
              <w:right w:val="single" w:sz="4" w:space="0" w:color="auto"/>
            </w:tcBorders>
            <w:noWrap/>
            <w:vAlign w:val="center"/>
          </w:tcPr>
          <w:p w14:paraId="6A03313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96,4</w:t>
            </w:r>
          </w:p>
        </w:tc>
        <w:tc>
          <w:tcPr>
            <w:tcW w:w="344" w:type="pct"/>
            <w:tcBorders>
              <w:top w:val="nil"/>
              <w:left w:val="nil"/>
              <w:bottom w:val="single" w:sz="4" w:space="0" w:color="auto"/>
              <w:right w:val="single" w:sz="4" w:space="0" w:color="auto"/>
            </w:tcBorders>
            <w:noWrap/>
            <w:vAlign w:val="center"/>
          </w:tcPr>
          <w:p w14:paraId="17849BC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95,2</w:t>
            </w:r>
          </w:p>
        </w:tc>
        <w:tc>
          <w:tcPr>
            <w:tcW w:w="344" w:type="pct"/>
            <w:tcBorders>
              <w:top w:val="nil"/>
              <w:left w:val="nil"/>
              <w:bottom w:val="single" w:sz="4" w:space="0" w:color="auto"/>
              <w:right w:val="single" w:sz="4" w:space="0" w:color="auto"/>
            </w:tcBorders>
            <w:noWrap/>
            <w:vAlign w:val="center"/>
          </w:tcPr>
          <w:p w14:paraId="5559A22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94,5</w:t>
            </w:r>
          </w:p>
        </w:tc>
        <w:tc>
          <w:tcPr>
            <w:tcW w:w="345" w:type="pct"/>
            <w:tcBorders>
              <w:top w:val="nil"/>
              <w:left w:val="nil"/>
              <w:bottom w:val="single" w:sz="4" w:space="0" w:color="auto"/>
              <w:right w:val="single" w:sz="4" w:space="0" w:color="auto"/>
            </w:tcBorders>
            <w:noWrap/>
            <w:vAlign w:val="center"/>
          </w:tcPr>
          <w:p w14:paraId="6AAE58C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95,4</w:t>
            </w:r>
          </w:p>
        </w:tc>
        <w:tc>
          <w:tcPr>
            <w:tcW w:w="373" w:type="pct"/>
            <w:tcBorders>
              <w:top w:val="nil"/>
              <w:left w:val="nil"/>
              <w:bottom w:val="single" w:sz="4" w:space="0" w:color="auto"/>
              <w:right w:val="single" w:sz="4" w:space="0" w:color="auto"/>
            </w:tcBorders>
            <w:noWrap/>
            <w:vAlign w:val="center"/>
          </w:tcPr>
          <w:p w14:paraId="3D8FD2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79</w:t>
            </w:r>
          </w:p>
        </w:tc>
        <w:tc>
          <w:tcPr>
            <w:tcW w:w="373" w:type="pct"/>
            <w:tcBorders>
              <w:top w:val="nil"/>
              <w:left w:val="nil"/>
              <w:bottom w:val="single" w:sz="4" w:space="0" w:color="auto"/>
              <w:right w:val="single" w:sz="4" w:space="0" w:color="auto"/>
            </w:tcBorders>
            <w:noWrap/>
            <w:vAlign w:val="center"/>
          </w:tcPr>
          <w:p w14:paraId="5199073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91</w:t>
            </w:r>
          </w:p>
        </w:tc>
        <w:tc>
          <w:tcPr>
            <w:tcW w:w="373" w:type="pct"/>
            <w:tcBorders>
              <w:top w:val="nil"/>
              <w:left w:val="nil"/>
              <w:bottom w:val="single" w:sz="4" w:space="0" w:color="auto"/>
              <w:right w:val="single" w:sz="4" w:space="0" w:color="auto"/>
            </w:tcBorders>
            <w:noWrap/>
            <w:vAlign w:val="center"/>
          </w:tcPr>
          <w:p w14:paraId="76B73CF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104</w:t>
            </w:r>
          </w:p>
        </w:tc>
        <w:tc>
          <w:tcPr>
            <w:tcW w:w="373" w:type="pct"/>
            <w:tcBorders>
              <w:top w:val="nil"/>
              <w:left w:val="nil"/>
              <w:bottom w:val="single" w:sz="4" w:space="0" w:color="auto"/>
              <w:right w:val="single" w:sz="4" w:space="0" w:color="auto"/>
            </w:tcBorders>
            <w:noWrap/>
            <w:vAlign w:val="center"/>
          </w:tcPr>
          <w:p w14:paraId="6EA9F9E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100</w:t>
            </w:r>
          </w:p>
        </w:tc>
        <w:tc>
          <w:tcPr>
            <w:tcW w:w="371" w:type="pct"/>
            <w:tcBorders>
              <w:top w:val="nil"/>
              <w:left w:val="nil"/>
              <w:bottom w:val="single" w:sz="4" w:space="0" w:color="auto"/>
              <w:right w:val="single" w:sz="4" w:space="0" w:color="auto"/>
            </w:tcBorders>
            <w:noWrap/>
            <w:vAlign w:val="center"/>
          </w:tcPr>
          <w:p w14:paraId="09E646E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99</w:t>
            </w:r>
          </w:p>
        </w:tc>
      </w:tr>
      <w:tr w:rsidR="00686DFE" w:rsidRPr="00CE5D9A" w14:paraId="3489CBCF"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2ADD89E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344" w:type="pct"/>
            <w:tcBorders>
              <w:top w:val="nil"/>
              <w:left w:val="nil"/>
              <w:bottom w:val="single" w:sz="4" w:space="0" w:color="auto"/>
              <w:right w:val="single" w:sz="4" w:space="0" w:color="auto"/>
            </w:tcBorders>
            <w:noWrap/>
            <w:vAlign w:val="center"/>
          </w:tcPr>
          <w:p w14:paraId="10013E1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97,9</w:t>
            </w:r>
          </w:p>
        </w:tc>
        <w:tc>
          <w:tcPr>
            <w:tcW w:w="344" w:type="pct"/>
            <w:tcBorders>
              <w:top w:val="nil"/>
              <w:left w:val="nil"/>
              <w:bottom w:val="single" w:sz="4" w:space="0" w:color="auto"/>
              <w:right w:val="single" w:sz="4" w:space="0" w:color="auto"/>
            </w:tcBorders>
            <w:noWrap/>
            <w:vAlign w:val="center"/>
          </w:tcPr>
          <w:p w14:paraId="1AB6B40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95,7</w:t>
            </w:r>
          </w:p>
        </w:tc>
        <w:tc>
          <w:tcPr>
            <w:tcW w:w="344" w:type="pct"/>
            <w:tcBorders>
              <w:top w:val="nil"/>
              <w:left w:val="nil"/>
              <w:bottom w:val="single" w:sz="4" w:space="0" w:color="auto"/>
              <w:right w:val="single" w:sz="4" w:space="0" w:color="auto"/>
            </w:tcBorders>
            <w:noWrap/>
            <w:vAlign w:val="center"/>
          </w:tcPr>
          <w:p w14:paraId="6E25E7B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95,8</w:t>
            </w:r>
          </w:p>
        </w:tc>
        <w:tc>
          <w:tcPr>
            <w:tcW w:w="344" w:type="pct"/>
            <w:tcBorders>
              <w:top w:val="nil"/>
              <w:left w:val="nil"/>
              <w:bottom w:val="single" w:sz="4" w:space="0" w:color="auto"/>
              <w:right w:val="single" w:sz="4" w:space="0" w:color="auto"/>
            </w:tcBorders>
            <w:noWrap/>
            <w:vAlign w:val="center"/>
          </w:tcPr>
          <w:p w14:paraId="3F37D3B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97,3</w:t>
            </w:r>
          </w:p>
        </w:tc>
        <w:tc>
          <w:tcPr>
            <w:tcW w:w="345" w:type="pct"/>
            <w:tcBorders>
              <w:top w:val="nil"/>
              <w:left w:val="nil"/>
              <w:bottom w:val="single" w:sz="4" w:space="0" w:color="auto"/>
              <w:right w:val="single" w:sz="4" w:space="0" w:color="auto"/>
            </w:tcBorders>
            <w:noWrap/>
            <w:vAlign w:val="center"/>
          </w:tcPr>
          <w:p w14:paraId="5BC0F05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93,5</w:t>
            </w:r>
          </w:p>
        </w:tc>
        <w:tc>
          <w:tcPr>
            <w:tcW w:w="373" w:type="pct"/>
            <w:tcBorders>
              <w:top w:val="nil"/>
              <w:left w:val="nil"/>
              <w:bottom w:val="single" w:sz="4" w:space="0" w:color="auto"/>
              <w:right w:val="single" w:sz="4" w:space="0" w:color="auto"/>
            </w:tcBorders>
            <w:noWrap/>
            <w:vAlign w:val="center"/>
          </w:tcPr>
          <w:p w14:paraId="13D1E91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w:t>
            </w:r>
          </w:p>
        </w:tc>
        <w:tc>
          <w:tcPr>
            <w:tcW w:w="373" w:type="pct"/>
            <w:tcBorders>
              <w:top w:val="nil"/>
              <w:left w:val="nil"/>
              <w:bottom w:val="single" w:sz="4" w:space="0" w:color="auto"/>
              <w:right w:val="single" w:sz="4" w:space="0" w:color="auto"/>
            </w:tcBorders>
            <w:noWrap/>
            <w:vAlign w:val="center"/>
          </w:tcPr>
          <w:p w14:paraId="76E6FD6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89</w:t>
            </w:r>
          </w:p>
        </w:tc>
        <w:tc>
          <w:tcPr>
            <w:tcW w:w="373" w:type="pct"/>
            <w:tcBorders>
              <w:top w:val="nil"/>
              <w:left w:val="nil"/>
              <w:bottom w:val="single" w:sz="4" w:space="0" w:color="auto"/>
              <w:right w:val="single" w:sz="4" w:space="0" w:color="auto"/>
            </w:tcBorders>
            <w:noWrap/>
            <w:vAlign w:val="center"/>
          </w:tcPr>
          <w:p w14:paraId="169341A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101</w:t>
            </w:r>
          </w:p>
        </w:tc>
        <w:tc>
          <w:tcPr>
            <w:tcW w:w="373" w:type="pct"/>
            <w:tcBorders>
              <w:top w:val="nil"/>
              <w:left w:val="nil"/>
              <w:bottom w:val="single" w:sz="4" w:space="0" w:color="auto"/>
              <w:right w:val="single" w:sz="4" w:space="0" w:color="auto"/>
            </w:tcBorders>
            <w:noWrap/>
            <w:vAlign w:val="center"/>
          </w:tcPr>
          <w:p w14:paraId="2A4ADEE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103</w:t>
            </w:r>
          </w:p>
        </w:tc>
        <w:tc>
          <w:tcPr>
            <w:tcW w:w="371" w:type="pct"/>
            <w:tcBorders>
              <w:top w:val="nil"/>
              <w:left w:val="nil"/>
              <w:bottom w:val="single" w:sz="4" w:space="0" w:color="auto"/>
              <w:right w:val="single" w:sz="4" w:space="0" w:color="auto"/>
            </w:tcBorders>
            <w:noWrap/>
            <w:vAlign w:val="center"/>
          </w:tcPr>
          <w:p w14:paraId="15568DC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99</w:t>
            </w:r>
          </w:p>
        </w:tc>
      </w:tr>
      <w:tr w:rsidR="00686DFE" w:rsidRPr="00CE5D9A" w14:paraId="734EC1A4"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5DC0A3DE" w14:textId="77777777" w:rsidR="0061486F" w:rsidRDefault="00686DFE">
            <w:pPr>
              <w:spacing w:after="0" w:line="240" w:lineRule="auto"/>
              <w:rPr>
                <w:rFonts w:ascii="Times New Roman" w:hAnsi="Times New Roman"/>
                <w:color w:val="FF0000"/>
              </w:rPr>
            </w:pPr>
            <w:r w:rsidRPr="0061486F">
              <w:rPr>
                <w:rFonts w:ascii="Times New Roman" w:eastAsia="Times New Roman" w:hAnsi="Times New Roman"/>
                <w:b/>
                <w:bCs/>
                <w:strike/>
                <w:color w:val="FF0000"/>
                <w:sz w:val="20"/>
                <w:szCs w:val="20"/>
                <w:lang w:eastAsia="pl-PL"/>
              </w:rPr>
              <w:t>LGD Między Dalinem i Gościbią</w:t>
            </w:r>
            <w:r w:rsidR="0061486F" w:rsidRPr="00EB66C4">
              <w:rPr>
                <w:rFonts w:ascii="Times New Roman" w:hAnsi="Times New Roman"/>
                <w:color w:val="FF0000"/>
              </w:rPr>
              <w:t xml:space="preserve"> </w:t>
            </w:r>
          </w:p>
          <w:p w14:paraId="255C86BD" w14:textId="4E16DA47" w:rsidR="00686DFE" w:rsidRPr="0061486F" w:rsidRDefault="0061486F">
            <w:pPr>
              <w:spacing w:after="0" w:line="240" w:lineRule="auto"/>
              <w:rPr>
                <w:rFonts w:ascii="Times New Roman" w:eastAsia="Times New Roman" w:hAnsi="Times New Roman"/>
                <w:b/>
                <w:bCs/>
                <w:strike/>
                <w:color w:val="FF0000"/>
                <w:sz w:val="20"/>
                <w:szCs w:val="20"/>
                <w:lang w:eastAsia="pl-PL"/>
              </w:rPr>
            </w:pPr>
            <w:r w:rsidRPr="00EB66C4">
              <w:rPr>
                <w:rFonts w:ascii="Times New Roman" w:hAnsi="Times New Roman"/>
                <w:color w:val="FF0000"/>
              </w:rPr>
              <w:t>LGD Regionu Myślenickiego</w:t>
            </w:r>
          </w:p>
        </w:tc>
        <w:tc>
          <w:tcPr>
            <w:tcW w:w="344" w:type="pct"/>
            <w:tcBorders>
              <w:top w:val="nil"/>
              <w:left w:val="nil"/>
              <w:bottom w:val="single" w:sz="4" w:space="0" w:color="auto"/>
              <w:right w:val="single" w:sz="4" w:space="0" w:color="auto"/>
            </w:tcBorders>
            <w:noWrap/>
            <w:vAlign w:val="center"/>
          </w:tcPr>
          <w:p w14:paraId="69A9BF86" w14:textId="77777777" w:rsidR="00686DFE" w:rsidRPr="00CE5D9A" w:rsidRDefault="00686DFE" w:rsidP="0089709C">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96,</w:t>
            </w:r>
            <w:r w:rsidR="0089709C" w:rsidRPr="00CE5D9A">
              <w:rPr>
                <w:rFonts w:ascii="Times New Roman" w:eastAsia="Times New Roman" w:hAnsi="Times New Roman"/>
                <w:b/>
                <w:bCs/>
                <w:sz w:val="20"/>
                <w:szCs w:val="20"/>
                <w:lang w:eastAsia="pl-PL"/>
              </w:rPr>
              <w:t>5</w:t>
            </w:r>
          </w:p>
        </w:tc>
        <w:tc>
          <w:tcPr>
            <w:tcW w:w="344" w:type="pct"/>
            <w:tcBorders>
              <w:top w:val="nil"/>
              <w:left w:val="nil"/>
              <w:bottom w:val="single" w:sz="4" w:space="0" w:color="auto"/>
              <w:right w:val="single" w:sz="4" w:space="0" w:color="auto"/>
            </w:tcBorders>
            <w:noWrap/>
            <w:vAlign w:val="center"/>
          </w:tcPr>
          <w:p w14:paraId="302560BB" w14:textId="77777777" w:rsidR="00686DFE" w:rsidRPr="00CE5D9A" w:rsidRDefault="00686DFE" w:rsidP="0089709C">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96,</w:t>
            </w:r>
            <w:r w:rsidR="0089709C" w:rsidRPr="00CE5D9A">
              <w:rPr>
                <w:rFonts w:ascii="Times New Roman" w:eastAsia="Times New Roman" w:hAnsi="Times New Roman"/>
                <w:b/>
                <w:bCs/>
                <w:sz w:val="20"/>
                <w:szCs w:val="20"/>
                <w:lang w:eastAsia="pl-PL"/>
              </w:rPr>
              <w:t>5</w:t>
            </w:r>
          </w:p>
        </w:tc>
        <w:tc>
          <w:tcPr>
            <w:tcW w:w="344" w:type="pct"/>
            <w:tcBorders>
              <w:top w:val="nil"/>
              <w:left w:val="nil"/>
              <w:bottom w:val="single" w:sz="4" w:space="0" w:color="auto"/>
              <w:right w:val="single" w:sz="4" w:space="0" w:color="auto"/>
            </w:tcBorders>
            <w:noWrap/>
            <w:vAlign w:val="center"/>
          </w:tcPr>
          <w:p w14:paraId="24FCB2BD" w14:textId="77777777" w:rsidR="00686DFE" w:rsidRPr="00CE5D9A" w:rsidRDefault="00686DFE" w:rsidP="0089709C">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95,</w:t>
            </w:r>
            <w:r w:rsidR="0089709C" w:rsidRPr="00CE5D9A">
              <w:rPr>
                <w:rFonts w:ascii="Times New Roman" w:eastAsia="Times New Roman" w:hAnsi="Times New Roman"/>
                <w:b/>
                <w:bCs/>
                <w:sz w:val="20"/>
                <w:szCs w:val="20"/>
                <w:lang w:eastAsia="pl-PL"/>
              </w:rPr>
              <w:t>7</w:t>
            </w:r>
          </w:p>
        </w:tc>
        <w:tc>
          <w:tcPr>
            <w:tcW w:w="344" w:type="pct"/>
            <w:tcBorders>
              <w:top w:val="nil"/>
              <w:left w:val="nil"/>
              <w:bottom w:val="single" w:sz="4" w:space="0" w:color="auto"/>
              <w:right w:val="single" w:sz="4" w:space="0" w:color="auto"/>
            </w:tcBorders>
            <w:noWrap/>
            <w:vAlign w:val="center"/>
          </w:tcPr>
          <w:p w14:paraId="0D61B71C" w14:textId="77777777" w:rsidR="00686DFE" w:rsidRPr="00CE5D9A" w:rsidRDefault="00686DFE" w:rsidP="0089709C">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94,</w:t>
            </w:r>
            <w:r w:rsidR="0089709C" w:rsidRPr="00CE5D9A">
              <w:rPr>
                <w:rFonts w:ascii="Times New Roman" w:eastAsia="Times New Roman" w:hAnsi="Times New Roman"/>
                <w:b/>
                <w:bCs/>
                <w:sz w:val="20"/>
                <w:szCs w:val="20"/>
                <w:lang w:eastAsia="pl-PL"/>
              </w:rPr>
              <w:t>5</w:t>
            </w:r>
          </w:p>
        </w:tc>
        <w:tc>
          <w:tcPr>
            <w:tcW w:w="345" w:type="pct"/>
            <w:tcBorders>
              <w:top w:val="nil"/>
              <w:left w:val="nil"/>
              <w:bottom w:val="single" w:sz="4" w:space="0" w:color="auto"/>
              <w:right w:val="single" w:sz="4" w:space="0" w:color="auto"/>
            </w:tcBorders>
            <w:noWrap/>
            <w:vAlign w:val="center"/>
          </w:tcPr>
          <w:p w14:paraId="78BA545B" w14:textId="77777777" w:rsidR="00686DFE" w:rsidRPr="00CE5D9A" w:rsidRDefault="00686DFE" w:rsidP="0089709C">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95,</w:t>
            </w:r>
            <w:r w:rsidR="0089709C" w:rsidRPr="00CE5D9A">
              <w:rPr>
                <w:rFonts w:ascii="Times New Roman" w:eastAsia="Times New Roman" w:hAnsi="Times New Roman"/>
                <w:b/>
                <w:bCs/>
                <w:sz w:val="20"/>
                <w:szCs w:val="20"/>
                <w:lang w:eastAsia="pl-PL"/>
              </w:rPr>
              <w:t>0</w:t>
            </w:r>
          </w:p>
        </w:tc>
        <w:tc>
          <w:tcPr>
            <w:tcW w:w="373" w:type="pct"/>
            <w:tcBorders>
              <w:top w:val="nil"/>
              <w:left w:val="nil"/>
              <w:bottom w:val="single" w:sz="4" w:space="0" w:color="auto"/>
              <w:right w:val="single" w:sz="4" w:space="0" w:color="auto"/>
            </w:tcBorders>
            <w:noWrap/>
            <w:vAlign w:val="center"/>
          </w:tcPr>
          <w:p w14:paraId="1F43273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72</w:t>
            </w:r>
          </w:p>
        </w:tc>
        <w:tc>
          <w:tcPr>
            <w:tcW w:w="373" w:type="pct"/>
            <w:tcBorders>
              <w:top w:val="nil"/>
              <w:left w:val="nil"/>
              <w:bottom w:val="single" w:sz="4" w:space="0" w:color="auto"/>
              <w:right w:val="single" w:sz="4" w:space="0" w:color="auto"/>
            </w:tcBorders>
            <w:noWrap/>
            <w:vAlign w:val="center"/>
          </w:tcPr>
          <w:p w14:paraId="6E43274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83</w:t>
            </w:r>
          </w:p>
        </w:tc>
        <w:tc>
          <w:tcPr>
            <w:tcW w:w="373" w:type="pct"/>
            <w:tcBorders>
              <w:top w:val="nil"/>
              <w:left w:val="nil"/>
              <w:bottom w:val="single" w:sz="4" w:space="0" w:color="auto"/>
              <w:right w:val="single" w:sz="4" w:space="0" w:color="auto"/>
            </w:tcBorders>
            <w:noWrap/>
            <w:vAlign w:val="center"/>
          </w:tcPr>
          <w:p w14:paraId="21472D5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95</w:t>
            </w:r>
          </w:p>
        </w:tc>
        <w:tc>
          <w:tcPr>
            <w:tcW w:w="373" w:type="pct"/>
            <w:tcBorders>
              <w:top w:val="nil"/>
              <w:left w:val="nil"/>
              <w:bottom w:val="single" w:sz="4" w:space="0" w:color="auto"/>
              <w:right w:val="single" w:sz="4" w:space="0" w:color="auto"/>
            </w:tcBorders>
            <w:noWrap/>
            <w:vAlign w:val="center"/>
          </w:tcPr>
          <w:p w14:paraId="42A2DBA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94</w:t>
            </w:r>
          </w:p>
        </w:tc>
        <w:tc>
          <w:tcPr>
            <w:tcW w:w="371" w:type="pct"/>
            <w:tcBorders>
              <w:top w:val="nil"/>
              <w:left w:val="nil"/>
              <w:bottom w:val="single" w:sz="4" w:space="0" w:color="auto"/>
              <w:right w:val="single" w:sz="4" w:space="0" w:color="auto"/>
            </w:tcBorders>
            <w:noWrap/>
            <w:vAlign w:val="center"/>
          </w:tcPr>
          <w:p w14:paraId="7CD0DA2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95</w:t>
            </w:r>
          </w:p>
        </w:tc>
      </w:tr>
      <w:tr w:rsidR="00686DFE" w:rsidRPr="00CE5D9A" w14:paraId="1E8DC039"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2F67B3EE"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344" w:type="pct"/>
            <w:tcBorders>
              <w:top w:val="nil"/>
              <w:left w:val="nil"/>
              <w:bottom w:val="single" w:sz="4" w:space="0" w:color="auto"/>
              <w:right w:val="single" w:sz="4" w:space="0" w:color="auto"/>
            </w:tcBorders>
            <w:noWrap/>
            <w:vAlign w:val="center"/>
          </w:tcPr>
          <w:p w14:paraId="386E74F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96,1</w:t>
            </w:r>
          </w:p>
        </w:tc>
        <w:tc>
          <w:tcPr>
            <w:tcW w:w="344" w:type="pct"/>
            <w:tcBorders>
              <w:top w:val="nil"/>
              <w:left w:val="nil"/>
              <w:bottom w:val="single" w:sz="4" w:space="0" w:color="auto"/>
              <w:right w:val="single" w:sz="4" w:space="0" w:color="auto"/>
            </w:tcBorders>
            <w:noWrap/>
            <w:vAlign w:val="center"/>
          </w:tcPr>
          <w:p w14:paraId="008A413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95,1</w:t>
            </w:r>
          </w:p>
        </w:tc>
        <w:tc>
          <w:tcPr>
            <w:tcW w:w="344" w:type="pct"/>
            <w:tcBorders>
              <w:top w:val="nil"/>
              <w:left w:val="nil"/>
              <w:bottom w:val="single" w:sz="4" w:space="0" w:color="auto"/>
              <w:right w:val="single" w:sz="4" w:space="0" w:color="auto"/>
            </w:tcBorders>
            <w:noWrap/>
            <w:vAlign w:val="center"/>
          </w:tcPr>
          <w:p w14:paraId="52F381E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95,6</w:t>
            </w:r>
          </w:p>
        </w:tc>
        <w:tc>
          <w:tcPr>
            <w:tcW w:w="344" w:type="pct"/>
            <w:tcBorders>
              <w:top w:val="nil"/>
              <w:left w:val="nil"/>
              <w:bottom w:val="single" w:sz="4" w:space="0" w:color="auto"/>
              <w:right w:val="single" w:sz="4" w:space="0" w:color="auto"/>
            </w:tcBorders>
            <w:noWrap/>
            <w:vAlign w:val="center"/>
          </w:tcPr>
          <w:p w14:paraId="62CBBF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95,4</w:t>
            </w:r>
          </w:p>
        </w:tc>
        <w:tc>
          <w:tcPr>
            <w:tcW w:w="345" w:type="pct"/>
            <w:tcBorders>
              <w:top w:val="nil"/>
              <w:left w:val="nil"/>
              <w:bottom w:val="single" w:sz="4" w:space="0" w:color="auto"/>
              <w:right w:val="single" w:sz="4" w:space="0" w:color="auto"/>
            </w:tcBorders>
            <w:noWrap/>
            <w:vAlign w:val="center"/>
          </w:tcPr>
          <w:p w14:paraId="3D855B1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96,6</w:t>
            </w:r>
          </w:p>
        </w:tc>
        <w:tc>
          <w:tcPr>
            <w:tcW w:w="373" w:type="pct"/>
            <w:tcBorders>
              <w:top w:val="nil"/>
              <w:left w:val="nil"/>
              <w:bottom w:val="single" w:sz="4" w:space="0" w:color="auto"/>
              <w:right w:val="single" w:sz="4" w:space="0" w:color="auto"/>
            </w:tcBorders>
            <w:noWrap/>
            <w:vAlign w:val="center"/>
          </w:tcPr>
          <w:p w14:paraId="4003616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w:t>
            </w:r>
          </w:p>
        </w:tc>
        <w:tc>
          <w:tcPr>
            <w:tcW w:w="373" w:type="pct"/>
            <w:tcBorders>
              <w:top w:val="nil"/>
              <w:left w:val="nil"/>
              <w:bottom w:val="single" w:sz="4" w:space="0" w:color="auto"/>
              <w:right w:val="single" w:sz="4" w:space="0" w:color="auto"/>
            </w:tcBorders>
            <w:noWrap/>
            <w:vAlign w:val="center"/>
          </w:tcPr>
          <w:p w14:paraId="5CBBCE0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71</w:t>
            </w:r>
          </w:p>
        </w:tc>
        <w:tc>
          <w:tcPr>
            <w:tcW w:w="373" w:type="pct"/>
            <w:tcBorders>
              <w:top w:val="nil"/>
              <w:left w:val="nil"/>
              <w:bottom w:val="single" w:sz="4" w:space="0" w:color="auto"/>
              <w:right w:val="single" w:sz="4" w:space="0" w:color="auto"/>
            </w:tcBorders>
            <w:noWrap/>
            <w:vAlign w:val="center"/>
          </w:tcPr>
          <w:p w14:paraId="2BDB01A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373" w:type="pct"/>
            <w:tcBorders>
              <w:top w:val="nil"/>
              <w:left w:val="nil"/>
              <w:bottom w:val="single" w:sz="4" w:space="0" w:color="auto"/>
              <w:right w:val="single" w:sz="4" w:space="0" w:color="auto"/>
            </w:tcBorders>
            <w:noWrap/>
            <w:vAlign w:val="center"/>
          </w:tcPr>
          <w:p w14:paraId="0BDB8F8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82</w:t>
            </w:r>
          </w:p>
        </w:tc>
        <w:tc>
          <w:tcPr>
            <w:tcW w:w="371" w:type="pct"/>
            <w:tcBorders>
              <w:top w:val="nil"/>
              <w:left w:val="nil"/>
              <w:bottom w:val="single" w:sz="4" w:space="0" w:color="auto"/>
              <w:right w:val="single" w:sz="4" w:space="0" w:color="auto"/>
            </w:tcBorders>
            <w:noWrap/>
            <w:vAlign w:val="center"/>
          </w:tcPr>
          <w:p w14:paraId="011F084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83</w:t>
            </w:r>
          </w:p>
        </w:tc>
      </w:tr>
      <w:tr w:rsidR="00686DFE" w:rsidRPr="00CE5D9A" w14:paraId="0C7C9CCE" w14:textId="77777777" w:rsidTr="0089709C">
        <w:trPr>
          <w:trHeight w:val="340"/>
        </w:trPr>
        <w:tc>
          <w:tcPr>
            <w:tcW w:w="1416" w:type="pct"/>
            <w:tcBorders>
              <w:top w:val="nil"/>
              <w:left w:val="single" w:sz="4" w:space="0" w:color="auto"/>
              <w:bottom w:val="single" w:sz="4" w:space="0" w:color="auto"/>
              <w:right w:val="single" w:sz="4" w:space="0" w:color="auto"/>
            </w:tcBorders>
            <w:noWrap/>
            <w:vAlign w:val="center"/>
          </w:tcPr>
          <w:p w14:paraId="3F140D2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p>
        </w:tc>
        <w:tc>
          <w:tcPr>
            <w:tcW w:w="344" w:type="pct"/>
            <w:tcBorders>
              <w:top w:val="nil"/>
              <w:left w:val="nil"/>
              <w:bottom w:val="single" w:sz="4" w:space="0" w:color="auto"/>
              <w:right w:val="single" w:sz="4" w:space="0" w:color="auto"/>
            </w:tcBorders>
            <w:noWrap/>
            <w:vAlign w:val="center"/>
          </w:tcPr>
          <w:p w14:paraId="7F4A146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96,6</w:t>
            </w:r>
          </w:p>
        </w:tc>
        <w:tc>
          <w:tcPr>
            <w:tcW w:w="344" w:type="pct"/>
            <w:tcBorders>
              <w:top w:val="nil"/>
              <w:left w:val="nil"/>
              <w:bottom w:val="single" w:sz="4" w:space="0" w:color="auto"/>
              <w:right w:val="single" w:sz="4" w:space="0" w:color="auto"/>
            </w:tcBorders>
            <w:noWrap/>
            <w:vAlign w:val="center"/>
          </w:tcPr>
          <w:p w14:paraId="57FCC90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95,2</w:t>
            </w:r>
          </w:p>
        </w:tc>
        <w:tc>
          <w:tcPr>
            <w:tcW w:w="344" w:type="pct"/>
            <w:tcBorders>
              <w:top w:val="nil"/>
              <w:left w:val="nil"/>
              <w:bottom w:val="single" w:sz="4" w:space="0" w:color="auto"/>
              <w:right w:val="single" w:sz="4" w:space="0" w:color="auto"/>
            </w:tcBorders>
            <w:noWrap/>
            <w:vAlign w:val="center"/>
          </w:tcPr>
          <w:p w14:paraId="17B8A15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95,5</w:t>
            </w:r>
          </w:p>
        </w:tc>
        <w:tc>
          <w:tcPr>
            <w:tcW w:w="344" w:type="pct"/>
            <w:tcBorders>
              <w:top w:val="nil"/>
              <w:left w:val="nil"/>
              <w:bottom w:val="single" w:sz="4" w:space="0" w:color="auto"/>
              <w:right w:val="single" w:sz="4" w:space="0" w:color="auto"/>
            </w:tcBorders>
            <w:noWrap/>
            <w:vAlign w:val="center"/>
          </w:tcPr>
          <w:p w14:paraId="2112E00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95,1</w:t>
            </w:r>
          </w:p>
        </w:tc>
        <w:tc>
          <w:tcPr>
            <w:tcW w:w="345" w:type="pct"/>
            <w:tcBorders>
              <w:top w:val="nil"/>
              <w:left w:val="nil"/>
              <w:bottom w:val="single" w:sz="4" w:space="0" w:color="auto"/>
              <w:right w:val="single" w:sz="4" w:space="0" w:color="auto"/>
            </w:tcBorders>
            <w:noWrap/>
            <w:vAlign w:val="center"/>
          </w:tcPr>
          <w:p w14:paraId="6C2A0AD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96,0</w:t>
            </w:r>
          </w:p>
        </w:tc>
        <w:tc>
          <w:tcPr>
            <w:tcW w:w="373" w:type="pct"/>
            <w:tcBorders>
              <w:top w:val="nil"/>
              <w:left w:val="nil"/>
              <w:bottom w:val="single" w:sz="4" w:space="0" w:color="auto"/>
              <w:right w:val="single" w:sz="4" w:space="0" w:color="auto"/>
            </w:tcBorders>
            <w:noWrap/>
            <w:vAlign w:val="center"/>
          </w:tcPr>
          <w:p w14:paraId="23EEDC2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w:t>
            </w:r>
          </w:p>
        </w:tc>
        <w:tc>
          <w:tcPr>
            <w:tcW w:w="373" w:type="pct"/>
            <w:tcBorders>
              <w:top w:val="nil"/>
              <w:left w:val="nil"/>
              <w:bottom w:val="single" w:sz="4" w:space="0" w:color="auto"/>
              <w:right w:val="single" w:sz="4" w:space="0" w:color="auto"/>
            </w:tcBorders>
            <w:noWrap/>
            <w:vAlign w:val="center"/>
          </w:tcPr>
          <w:p w14:paraId="1D81B72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w:t>
            </w:r>
          </w:p>
        </w:tc>
        <w:tc>
          <w:tcPr>
            <w:tcW w:w="373" w:type="pct"/>
            <w:tcBorders>
              <w:top w:val="nil"/>
              <w:left w:val="nil"/>
              <w:bottom w:val="single" w:sz="4" w:space="0" w:color="auto"/>
              <w:right w:val="single" w:sz="4" w:space="0" w:color="auto"/>
            </w:tcBorders>
            <w:noWrap/>
            <w:vAlign w:val="center"/>
          </w:tcPr>
          <w:p w14:paraId="145B9F2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79</w:t>
            </w:r>
          </w:p>
        </w:tc>
        <w:tc>
          <w:tcPr>
            <w:tcW w:w="373" w:type="pct"/>
            <w:tcBorders>
              <w:top w:val="nil"/>
              <w:left w:val="nil"/>
              <w:bottom w:val="single" w:sz="4" w:space="0" w:color="auto"/>
              <w:right w:val="single" w:sz="4" w:space="0" w:color="auto"/>
            </w:tcBorders>
            <w:noWrap/>
            <w:vAlign w:val="center"/>
          </w:tcPr>
          <w:p w14:paraId="19F60C3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80</w:t>
            </w:r>
          </w:p>
        </w:tc>
        <w:tc>
          <w:tcPr>
            <w:tcW w:w="371" w:type="pct"/>
            <w:tcBorders>
              <w:top w:val="nil"/>
              <w:left w:val="nil"/>
              <w:bottom w:val="single" w:sz="4" w:space="0" w:color="auto"/>
              <w:right w:val="single" w:sz="4" w:space="0" w:color="auto"/>
            </w:tcBorders>
            <w:noWrap/>
            <w:vAlign w:val="center"/>
          </w:tcPr>
          <w:p w14:paraId="0F3F5A6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81</w:t>
            </w:r>
          </w:p>
        </w:tc>
      </w:tr>
    </w:tbl>
    <w:p w14:paraId="23984DD3"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Źródło: opracowanie własne na podstawie danych GUS</w:t>
      </w:r>
    </w:p>
    <w:p w14:paraId="24EE59F7" w14:textId="77777777" w:rsidR="00686DFE" w:rsidRPr="00CE5D9A" w:rsidRDefault="00686DFE">
      <w:pPr>
        <w:spacing w:line="276" w:lineRule="auto"/>
        <w:ind w:firstLine="709"/>
        <w:jc w:val="both"/>
        <w:rPr>
          <w:rFonts w:ascii="Times New Roman" w:hAnsi="Times New Roman"/>
        </w:rPr>
      </w:pPr>
      <w:r w:rsidRPr="00CE5D9A">
        <w:rPr>
          <w:rFonts w:ascii="Times New Roman" w:hAnsi="Times New Roman"/>
          <w:szCs w:val="20"/>
        </w:rPr>
        <w:t xml:space="preserve">Jakość szkolnictwa w poszczególnych gminach obrazują średnie wyniki z egzaminów w klasie 8 szkoły podstawowej, które są zakończeniem tego etapu nauczania. Według najbardziej aktualnych danych, najlepsze wyniki z egzaminu w roku 2022 osiągnęli uczniowie z Gminy </w:t>
      </w:r>
      <w:r w:rsidR="005858F4" w:rsidRPr="00CE5D9A">
        <w:rPr>
          <w:rFonts w:ascii="Times New Roman" w:hAnsi="Times New Roman"/>
          <w:szCs w:val="20"/>
        </w:rPr>
        <w:t>Siepraw</w:t>
      </w:r>
      <w:r w:rsidRPr="00CE5D9A">
        <w:rPr>
          <w:rFonts w:ascii="Times New Roman" w:hAnsi="Times New Roman"/>
          <w:szCs w:val="20"/>
        </w:rPr>
        <w:t xml:space="preserve"> w zakresie języka polskiego (6</w:t>
      </w:r>
      <w:r w:rsidR="005858F4" w:rsidRPr="00CE5D9A">
        <w:rPr>
          <w:rFonts w:ascii="Times New Roman" w:hAnsi="Times New Roman"/>
          <w:szCs w:val="20"/>
        </w:rPr>
        <w:t>6</w:t>
      </w:r>
      <w:r w:rsidRPr="00CE5D9A">
        <w:rPr>
          <w:rFonts w:ascii="Times New Roman" w:hAnsi="Times New Roman"/>
          <w:szCs w:val="20"/>
        </w:rPr>
        <w:t>,</w:t>
      </w:r>
      <w:r w:rsidR="005858F4" w:rsidRPr="00CE5D9A">
        <w:rPr>
          <w:rFonts w:ascii="Times New Roman" w:hAnsi="Times New Roman"/>
          <w:szCs w:val="20"/>
        </w:rPr>
        <w:t>1</w:t>
      </w:r>
      <w:r w:rsidRPr="00CE5D9A">
        <w:rPr>
          <w:rFonts w:ascii="Times New Roman" w:hAnsi="Times New Roman"/>
          <w:szCs w:val="20"/>
        </w:rPr>
        <w:t>%)</w:t>
      </w:r>
      <w:r w:rsidR="005858F4" w:rsidRPr="00CE5D9A">
        <w:rPr>
          <w:rFonts w:ascii="Times New Roman" w:hAnsi="Times New Roman"/>
          <w:szCs w:val="20"/>
        </w:rPr>
        <w:t xml:space="preserve"> oraz matematyki (70,1%)</w:t>
      </w:r>
      <w:r w:rsidRPr="00CE5D9A">
        <w:rPr>
          <w:rFonts w:ascii="Times New Roman" w:hAnsi="Times New Roman"/>
          <w:szCs w:val="20"/>
        </w:rPr>
        <w:t xml:space="preserve">, zaś uczniowie z Gminy Myślenice </w:t>
      </w:r>
      <w:r w:rsidR="005858F4" w:rsidRPr="00CE5D9A">
        <w:rPr>
          <w:rFonts w:ascii="Times New Roman" w:hAnsi="Times New Roman"/>
          <w:szCs w:val="20"/>
        </w:rPr>
        <w:t xml:space="preserve">w zakresie </w:t>
      </w:r>
      <w:r w:rsidRPr="00CE5D9A">
        <w:rPr>
          <w:rFonts w:ascii="Times New Roman" w:hAnsi="Times New Roman"/>
          <w:szCs w:val="20"/>
        </w:rPr>
        <w:t xml:space="preserve">języka angielskiego (72,4%). </w:t>
      </w:r>
      <w:r w:rsidRPr="00CE5D9A">
        <w:rPr>
          <w:rFonts w:ascii="Times New Roman" w:hAnsi="Times New Roman"/>
        </w:rPr>
        <w:t xml:space="preserve">W tabeli 17 </w:t>
      </w:r>
      <w:r w:rsidRPr="00CE5D9A">
        <w:rPr>
          <w:rFonts w:ascii="Times New Roman" w:hAnsi="Times New Roman"/>
          <w:szCs w:val="20"/>
        </w:rPr>
        <w:t>przedstawiono średnie wyniki z egzaminów ósmoklasisty w poszczególnych gminach LGD w porównaniu do średniej wojewódzkiej i krajowej w latach 2019–2022 w ramach trzech podstawowych przedmiotów, tj. język polski, język angielski, matematyka (kolorem zielonym wpisano dwa najlepsze wyniki w danym roku z danego przedmiotu wśród gmin obszaru LGD</w:t>
      </w:r>
      <w:r w:rsidRPr="00CE5D9A">
        <w:rPr>
          <w:rFonts w:ascii="Times New Roman" w:hAnsi="Times New Roman"/>
        </w:rPr>
        <w:t>).</w:t>
      </w:r>
    </w:p>
    <w:p w14:paraId="66FE290D" w14:textId="181E71A8" w:rsidR="00686DFE" w:rsidRPr="00CE5D9A" w:rsidRDefault="00686DFE">
      <w:pPr>
        <w:pStyle w:val="Legenda"/>
        <w:spacing w:after="0"/>
        <w:jc w:val="center"/>
        <w:rPr>
          <w:rFonts w:ascii="Times New Roman" w:hAnsi="Times New Roman"/>
          <w:b/>
          <w:bCs/>
          <w:i w:val="0"/>
          <w:iCs w:val="0"/>
          <w:color w:val="auto"/>
          <w:sz w:val="20"/>
          <w:szCs w:val="20"/>
        </w:rPr>
      </w:pPr>
      <w:bookmarkStart w:id="119" w:name="_Toc112152417"/>
      <w:bookmarkStart w:id="120" w:name="_Toc194581441"/>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17</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Wyniki egzaminu ósmoklasisty w poszczególnych gminach LGD oraz porównanie średniej obszaru LGD do województwa i kraju w latach 2019–2022</w:t>
      </w:r>
      <w:bookmarkEnd w:id="119"/>
      <w:bookmarkEnd w:id="120"/>
    </w:p>
    <w:tbl>
      <w:tblPr>
        <w:tblW w:w="5000" w:type="pct"/>
        <w:tblCellMar>
          <w:left w:w="70" w:type="dxa"/>
          <w:right w:w="70" w:type="dxa"/>
        </w:tblCellMar>
        <w:tblLook w:val="0000" w:firstRow="0" w:lastRow="0" w:firstColumn="0" w:lastColumn="0" w:noHBand="0" w:noVBand="0"/>
      </w:tblPr>
      <w:tblGrid>
        <w:gridCol w:w="2974"/>
        <w:gridCol w:w="589"/>
        <w:gridCol w:w="590"/>
        <w:gridCol w:w="590"/>
        <w:gridCol w:w="594"/>
        <w:gridCol w:w="590"/>
        <w:gridCol w:w="685"/>
        <w:gridCol w:w="720"/>
        <w:gridCol w:w="598"/>
        <w:gridCol w:w="604"/>
        <w:gridCol w:w="604"/>
        <w:gridCol w:w="604"/>
        <w:gridCol w:w="602"/>
      </w:tblGrid>
      <w:tr w:rsidR="00686DFE" w:rsidRPr="00CE5D9A" w14:paraId="6A54CD0C" w14:textId="77777777">
        <w:trPr>
          <w:trHeight w:val="340"/>
        </w:trPr>
        <w:tc>
          <w:tcPr>
            <w:tcW w:w="1438" w:type="pct"/>
            <w:vMerge w:val="restart"/>
            <w:tcBorders>
              <w:top w:val="single" w:sz="4" w:space="0" w:color="auto"/>
              <w:left w:val="single" w:sz="4" w:space="0" w:color="auto"/>
              <w:bottom w:val="single" w:sz="4" w:space="0" w:color="auto"/>
              <w:right w:val="single" w:sz="4" w:space="0" w:color="auto"/>
            </w:tcBorders>
            <w:noWrap/>
            <w:vAlign w:val="center"/>
          </w:tcPr>
          <w:p w14:paraId="3F79CD2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Jednostka terytorialna</w:t>
            </w:r>
          </w:p>
        </w:tc>
        <w:tc>
          <w:tcPr>
            <w:tcW w:w="1142" w:type="pct"/>
            <w:gridSpan w:val="4"/>
            <w:tcBorders>
              <w:top w:val="single" w:sz="4" w:space="0" w:color="auto"/>
              <w:left w:val="nil"/>
              <w:bottom w:val="single" w:sz="4" w:space="0" w:color="auto"/>
              <w:right w:val="single" w:sz="4" w:space="0" w:color="auto"/>
            </w:tcBorders>
            <w:vAlign w:val="center"/>
          </w:tcPr>
          <w:p w14:paraId="3EBF836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Język polski</w:t>
            </w:r>
          </w:p>
        </w:tc>
        <w:tc>
          <w:tcPr>
            <w:tcW w:w="1253" w:type="pct"/>
            <w:gridSpan w:val="4"/>
            <w:tcBorders>
              <w:top w:val="single" w:sz="4" w:space="0" w:color="auto"/>
              <w:left w:val="nil"/>
              <w:bottom w:val="single" w:sz="4" w:space="0" w:color="auto"/>
              <w:right w:val="single" w:sz="4" w:space="0" w:color="auto"/>
            </w:tcBorders>
            <w:vAlign w:val="center"/>
          </w:tcPr>
          <w:p w14:paraId="54207EB3"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Matematyka</w:t>
            </w:r>
          </w:p>
        </w:tc>
        <w:tc>
          <w:tcPr>
            <w:tcW w:w="1167" w:type="pct"/>
            <w:gridSpan w:val="4"/>
            <w:tcBorders>
              <w:top w:val="single" w:sz="4" w:space="0" w:color="auto"/>
              <w:left w:val="nil"/>
              <w:bottom w:val="single" w:sz="4" w:space="0" w:color="auto"/>
              <w:right w:val="single" w:sz="4" w:space="0" w:color="auto"/>
            </w:tcBorders>
            <w:vAlign w:val="center"/>
          </w:tcPr>
          <w:p w14:paraId="7DA97E07"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Język angielski</w:t>
            </w:r>
          </w:p>
        </w:tc>
      </w:tr>
      <w:tr w:rsidR="00686DFE" w:rsidRPr="00CE5D9A" w14:paraId="5DC2B1E2" w14:textId="77777777" w:rsidTr="005858F4">
        <w:trPr>
          <w:trHeight w:val="340"/>
        </w:trPr>
        <w:tc>
          <w:tcPr>
            <w:tcW w:w="1438" w:type="pct"/>
            <w:vMerge/>
            <w:tcBorders>
              <w:top w:val="single" w:sz="4" w:space="0" w:color="auto"/>
              <w:left w:val="single" w:sz="4" w:space="0" w:color="auto"/>
              <w:bottom w:val="single" w:sz="4" w:space="0" w:color="auto"/>
              <w:right w:val="single" w:sz="4" w:space="0" w:color="auto"/>
            </w:tcBorders>
            <w:vAlign w:val="center"/>
          </w:tcPr>
          <w:p w14:paraId="524B44F6" w14:textId="77777777" w:rsidR="00686DFE" w:rsidRPr="00CE5D9A" w:rsidRDefault="00686DFE">
            <w:pPr>
              <w:spacing w:after="0" w:line="240" w:lineRule="auto"/>
              <w:rPr>
                <w:rFonts w:ascii="Times New Roman" w:eastAsia="Times New Roman" w:hAnsi="Times New Roman"/>
                <w:b/>
                <w:bCs/>
                <w:sz w:val="20"/>
                <w:szCs w:val="20"/>
                <w:lang w:eastAsia="pl-PL"/>
              </w:rPr>
            </w:pPr>
          </w:p>
        </w:tc>
        <w:tc>
          <w:tcPr>
            <w:tcW w:w="285" w:type="pct"/>
            <w:tcBorders>
              <w:top w:val="nil"/>
              <w:left w:val="nil"/>
              <w:bottom w:val="single" w:sz="4" w:space="0" w:color="auto"/>
              <w:right w:val="single" w:sz="4" w:space="0" w:color="auto"/>
            </w:tcBorders>
            <w:vAlign w:val="center"/>
          </w:tcPr>
          <w:p w14:paraId="2CA1780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85" w:type="pct"/>
            <w:tcBorders>
              <w:top w:val="nil"/>
              <w:left w:val="nil"/>
              <w:bottom w:val="single" w:sz="4" w:space="0" w:color="auto"/>
              <w:right w:val="single" w:sz="4" w:space="0" w:color="auto"/>
            </w:tcBorders>
            <w:vAlign w:val="center"/>
          </w:tcPr>
          <w:p w14:paraId="49862BD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85" w:type="pct"/>
            <w:tcBorders>
              <w:top w:val="nil"/>
              <w:left w:val="nil"/>
              <w:bottom w:val="single" w:sz="4" w:space="0" w:color="auto"/>
              <w:right w:val="single" w:sz="4" w:space="0" w:color="auto"/>
            </w:tcBorders>
            <w:vAlign w:val="center"/>
          </w:tcPr>
          <w:p w14:paraId="3B4B95CB"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87" w:type="pct"/>
            <w:tcBorders>
              <w:top w:val="nil"/>
              <w:left w:val="nil"/>
              <w:bottom w:val="single" w:sz="4" w:space="0" w:color="auto"/>
              <w:right w:val="single" w:sz="4" w:space="0" w:color="auto"/>
            </w:tcBorders>
            <w:vAlign w:val="center"/>
          </w:tcPr>
          <w:p w14:paraId="5DBE4E4F"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2022</w:t>
            </w:r>
          </w:p>
        </w:tc>
        <w:tc>
          <w:tcPr>
            <w:tcW w:w="285" w:type="pct"/>
            <w:tcBorders>
              <w:top w:val="nil"/>
              <w:left w:val="nil"/>
              <w:bottom w:val="single" w:sz="4" w:space="0" w:color="auto"/>
              <w:right w:val="single" w:sz="4" w:space="0" w:color="auto"/>
            </w:tcBorders>
            <w:vAlign w:val="center"/>
          </w:tcPr>
          <w:p w14:paraId="68CF041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331" w:type="pct"/>
            <w:tcBorders>
              <w:top w:val="nil"/>
              <w:left w:val="nil"/>
              <w:bottom w:val="single" w:sz="4" w:space="0" w:color="auto"/>
              <w:right w:val="single" w:sz="4" w:space="0" w:color="auto"/>
            </w:tcBorders>
            <w:vAlign w:val="center"/>
          </w:tcPr>
          <w:p w14:paraId="68DBD212"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348" w:type="pct"/>
            <w:tcBorders>
              <w:top w:val="nil"/>
              <w:left w:val="nil"/>
              <w:bottom w:val="single" w:sz="4" w:space="0" w:color="auto"/>
              <w:right w:val="single" w:sz="4" w:space="0" w:color="auto"/>
            </w:tcBorders>
            <w:vAlign w:val="center"/>
          </w:tcPr>
          <w:p w14:paraId="5416EAD5"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89" w:type="pct"/>
            <w:tcBorders>
              <w:top w:val="nil"/>
              <w:left w:val="nil"/>
              <w:bottom w:val="single" w:sz="4" w:space="0" w:color="auto"/>
              <w:right w:val="single" w:sz="4" w:space="0" w:color="auto"/>
            </w:tcBorders>
            <w:vAlign w:val="center"/>
          </w:tcPr>
          <w:p w14:paraId="0E3BD59C"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2022</w:t>
            </w:r>
          </w:p>
        </w:tc>
        <w:tc>
          <w:tcPr>
            <w:tcW w:w="292" w:type="pct"/>
            <w:tcBorders>
              <w:top w:val="nil"/>
              <w:left w:val="nil"/>
              <w:bottom w:val="single" w:sz="4" w:space="0" w:color="auto"/>
              <w:right w:val="single" w:sz="4" w:space="0" w:color="auto"/>
            </w:tcBorders>
            <w:vAlign w:val="center"/>
          </w:tcPr>
          <w:p w14:paraId="287E6830"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2019</w:t>
            </w:r>
          </w:p>
        </w:tc>
        <w:tc>
          <w:tcPr>
            <w:tcW w:w="292" w:type="pct"/>
            <w:tcBorders>
              <w:top w:val="nil"/>
              <w:left w:val="nil"/>
              <w:bottom w:val="single" w:sz="4" w:space="0" w:color="auto"/>
              <w:right w:val="single" w:sz="4" w:space="0" w:color="auto"/>
            </w:tcBorders>
            <w:vAlign w:val="center"/>
          </w:tcPr>
          <w:p w14:paraId="146FBADA"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2020</w:t>
            </w:r>
          </w:p>
        </w:tc>
        <w:tc>
          <w:tcPr>
            <w:tcW w:w="292" w:type="pct"/>
            <w:tcBorders>
              <w:top w:val="nil"/>
              <w:left w:val="nil"/>
              <w:bottom w:val="single" w:sz="4" w:space="0" w:color="auto"/>
              <w:right w:val="single" w:sz="4" w:space="0" w:color="auto"/>
            </w:tcBorders>
            <w:vAlign w:val="center"/>
          </w:tcPr>
          <w:p w14:paraId="1D6006A1"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2021</w:t>
            </w:r>
          </w:p>
        </w:tc>
        <w:tc>
          <w:tcPr>
            <w:tcW w:w="291" w:type="pct"/>
            <w:tcBorders>
              <w:top w:val="nil"/>
              <w:left w:val="nil"/>
              <w:bottom w:val="single" w:sz="4" w:space="0" w:color="auto"/>
              <w:right w:val="single" w:sz="4" w:space="0" w:color="auto"/>
            </w:tcBorders>
            <w:vAlign w:val="center"/>
          </w:tcPr>
          <w:p w14:paraId="07EB0244" w14:textId="77777777" w:rsidR="00686DFE" w:rsidRPr="00CE5D9A" w:rsidRDefault="00686DFE">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2022</w:t>
            </w:r>
          </w:p>
        </w:tc>
      </w:tr>
      <w:tr w:rsidR="00686DFE" w:rsidRPr="00CE5D9A" w14:paraId="7BE89DDA"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112F1A60"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Lubień</w:t>
            </w:r>
          </w:p>
        </w:tc>
        <w:tc>
          <w:tcPr>
            <w:tcW w:w="285" w:type="pct"/>
            <w:tcBorders>
              <w:top w:val="nil"/>
              <w:left w:val="nil"/>
              <w:bottom w:val="single" w:sz="4" w:space="0" w:color="auto"/>
              <w:right w:val="single" w:sz="4" w:space="0" w:color="auto"/>
            </w:tcBorders>
            <w:noWrap/>
            <w:vAlign w:val="center"/>
          </w:tcPr>
          <w:p w14:paraId="57137E3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62,7</w:t>
            </w:r>
          </w:p>
        </w:tc>
        <w:tc>
          <w:tcPr>
            <w:tcW w:w="285" w:type="pct"/>
            <w:tcBorders>
              <w:top w:val="nil"/>
              <w:left w:val="nil"/>
              <w:bottom w:val="single" w:sz="4" w:space="0" w:color="auto"/>
              <w:right w:val="single" w:sz="4" w:space="0" w:color="auto"/>
            </w:tcBorders>
            <w:vAlign w:val="center"/>
          </w:tcPr>
          <w:p w14:paraId="21DEA7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62,9</w:t>
            </w:r>
          </w:p>
        </w:tc>
        <w:tc>
          <w:tcPr>
            <w:tcW w:w="285" w:type="pct"/>
            <w:tcBorders>
              <w:top w:val="nil"/>
              <w:left w:val="nil"/>
              <w:bottom w:val="single" w:sz="4" w:space="0" w:color="auto"/>
              <w:right w:val="single" w:sz="4" w:space="0" w:color="auto"/>
            </w:tcBorders>
            <w:vAlign w:val="center"/>
          </w:tcPr>
          <w:p w14:paraId="75D9364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61,3</w:t>
            </w:r>
          </w:p>
        </w:tc>
        <w:tc>
          <w:tcPr>
            <w:tcW w:w="287" w:type="pct"/>
            <w:tcBorders>
              <w:top w:val="nil"/>
              <w:left w:val="nil"/>
              <w:bottom w:val="single" w:sz="4" w:space="0" w:color="auto"/>
              <w:right w:val="single" w:sz="4" w:space="0" w:color="auto"/>
            </w:tcBorders>
            <w:vAlign w:val="center"/>
          </w:tcPr>
          <w:p w14:paraId="2904E9F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60,0</w:t>
            </w:r>
          </w:p>
        </w:tc>
        <w:tc>
          <w:tcPr>
            <w:tcW w:w="285" w:type="pct"/>
            <w:tcBorders>
              <w:top w:val="nil"/>
              <w:left w:val="nil"/>
              <w:bottom w:val="single" w:sz="4" w:space="0" w:color="auto"/>
              <w:right w:val="single" w:sz="4" w:space="0" w:color="auto"/>
            </w:tcBorders>
            <w:vAlign w:val="center"/>
          </w:tcPr>
          <w:p w14:paraId="3C91436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44,5</w:t>
            </w:r>
          </w:p>
        </w:tc>
        <w:tc>
          <w:tcPr>
            <w:tcW w:w="331" w:type="pct"/>
            <w:tcBorders>
              <w:top w:val="nil"/>
              <w:left w:val="nil"/>
              <w:bottom w:val="single" w:sz="4" w:space="0" w:color="auto"/>
              <w:right w:val="single" w:sz="4" w:space="0" w:color="auto"/>
            </w:tcBorders>
            <w:vAlign w:val="center"/>
          </w:tcPr>
          <w:p w14:paraId="2BD4DF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49,2</w:t>
            </w:r>
          </w:p>
        </w:tc>
        <w:tc>
          <w:tcPr>
            <w:tcW w:w="348" w:type="pct"/>
            <w:tcBorders>
              <w:top w:val="nil"/>
              <w:left w:val="nil"/>
              <w:bottom w:val="single" w:sz="4" w:space="0" w:color="auto"/>
              <w:right w:val="single" w:sz="4" w:space="0" w:color="auto"/>
            </w:tcBorders>
            <w:vAlign w:val="center"/>
          </w:tcPr>
          <w:p w14:paraId="209B8E1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48,4</w:t>
            </w:r>
          </w:p>
        </w:tc>
        <w:tc>
          <w:tcPr>
            <w:tcW w:w="289" w:type="pct"/>
            <w:tcBorders>
              <w:top w:val="nil"/>
              <w:left w:val="nil"/>
              <w:bottom w:val="single" w:sz="4" w:space="0" w:color="auto"/>
              <w:right w:val="single" w:sz="4" w:space="0" w:color="auto"/>
            </w:tcBorders>
            <w:vAlign w:val="center"/>
          </w:tcPr>
          <w:p w14:paraId="0AA6426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62,0</w:t>
            </w:r>
          </w:p>
        </w:tc>
        <w:tc>
          <w:tcPr>
            <w:tcW w:w="292" w:type="pct"/>
            <w:tcBorders>
              <w:top w:val="nil"/>
              <w:left w:val="nil"/>
              <w:bottom w:val="single" w:sz="4" w:space="0" w:color="auto"/>
              <w:right w:val="single" w:sz="4" w:space="0" w:color="auto"/>
            </w:tcBorders>
            <w:vAlign w:val="center"/>
          </w:tcPr>
          <w:p w14:paraId="274D1DB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62,2</w:t>
            </w:r>
          </w:p>
        </w:tc>
        <w:tc>
          <w:tcPr>
            <w:tcW w:w="292" w:type="pct"/>
            <w:tcBorders>
              <w:top w:val="nil"/>
              <w:left w:val="nil"/>
              <w:bottom w:val="single" w:sz="4" w:space="0" w:color="auto"/>
              <w:right w:val="single" w:sz="4" w:space="0" w:color="auto"/>
            </w:tcBorders>
            <w:vAlign w:val="center"/>
          </w:tcPr>
          <w:p w14:paraId="5478C75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53,8</w:t>
            </w:r>
          </w:p>
        </w:tc>
        <w:tc>
          <w:tcPr>
            <w:tcW w:w="292" w:type="pct"/>
            <w:tcBorders>
              <w:top w:val="nil"/>
              <w:left w:val="nil"/>
              <w:bottom w:val="single" w:sz="4" w:space="0" w:color="auto"/>
              <w:right w:val="single" w:sz="4" w:space="0" w:color="auto"/>
            </w:tcBorders>
            <w:vAlign w:val="center"/>
          </w:tcPr>
          <w:p w14:paraId="388476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69,5</w:t>
            </w:r>
          </w:p>
        </w:tc>
        <w:tc>
          <w:tcPr>
            <w:tcW w:w="291" w:type="pct"/>
            <w:tcBorders>
              <w:top w:val="nil"/>
              <w:left w:val="nil"/>
              <w:bottom w:val="single" w:sz="4" w:space="0" w:color="auto"/>
              <w:right w:val="single" w:sz="4" w:space="0" w:color="auto"/>
            </w:tcBorders>
            <w:noWrap/>
            <w:vAlign w:val="center"/>
          </w:tcPr>
          <w:p w14:paraId="4CB2A17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64,0</w:t>
            </w:r>
          </w:p>
        </w:tc>
      </w:tr>
      <w:tr w:rsidR="00686DFE" w:rsidRPr="00CE5D9A" w14:paraId="46F4E95C"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25FCB5AC"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Myślenice</w:t>
            </w:r>
          </w:p>
        </w:tc>
        <w:tc>
          <w:tcPr>
            <w:tcW w:w="285" w:type="pct"/>
            <w:tcBorders>
              <w:top w:val="nil"/>
              <w:left w:val="nil"/>
              <w:bottom w:val="single" w:sz="4" w:space="0" w:color="auto"/>
              <w:right w:val="single" w:sz="4" w:space="0" w:color="auto"/>
            </w:tcBorders>
            <w:noWrap/>
            <w:vAlign w:val="center"/>
          </w:tcPr>
          <w:p w14:paraId="6AD25C8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70,7</w:t>
            </w:r>
          </w:p>
        </w:tc>
        <w:tc>
          <w:tcPr>
            <w:tcW w:w="285" w:type="pct"/>
            <w:tcBorders>
              <w:top w:val="nil"/>
              <w:left w:val="nil"/>
              <w:bottom w:val="single" w:sz="4" w:space="0" w:color="auto"/>
              <w:right w:val="single" w:sz="4" w:space="0" w:color="auto"/>
            </w:tcBorders>
            <w:noWrap/>
            <w:vAlign w:val="center"/>
          </w:tcPr>
          <w:p w14:paraId="2334871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64,9</w:t>
            </w:r>
          </w:p>
        </w:tc>
        <w:tc>
          <w:tcPr>
            <w:tcW w:w="285" w:type="pct"/>
            <w:tcBorders>
              <w:top w:val="nil"/>
              <w:left w:val="nil"/>
              <w:bottom w:val="single" w:sz="4" w:space="0" w:color="auto"/>
              <w:right w:val="single" w:sz="4" w:space="0" w:color="auto"/>
            </w:tcBorders>
            <w:noWrap/>
            <w:vAlign w:val="center"/>
          </w:tcPr>
          <w:p w14:paraId="312FC53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63,1</w:t>
            </w:r>
          </w:p>
        </w:tc>
        <w:tc>
          <w:tcPr>
            <w:tcW w:w="287" w:type="pct"/>
            <w:tcBorders>
              <w:top w:val="nil"/>
              <w:left w:val="nil"/>
              <w:bottom w:val="single" w:sz="4" w:space="0" w:color="auto"/>
              <w:right w:val="single" w:sz="4" w:space="0" w:color="auto"/>
            </w:tcBorders>
            <w:noWrap/>
            <w:vAlign w:val="center"/>
          </w:tcPr>
          <w:p w14:paraId="10ACACF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64,6</w:t>
            </w:r>
          </w:p>
        </w:tc>
        <w:tc>
          <w:tcPr>
            <w:tcW w:w="285" w:type="pct"/>
            <w:tcBorders>
              <w:top w:val="nil"/>
              <w:left w:val="nil"/>
              <w:bottom w:val="single" w:sz="4" w:space="0" w:color="auto"/>
              <w:right w:val="single" w:sz="4" w:space="0" w:color="auto"/>
            </w:tcBorders>
            <w:noWrap/>
            <w:vAlign w:val="center"/>
          </w:tcPr>
          <w:p w14:paraId="4B7524A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55,5</w:t>
            </w:r>
          </w:p>
        </w:tc>
        <w:tc>
          <w:tcPr>
            <w:tcW w:w="331" w:type="pct"/>
            <w:tcBorders>
              <w:top w:val="nil"/>
              <w:left w:val="nil"/>
              <w:bottom w:val="single" w:sz="4" w:space="0" w:color="auto"/>
              <w:right w:val="single" w:sz="4" w:space="0" w:color="auto"/>
            </w:tcBorders>
            <w:noWrap/>
            <w:vAlign w:val="center"/>
          </w:tcPr>
          <w:p w14:paraId="680AE93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53,8</w:t>
            </w:r>
          </w:p>
        </w:tc>
        <w:tc>
          <w:tcPr>
            <w:tcW w:w="348" w:type="pct"/>
            <w:tcBorders>
              <w:top w:val="nil"/>
              <w:left w:val="nil"/>
              <w:bottom w:val="single" w:sz="4" w:space="0" w:color="auto"/>
              <w:right w:val="single" w:sz="4" w:space="0" w:color="auto"/>
            </w:tcBorders>
            <w:noWrap/>
            <w:vAlign w:val="center"/>
          </w:tcPr>
          <w:p w14:paraId="05A29E3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54,6</w:t>
            </w:r>
          </w:p>
        </w:tc>
        <w:tc>
          <w:tcPr>
            <w:tcW w:w="289" w:type="pct"/>
            <w:tcBorders>
              <w:top w:val="nil"/>
              <w:left w:val="nil"/>
              <w:bottom w:val="single" w:sz="4" w:space="0" w:color="auto"/>
              <w:right w:val="single" w:sz="4" w:space="0" w:color="auto"/>
            </w:tcBorders>
            <w:noWrap/>
            <w:vAlign w:val="center"/>
          </w:tcPr>
          <w:p w14:paraId="4A9C10F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68,5</w:t>
            </w:r>
          </w:p>
        </w:tc>
        <w:tc>
          <w:tcPr>
            <w:tcW w:w="292" w:type="pct"/>
            <w:tcBorders>
              <w:top w:val="nil"/>
              <w:left w:val="nil"/>
              <w:bottom w:val="single" w:sz="4" w:space="0" w:color="auto"/>
              <w:right w:val="single" w:sz="4" w:space="0" w:color="auto"/>
            </w:tcBorders>
            <w:noWrap/>
            <w:vAlign w:val="center"/>
          </w:tcPr>
          <w:p w14:paraId="60430ED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66,3</w:t>
            </w:r>
          </w:p>
        </w:tc>
        <w:tc>
          <w:tcPr>
            <w:tcW w:w="292" w:type="pct"/>
            <w:tcBorders>
              <w:top w:val="nil"/>
              <w:left w:val="nil"/>
              <w:bottom w:val="single" w:sz="4" w:space="0" w:color="auto"/>
              <w:right w:val="single" w:sz="4" w:space="0" w:color="auto"/>
            </w:tcBorders>
            <w:noWrap/>
            <w:vAlign w:val="center"/>
          </w:tcPr>
          <w:p w14:paraId="079E5DA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59,4</w:t>
            </w:r>
          </w:p>
        </w:tc>
        <w:tc>
          <w:tcPr>
            <w:tcW w:w="292" w:type="pct"/>
            <w:tcBorders>
              <w:top w:val="nil"/>
              <w:left w:val="nil"/>
              <w:bottom w:val="single" w:sz="4" w:space="0" w:color="auto"/>
              <w:right w:val="single" w:sz="4" w:space="0" w:color="auto"/>
            </w:tcBorders>
            <w:noWrap/>
            <w:vAlign w:val="center"/>
          </w:tcPr>
          <w:p w14:paraId="617A8A1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68,9</w:t>
            </w:r>
          </w:p>
        </w:tc>
        <w:tc>
          <w:tcPr>
            <w:tcW w:w="291" w:type="pct"/>
            <w:tcBorders>
              <w:top w:val="nil"/>
              <w:left w:val="nil"/>
              <w:bottom w:val="single" w:sz="4" w:space="0" w:color="auto"/>
              <w:right w:val="single" w:sz="4" w:space="0" w:color="auto"/>
            </w:tcBorders>
            <w:noWrap/>
            <w:vAlign w:val="center"/>
          </w:tcPr>
          <w:p w14:paraId="351021F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72,4</w:t>
            </w:r>
          </w:p>
        </w:tc>
      </w:tr>
      <w:tr w:rsidR="00686DFE" w:rsidRPr="00CE5D9A" w14:paraId="75C668AB"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3CA95154"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Pcim</w:t>
            </w:r>
          </w:p>
        </w:tc>
        <w:tc>
          <w:tcPr>
            <w:tcW w:w="285" w:type="pct"/>
            <w:tcBorders>
              <w:top w:val="nil"/>
              <w:left w:val="nil"/>
              <w:bottom w:val="single" w:sz="4" w:space="0" w:color="auto"/>
              <w:right w:val="single" w:sz="4" w:space="0" w:color="auto"/>
            </w:tcBorders>
            <w:noWrap/>
            <w:vAlign w:val="center"/>
          </w:tcPr>
          <w:p w14:paraId="46A1D45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61,4</w:t>
            </w:r>
          </w:p>
        </w:tc>
        <w:tc>
          <w:tcPr>
            <w:tcW w:w="285" w:type="pct"/>
            <w:tcBorders>
              <w:top w:val="nil"/>
              <w:left w:val="nil"/>
              <w:bottom w:val="single" w:sz="4" w:space="0" w:color="auto"/>
              <w:right w:val="single" w:sz="4" w:space="0" w:color="auto"/>
            </w:tcBorders>
            <w:noWrap/>
            <w:vAlign w:val="center"/>
          </w:tcPr>
          <w:p w14:paraId="495CCD4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60,9</w:t>
            </w:r>
          </w:p>
        </w:tc>
        <w:tc>
          <w:tcPr>
            <w:tcW w:w="285" w:type="pct"/>
            <w:tcBorders>
              <w:top w:val="nil"/>
              <w:left w:val="nil"/>
              <w:bottom w:val="single" w:sz="4" w:space="0" w:color="auto"/>
              <w:right w:val="single" w:sz="4" w:space="0" w:color="auto"/>
            </w:tcBorders>
            <w:noWrap/>
            <w:vAlign w:val="center"/>
          </w:tcPr>
          <w:p w14:paraId="083AE57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62,9</w:t>
            </w:r>
          </w:p>
        </w:tc>
        <w:tc>
          <w:tcPr>
            <w:tcW w:w="287" w:type="pct"/>
            <w:tcBorders>
              <w:top w:val="nil"/>
              <w:left w:val="nil"/>
              <w:bottom w:val="single" w:sz="4" w:space="0" w:color="auto"/>
              <w:right w:val="single" w:sz="4" w:space="0" w:color="auto"/>
            </w:tcBorders>
            <w:noWrap/>
            <w:vAlign w:val="center"/>
          </w:tcPr>
          <w:p w14:paraId="56810E0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65,0</w:t>
            </w:r>
          </w:p>
        </w:tc>
        <w:tc>
          <w:tcPr>
            <w:tcW w:w="285" w:type="pct"/>
            <w:tcBorders>
              <w:top w:val="nil"/>
              <w:left w:val="nil"/>
              <w:bottom w:val="single" w:sz="4" w:space="0" w:color="auto"/>
              <w:right w:val="single" w:sz="4" w:space="0" w:color="auto"/>
            </w:tcBorders>
            <w:noWrap/>
            <w:vAlign w:val="center"/>
          </w:tcPr>
          <w:p w14:paraId="3004AEB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47,1</w:t>
            </w:r>
          </w:p>
        </w:tc>
        <w:tc>
          <w:tcPr>
            <w:tcW w:w="331" w:type="pct"/>
            <w:tcBorders>
              <w:top w:val="nil"/>
              <w:left w:val="nil"/>
              <w:bottom w:val="single" w:sz="4" w:space="0" w:color="auto"/>
              <w:right w:val="single" w:sz="4" w:space="0" w:color="auto"/>
            </w:tcBorders>
            <w:noWrap/>
            <w:vAlign w:val="center"/>
          </w:tcPr>
          <w:p w14:paraId="3EAF597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50,4</w:t>
            </w:r>
          </w:p>
        </w:tc>
        <w:tc>
          <w:tcPr>
            <w:tcW w:w="348" w:type="pct"/>
            <w:tcBorders>
              <w:top w:val="nil"/>
              <w:left w:val="nil"/>
              <w:bottom w:val="single" w:sz="4" w:space="0" w:color="auto"/>
              <w:right w:val="single" w:sz="4" w:space="0" w:color="auto"/>
            </w:tcBorders>
            <w:noWrap/>
            <w:vAlign w:val="center"/>
          </w:tcPr>
          <w:p w14:paraId="6808839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53,1</w:t>
            </w:r>
          </w:p>
        </w:tc>
        <w:tc>
          <w:tcPr>
            <w:tcW w:w="289" w:type="pct"/>
            <w:tcBorders>
              <w:top w:val="nil"/>
              <w:left w:val="nil"/>
              <w:bottom w:val="single" w:sz="4" w:space="0" w:color="auto"/>
              <w:right w:val="single" w:sz="4" w:space="0" w:color="auto"/>
            </w:tcBorders>
            <w:noWrap/>
            <w:vAlign w:val="center"/>
          </w:tcPr>
          <w:p w14:paraId="29AD5C1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61,0</w:t>
            </w:r>
          </w:p>
        </w:tc>
        <w:tc>
          <w:tcPr>
            <w:tcW w:w="292" w:type="pct"/>
            <w:tcBorders>
              <w:top w:val="nil"/>
              <w:left w:val="nil"/>
              <w:bottom w:val="single" w:sz="4" w:space="0" w:color="auto"/>
              <w:right w:val="single" w:sz="4" w:space="0" w:color="auto"/>
            </w:tcBorders>
            <w:noWrap/>
            <w:vAlign w:val="center"/>
          </w:tcPr>
          <w:p w14:paraId="7AB30AE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57,8</w:t>
            </w:r>
          </w:p>
        </w:tc>
        <w:tc>
          <w:tcPr>
            <w:tcW w:w="292" w:type="pct"/>
            <w:tcBorders>
              <w:top w:val="nil"/>
              <w:left w:val="nil"/>
              <w:bottom w:val="single" w:sz="4" w:space="0" w:color="auto"/>
              <w:right w:val="single" w:sz="4" w:space="0" w:color="auto"/>
            </w:tcBorders>
            <w:noWrap/>
            <w:vAlign w:val="center"/>
          </w:tcPr>
          <w:p w14:paraId="41B6990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52,7</w:t>
            </w:r>
          </w:p>
        </w:tc>
        <w:tc>
          <w:tcPr>
            <w:tcW w:w="292" w:type="pct"/>
            <w:tcBorders>
              <w:top w:val="nil"/>
              <w:left w:val="nil"/>
              <w:bottom w:val="single" w:sz="4" w:space="0" w:color="auto"/>
              <w:right w:val="single" w:sz="4" w:space="0" w:color="auto"/>
            </w:tcBorders>
            <w:noWrap/>
            <w:vAlign w:val="center"/>
          </w:tcPr>
          <w:p w14:paraId="151ABD9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72,3</w:t>
            </w:r>
          </w:p>
        </w:tc>
        <w:tc>
          <w:tcPr>
            <w:tcW w:w="291" w:type="pct"/>
            <w:tcBorders>
              <w:top w:val="nil"/>
              <w:left w:val="nil"/>
              <w:bottom w:val="single" w:sz="4" w:space="0" w:color="auto"/>
              <w:right w:val="single" w:sz="4" w:space="0" w:color="auto"/>
            </w:tcBorders>
            <w:noWrap/>
            <w:vAlign w:val="center"/>
          </w:tcPr>
          <w:p w14:paraId="3DE7842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66,5</w:t>
            </w:r>
          </w:p>
        </w:tc>
      </w:tr>
      <w:tr w:rsidR="00686DFE" w:rsidRPr="00CE5D9A" w14:paraId="2A9FADF8"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57AA5C6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Raciechowice</w:t>
            </w:r>
          </w:p>
        </w:tc>
        <w:tc>
          <w:tcPr>
            <w:tcW w:w="285" w:type="pct"/>
            <w:tcBorders>
              <w:top w:val="nil"/>
              <w:left w:val="nil"/>
              <w:bottom w:val="single" w:sz="4" w:space="0" w:color="auto"/>
              <w:right w:val="single" w:sz="4" w:space="0" w:color="auto"/>
            </w:tcBorders>
            <w:noWrap/>
            <w:vAlign w:val="center"/>
          </w:tcPr>
          <w:p w14:paraId="3DA7FE6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67,4</w:t>
            </w:r>
          </w:p>
        </w:tc>
        <w:tc>
          <w:tcPr>
            <w:tcW w:w="285" w:type="pct"/>
            <w:tcBorders>
              <w:top w:val="nil"/>
              <w:left w:val="nil"/>
              <w:bottom w:val="single" w:sz="4" w:space="0" w:color="auto"/>
              <w:right w:val="single" w:sz="4" w:space="0" w:color="auto"/>
            </w:tcBorders>
            <w:noWrap/>
            <w:vAlign w:val="center"/>
          </w:tcPr>
          <w:p w14:paraId="70D6F86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60,4</w:t>
            </w:r>
          </w:p>
        </w:tc>
        <w:tc>
          <w:tcPr>
            <w:tcW w:w="285" w:type="pct"/>
            <w:tcBorders>
              <w:top w:val="nil"/>
              <w:left w:val="nil"/>
              <w:bottom w:val="single" w:sz="4" w:space="0" w:color="auto"/>
              <w:right w:val="single" w:sz="4" w:space="0" w:color="auto"/>
            </w:tcBorders>
            <w:noWrap/>
            <w:vAlign w:val="center"/>
          </w:tcPr>
          <w:p w14:paraId="02054CF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58,0</w:t>
            </w:r>
          </w:p>
        </w:tc>
        <w:tc>
          <w:tcPr>
            <w:tcW w:w="287" w:type="pct"/>
            <w:tcBorders>
              <w:top w:val="nil"/>
              <w:left w:val="nil"/>
              <w:bottom w:val="single" w:sz="4" w:space="0" w:color="auto"/>
              <w:right w:val="single" w:sz="4" w:space="0" w:color="auto"/>
            </w:tcBorders>
            <w:noWrap/>
            <w:vAlign w:val="center"/>
          </w:tcPr>
          <w:p w14:paraId="20671BD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63,8</w:t>
            </w:r>
          </w:p>
        </w:tc>
        <w:tc>
          <w:tcPr>
            <w:tcW w:w="285" w:type="pct"/>
            <w:tcBorders>
              <w:top w:val="nil"/>
              <w:left w:val="nil"/>
              <w:bottom w:val="single" w:sz="4" w:space="0" w:color="auto"/>
              <w:right w:val="single" w:sz="4" w:space="0" w:color="auto"/>
            </w:tcBorders>
            <w:noWrap/>
            <w:vAlign w:val="center"/>
          </w:tcPr>
          <w:p w14:paraId="2EA4CF9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43,5</w:t>
            </w:r>
          </w:p>
        </w:tc>
        <w:tc>
          <w:tcPr>
            <w:tcW w:w="331" w:type="pct"/>
            <w:tcBorders>
              <w:top w:val="nil"/>
              <w:left w:val="nil"/>
              <w:bottom w:val="single" w:sz="4" w:space="0" w:color="auto"/>
              <w:right w:val="single" w:sz="4" w:space="0" w:color="auto"/>
            </w:tcBorders>
            <w:noWrap/>
            <w:vAlign w:val="center"/>
          </w:tcPr>
          <w:p w14:paraId="03BCD0B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42,6</w:t>
            </w:r>
          </w:p>
        </w:tc>
        <w:tc>
          <w:tcPr>
            <w:tcW w:w="348" w:type="pct"/>
            <w:tcBorders>
              <w:top w:val="nil"/>
              <w:left w:val="nil"/>
              <w:bottom w:val="single" w:sz="4" w:space="0" w:color="auto"/>
              <w:right w:val="single" w:sz="4" w:space="0" w:color="auto"/>
            </w:tcBorders>
            <w:noWrap/>
            <w:vAlign w:val="center"/>
          </w:tcPr>
          <w:p w14:paraId="7D9EBAF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38,7</w:t>
            </w:r>
          </w:p>
        </w:tc>
        <w:tc>
          <w:tcPr>
            <w:tcW w:w="289" w:type="pct"/>
            <w:tcBorders>
              <w:top w:val="nil"/>
              <w:left w:val="nil"/>
              <w:bottom w:val="single" w:sz="4" w:space="0" w:color="auto"/>
              <w:right w:val="single" w:sz="4" w:space="0" w:color="auto"/>
            </w:tcBorders>
            <w:noWrap/>
            <w:vAlign w:val="center"/>
          </w:tcPr>
          <w:p w14:paraId="4D76829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64,7</w:t>
            </w:r>
          </w:p>
        </w:tc>
        <w:tc>
          <w:tcPr>
            <w:tcW w:w="292" w:type="pct"/>
            <w:tcBorders>
              <w:top w:val="nil"/>
              <w:left w:val="nil"/>
              <w:bottom w:val="single" w:sz="4" w:space="0" w:color="auto"/>
              <w:right w:val="single" w:sz="4" w:space="0" w:color="auto"/>
            </w:tcBorders>
            <w:noWrap/>
            <w:vAlign w:val="center"/>
          </w:tcPr>
          <w:p w14:paraId="567BFEC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56,3</w:t>
            </w:r>
          </w:p>
        </w:tc>
        <w:tc>
          <w:tcPr>
            <w:tcW w:w="292" w:type="pct"/>
            <w:tcBorders>
              <w:top w:val="nil"/>
              <w:left w:val="nil"/>
              <w:bottom w:val="single" w:sz="4" w:space="0" w:color="auto"/>
              <w:right w:val="single" w:sz="4" w:space="0" w:color="auto"/>
            </w:tcBorders>
            <w:noWrap/>
            <w:vAlign w:val="center"/>
          </w:tcPr>
          <w:p w14:paraId="6DE99C5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47,0</w:t>
            </w:r>
          </w:p>
        </w:tc>
        <w:tc>
          <w:tcPr>
            <w:tcW w:w="292" w:type="pct"/>
            <w:tcBorders>
              <w:top w:val="nil"/>
              <w:left w:val="nil"/>
              <w:bottom w:val="single" w:sz="4" w:space="0" w:color="auto"/>
              <w:right w:val="single" w:sz="4" w:space="0" w:color="auto"/>
            </w:tcBorders>
            <w:noWrap/>
            <w:vAlign w:val="center"/>
          </w:tcPr>
          <w:p w14:paraId="361F881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49,8</w:t>
            </w:r>
          </w:p>
        </w:tc>
        <w:tc>
          <w:tcPr>
            <w:tcW w:w="291" w:type="pct"/>
            <w:tcBorders>
              <w:top w:val="nil"/>
              <w:left w:val="nil"/>
              <w:bottom w:val="single" w:sz="4" w:space="0" w:color="auto"/>
              <w:right w:val="single" w:sz="4" w:space="0" w:color="auto"/>
            </w:tcBorders>
            <w:noWrap/>
            <w:vAlign w:val="center"/>
          </w:tcPr>
          <w:p w14:paraId="72B526D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59,4</w:t>
            </w:r>
          </w:p>
        </w:tc>
      </w:tr>
      <w:tr w:rsidR="005858F4" w:rsidRPr="00CE5D9A" w14:paraId="617359EA"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4AE1CED9" w14:textId="77777777" w:rsidR="005858F4" w:rsidRPr="00CE5D9A" w:rsidRDefault="005858F4">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Siepraw</w:t>
            </w:r>
          </w:p>
        </w:tc>
        <w:tc>
          <w:tcPr>
            <w:tcW w:w="285" w:type="pct"/>
            <w:tcBorders>
              <w:top w:val="nil"/>
              <w:left w:val="nil"/>
              <w:bottom w:val="single" w:sz="4" w:space="0" w:color="auto"/>
              <w:right w:val="single" w:sz="4" w:space="0" w:color="auto"/>
            </w:tcBorders>
            <w:noWrap/>
            <w:vAlign w:val="center"/>
          </w:tcPr>
          <w:p w14:paraId="53C926CF"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70,1</w:t>
            </w:r>
          </w:p>
        </w:tc>
        <w:tc>
          <w:tcPr>
            <w:tcW w:w="285" w:type="pct"/>
            <w:tcBorders>
              <w:top w:val="nil"/>
              <w:left w:val="nil"/>
              <w:bottom w:val="single" w:sz="4" w:space="0" w:color="auto"/>
              <w:right w:val="single" w:sz="4" w:space="0" w:color="auto"/>
            </w:tcBorders>
            <w:noWrap/>
            <w:vAlign w:val="center"/>
          </w:tcPr>
          <w:p w14:paraId="66E2B414"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65,7</w:t>
            </w:r>
          </w:p>
        </w:tc>
        <w:tc>
          <w:tcPr>
            <w:tcW w:w="285" w:type="pct"/>
            <w:tcBorders>
              <w:top w:val="nil"/>
              <w:left w:val="nil"/>
              <w:bottom w:val="single" w:sz="4" w:space="0" w:color="auto"/>
              <w:right w:val="single" w:sz="4" w:space="0" w:color="auto"/>
            </w:tcBorders>
            <w:noWrap/>
            <w:vAlign w:val="center"/>
          </w:tcPr>
          <w:p w14:paraId="22235E26"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67,4</w:t>
            </w:r>
          </w:p>
        </w:tc>
        <w:tc>
          <w:tcPr>
            <w:tcW w:w="287" w:type="pct"/>
            <w:tcBorders>
              <w:top w:val="nil"/>
              <w:left w:val="nil"/>
              <w:bottom w:val="single" w:sz="4" w:space="0" w:color="auto"/>
              <w:right w:val="single" w:sz="4" w:space="0" w:color="auto"/>
            </w:tcBorders>
            <w:noWrap/>
            <w:vAlign w:val="center"/>
          </w:tcPr>
          <w:p w14:paraId="41DFAD73"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66,1</w:t>
            </w:r>
          </w:p>
        </w:tc>
        <w:tc>
          <w:tcPr>
            <w:tcW w:w="285" w:type="pct"/>
            <w:tcBorders>
              <w:top w:val="nil"/>
              <w:left w:val="nil"/>
              <w:bottom w:val="single" w:sz="4" w:space="0" w:color="auto"/>
              <w:right w:val="single" w:sz="4" w:space="0" w:color="auto"/>
            </w:tcBorders>
            <w:noWrap/>
            <w:vAlign w:val="center"/>
          </w:tcPr>
          <w:p w14:paraId="3D0DDFDB"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54,2</w:t>
            </w:r>
          </w:p>
        </w:tc>
        <w:tc>
          <w:tcPr>
            <w:tcW w:w="331" w:type="pct"/>
            <w:tcBorders>
              <w:top w:val="nil"/>
              <w:left w:val="nil"/>
              <w:bottom w:val="single" w:sz="4" w:space="0" w:color="auto"/>
              <w:right w:val="single" w:sz="4" w:space="0" w:color="auto"/>
            </w:tcBorders>
            <w:noWrap/>
            <w:vAlign w:val="center"/>
          </w:tcPr>
          <w:p w14:paraId="5851AE8C"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54,4</w:t>
            </w:r>
          </w:p>
        </w:tc>
        <w:tc>
          <w:tcPr>
            <w:tcW w:w="348" w:type="pct"/>
            <w:tcBorders>
              <w:top w:val="nil"/>
              <w:left w:val="nil"/>
              <w:bottom w:val="single" w:sz="4" w:space="0" w:color="auto"/>
              <w:right w:val="single" w:sz="4" w:space="0" w:color="auto"/>
            </w:tcBorders>
            <w:noWrap/>
            <w:vAlign w:val="center"/>
          </w:tcPr>
          <w:p w14:paraId="50A21078"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58,9</w:t>
            </w:r>
          </w:p>
        </w:tc>
        <w:tc>
          <w:tcPr>
            <w:tcW w:w="289" w:type="pct"/>
            <w:tcBorders>
              <w:top w:val="nil"/>
              <w:left w:val="nil"/>
              <w:bottom w:val="single" w:sz="4" w:space="0" w:color="auto"/>
              <w:right w:val="single" w:sz="4" w:space="0" w:color="auto"/>
            </w:tcBorders>
            <w:noWrap/>
            <w:vAlign w:val="center"/>
          </w:tcPr>
          <w:p w14:paraId="745E9CBD"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70,1</w:t>
            </w:r>
          </w:p>
        </w:tc>
        <w:tc>
          <w:tcPr>
            <w:tcW w:w="292" w:type="pct"/>
            <w:tcBorders>
              <w:top w:val="nil"/>
              <w:left w:val="nil"/>
              <w:bottom w:val="single" w:sz="4" w:space="0" w:color="auto"/>
              <w:right w:val="single" w:sz="4" w:space="0" w:color="auto"/>
            </w:tcBorders>
            <w:noWrap/>
            <w:vAlign w:val="center"/>
          </w:tcPr>
          <w:p w14:paraId="6CAFF3FF"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64,1</w:t>
            </w:r>
          </w:p>
        </w:tc>
        <w:tc>
          <w:tcPr>
            <w:tcW w:w="292" w:type="pct"/>
            <w:tcBorders>
              <w:top w:val="nil"/>
              <w:left w:val="nil"/>
              <w:bottom w:val="single" w:sz="4" w:space="0" w:color="auto"/>
              <w:right w:val="single" w:sz="4" w:space="0" w:color="auto"/>
            </w:tcBorders>
            <w:noWrap/>
            <w:vAlign w:val="center"/>
          </w:tcPr>
          <w:p w14:paraId="353068DC"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60,2</w:t>
            </w:r>
          </w:p>
        </w:tc>
        <w:tc>
          <w:tcPr>
            <w:tcW w:w="292" w:type="pct"/>
            <w:tcBorders>
              <w:top w:val="nil"/>
              <w:left w:val="nil"/>
              <w:bottom w:val="single" w:sz="4" w:space="0" w:color="auto"/>
              <w:right w:val="single" w:sz="4" w:space="0" w:color="auto"/>
            </w:tcBorders>
            <w:noWrap/>
            <w:vAlign w:val="center"/>
          </w:tcPr>
          <w:p w14:paraId="1D339711"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77,4</w:t>
            </w:r>
          </w:p>
        </w:tc>
        <w:tc>
          <w:tcPr>
            <w:tcW w:w="291" w:type="pct"/>
            <w:tcBorders>
              <w:top w:val="nil"/>
              <w:left w:val="nil"/>
              <w:bottom w:val="single" w:sz="4" w:space="0" w:color="auto"/>
              <w:right w:val="single" w:sz="4" w:space="0" w:color="auto"/>
            </w:tcBorders>
            <w:noWrap/>
            <w:vAlign w:val="center"/>
          </w:tcPr>
          <w:p w14:paraId="5F37242A" w14:textId="77777777" w:rsidR="005858F4" w:rsidRPr="00CE5D9A" w:rsidRDefault="005858F4" w:rsidP="005858F4">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70,7</w:t>
            </w:r>
          </w:p>
        </w:tc>
      </w:tr>
      <w:tr w:rsidR="00686DFE" w:rsidRPr="00CE5D9A" w14:paraId="4C633AA7"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214D4D1D"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Sułkowice</w:t>
            </w:r>
          </w:p>
        </w:tc>
        <w:tc>
          <w:tcPr>
            <w:tcW w:w="285" w:type="pct"/>
            <w:tcBorders>
              <w:top w:val="nil"/>
              <w:left w:val="nil"/>
              <w:bottom w:val="single" w:sz="4" w:space="0" w:color="auto"/>
              <w:right w:val="single" w:sz="4" w:space="0" w:color="auto"/>
            </w:tcBorders>
            <w:noWrap/>
            <w:vAlign w:val="center"/>
          </w:tcPr>
          <w:p w14:paraId="2D94029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65,2</w:t>
            </w:r>
          </w:p>
        </w:tc>
        <w:tc>
          <w:tcPr>
            <w:tcW w:w="285" w:type="pct"/>
            <w:tcBorders>
              <w:top w:val="nil"/>
              <w:left w:val="nil"/>
              <w:bottom w:val="single" w:sz="4" w:space="0" w:color="auto"/>
              <w:right w:val="single" w:sz="4" w:space="0" w:color="auto"/>
            </w:tcBorders>
            <w:noWrap/>
            <w:vAlign w:val="center"/>
          </w:tcPr>
          <w:p w14:paraId="223519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62,1</w:t>
            </w:r>
          </w:p>
        </w:tc>
        <w:tc>
          <w:tcPr>
            <w:tcW w:w="285" w:type="pct"/>
            <w:tcBorders>
              <w:top w:val="nil"/>
              <w:left w:val="nil"/>
              <w:bottom w:val="single" w:sz="4" w:space="0" w:color="auto"/>
              <w:right w:val="single" w:sz="4" w:space="0" w:color="auto"/>
            </w:tcBorders>
            <w:noWrap/>
            <w:vAlign w:val="center"/>
          </w:tcPr>
          <w:p w14:paraId="6A2F76B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63,3</w:t>
            </w:r>
          </w:p>
        </w:tc>
        <w:tc>
          <w:tcPr>
            <w:tcW w:w="287" w:type="pct"/>
            <w:tcBorders>
              <w:top w:val="nil"/>
              <w:left w:val="nil"/>
              <w:bottom w:val="single" w:sz="4" w:space="0" w:color="auto"/>
              <w:right w:val="single" w:sz="4" w:space="0" w:color="auto"/>
            </w:tcBorders>
            <w:noWrap/>
            <w:vAlign w:val="center"/>
          </w:tcPr>
          <w:p w14:paraId="39EAA62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60,7</w:t>
            </w:r>
          </w:p>
        </w:tc>
        <w:tc>
          <w:tcPr>
            <w:tcW w:w="285" w:type="pct"/>
            <w:tcBorders>
              <w:top w:val="nil"/>
              <w:left w:val="nil"/>
              <w:bottom w:val="single" w:sz="4" w:space="0" w:color="auto"/>
              <w:right w:val="single" w:sz="4" w:space="0" w:color="auto"/>
            </w:tcBorders>
            <w:noWrap/>
            <w:vAlign w:val="center"/>
          </w:tcPr>
          <w:p w14:paraId="79F5AF5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50,0</w:t>
            </w:r>
          </w:p>
        </w:tc>
        <w:tc>
          <w:tcPr>
            <w:tcW w:w="331" w:type="pct"/>
            <w:tcBorders>
              <w:top w:val="nil"/>
              <w:left w:val="nil"/>
              <w:bottom w:val="single" w:sz="4" w:space="0" w:color="auto"/>
              <w:right w:val="single" w:sz="4" w:space="0" w:color="auto"/>
            </w:tcBorders>
            <w:noWrap/>
            <w:vAlign w:val="center"/>
          </w:tcPr>
          <w:p w14:paraId="61546FC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51,3</w:t>
            </w:r>
          </w:p>
        </w:tc>
        <w:tc>
          <w:tcPr>
            <w:tcW w:w="348" w:type="pct"/>
            <w:tcBorders>
              <w:top w:val="nil"/>
              <w:left w:val="nil"/>
              <w:bottom w:val="single" w:sz="4" w:space="0" w:color="auto"/>
              <w:right w:val="single" w:sz="4" w:space="0" w:color="auto"/>
            </w:tcBorders>
            <w:noWrap/>
            <w:vAlign w:val="center"/>
          </w:tcPr>
          <w:p w14:paraId="7F50F0B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49,3</w:t>
            </w:r>
          </w:p>
        </w:tc>
        <w:tc>
          <w:tcPr>
            <w:tcW w:w="289" w:type="pct"/>
            <w:tcBorders>
              <w:top w:val="nil"/>
              <w:left w:val="nil"/>
              <w:bottom w:val="single" w:sz="4" w:space="0" w:color="auto"/>
              <w:right w:val="single" w:sz="4" w:space="0" w:color="auto"/>
            </w:tcBorders>
            <w:noWrap/>
            <w:vAlign w:val="center"/>
          </w:tcPr>
          <w:p w14:paraId="5F30A5D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58,9</w:t>
            </w:r>
          </w:p>
        </w:tc>
        <w:tc>
          <w:tcPr>
            <w:tcW w:w="292" w:type="pct"/>
            <w:tcBorders>
              <w:top w:val="nil"/>
              <w:left w:val="nil"/>
              <w:bottom w:val="single" w:sz="4" w:space="0" w:color="auto"/>
              <w:right w:val="single" w:sz="4" w:space="0" w:color="auto"/>
            </w:tcBorders>
            <w:noWrap/>
            <w:vAlign w:val="center"/>
          </w:tcPr>
          <w:p w14:paraId="68578DB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59,2</w:t>
            </w:r>
          </w:p>
        </w:tc>
        <w:tc>
          <w:tcPr>
            <w:tcW w:w="292" w:type="pct"/>
            <w:tcBorders>
              <w:top w:val="nil"/>
              <w:left w:val="nil"/>
              <w:bottom w:val="single" w:sz="4" w:space="0" w:color="auto"/>
              <w:right w:val="single" w:sz="4" w:space="0" w:color="auto"/>
            </w:tcBorders>
            <w:noWrap/>
            <w:vAlign w:val="center"/>
          </w:tcPr>
          <w:p w14:paraId="01E460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56,1</w:t>
            </w:r>
          </w:p>
        </w:tc>
        <w:tc>
          <w:tcPr>
            <w:tcW w:w="292" w:type="pct"/>
            <w:tcBorders>
              <w:top w:val="nil"/>
              <w:left w:val="nil"/>
              <w:bottom w:val="single" w:sz="4" w:space="0" w:color="auto"/>
              <w:right w:val="single" w:sz="4" w:space="0" w:color="auto"/>
            </w:tcBorders>
            <w:noWrap/>
            <w:vAlign w:val="center"/>
          </w:tcPr>
          <w:p w14:paraId="3146946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64,8</w:t>
            </w:r>
          </w:p>
        </w:tc>
        <w:tc>
          <w:tcPr>
            <w:tcW w:w="291" w:type="pct"/>
            <w:tcBorders>
              <w:top w:val="nil"/>
              <w:left w:val="nil"/>
              <w:bottom w:val="single" w:sz="4" w:space="0" w:color="auto"/>
              <w:right w:val="single" w:sz="4" w:space="0" w:color="auto"/>
            </w:tcBorders>
            <w:noWrap/>
            <w:vAlign w:val="center"/>
          </w:tcPr>
          <w:p w14:paraId="7BB791D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62,6</w:t>
            </w:r>
          </w:p>
        </w:tc>
      </w:tr>
      <w:tr w:rsidR="00686DFE" w:rsidRPr="00CE5D9A" w14:paraId="4DFDFAC5"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15CDE639"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Tokarnia</w:t>
            </w:r>
          </w:p>
        </w:tc>
        <w:tc>
          <w:tcPr>
            <w:tcW w:w="285" w:type="pct"/>
            <w:tcBorders>
              <w:top w:val="nil"/>
              <w:left w:val="nil"/>
              <w:bottom w:val="single" w:sz="4" w:space="0" w:color="auto"/>
              <w:right w:val="single" w:sz="4" w:space="0" w:color="auto"/>
            </w:tcBorders>
            <w:noWrap/>
            <w:vAlign w:val="center"/>
          </w:tcPr>
          <w:p w14:paraId="1705CC1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64,5</w:t>
            </w:r>
          </w:p>
        </w:tc>
        <w:tc>
          <w:tcPr>
            <w:tcW w:w="285" w:type="pct"/>
            <w:tcBorders>
              <w:top w:val="nil"/>
              <w:left w:val="nil"/>
              <w:bottom w:val="single" w:sz="4" w:space="0" w:color="auto"/>
              <w:right w:val="single" w:sz="4" w:space="0" w:color="auto"/>
            </w:tcBorders>
            <w:noWrap/>
            <w:vAlign w:val="center"/>
          </w:tcPr>
          <w:p w14:paraId="547418E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62,6</w:t>
            </w:r>
          </w:p>
        </w:tc>
        <w:tc>
          <w:tcPr>
            <w:tcW w:w="285" w:type="pct"/>
            <w:tcBorders>
              <w:top w:val="nil"/>
              <w:left w:val="nil"/>
              <w:bottom w:val="single" w:sz="4" w:space="0" w:color="auto"/>
              <w:right w:val="single" w:sz="4" w:space="0" w:color="auto"/>
            </w:tcBorders>
            <w:noWrap/>
            <w:vAlign w:val="center"/>
          </w:tcPr>
          <w:p w14:paraId="04EB26E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63,4</w:t>
            </w:r>
          </w:p>
        </w:tc>
        <w:tc>
          <w:tcPr>
            <w:tcW w:w="287" w:type="pct"/>
            <w:tcBorders>
              <w:top w:val="nil"/>
              <w:left w:val="nil"/>
              <w:bottom w:val="single" w:sz="4" w:space="0" w:color="auto"/>
              <w:right w:val="single" w:sz="4" w:space="0" w:color="auto"/>
            </w:tcBorders>
            <w:noWrap/>
            <w:vAlign w:val="center"/>
          </w:tcPr>
          <w:p w14:paraId="4C3FA05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62,5</w:t>
            </w:r>
          </w:p>
        </w:tc>
        <w:tc>
          <w:tcPr>
            <w:tcW w:w="285" w:type="pct"/>
            <w:tcBorders>
              <w:top w:val="nil"/>
              <w:left w:val="nil"/>
              <w:bottom w:val="single" w:sz="4" w:space="0" w:color="auto"/>
              <w:right w:val="single" w:sz="4" w:space="0" w:color="auto"/>
            </w:tcBorders>
            <w:noWrap/>
            <w:vAlign w:val="center"/>
          </w:tcPr>
          <w:p w14:paraId="3FF612B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45,6</w:t>
            </w:r>
          </w:p>
        </w:tc>
        <w:tc>
          <w:tcPr>
            <w:tcW w:w="331" w:type="pct"/>
            <w:tcBorders>
              <w:top w:val="nil"/>
              <w:left w:val="nil"/>
              <w:bottom w:val="single" w:sz="4" w:space="0" w:color="auto"/>
              <w:right w:val="single" w:sz="4" w:space="0" w:color="auto"/>
            </w:tcBorders>
            <w:noWrap/>
            <w:vAlign w:val="center"/>
          </w:tcPr>
          <w:p w14:paraId="5E383D9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45,9</w:t>
            </w:r>
          </w:p>
        </w:tc>
        <w:tc>
          <w:tcPr>
            <w:tcW w:w="348" w:type="pct"/>
            <w:tcBorders>
              <w:top w:val="nil"/>
              <w:left w:val="nil"/>
              <w:bottom w:val="single" w:sz="4" w:space="0" w:color="auto"/>
              <w:right w:val="single" w:sz="4" w:space="0" w:color="auto"/>
            </w:tcBorders>
            <w:noWrap/>
            <w:vAlign w:val="center"/>
          </w:tcPr>
          <w:p w14:paraId="2EA068A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49,4</w:t>
            </w:r>
          </w:p>
        </w:tc>
        <w:tc>
          <w:tcPr>
            <w:tcW w:w="289" w:type="pct"/>
            <w:tcBorders>
              <w:top w:val="nil"/>
              <w:left w:val="nil"/>
              <w:bottom w:val="single" w:sz="4" w:space="0" w:color="auto"/>
              <w:right w:val="single" w:sz="4" w:space="0" w:color="auto"/>
            </w:tcBorders>
            <w:noWrap/>
            <w:vAlign w:val="center"/>
          </w:tcPr>
          <w:p w14:paraId="5ADCC156"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61,1</w:t>
            </w:r>
          </w:p>
        </w:tc>
        <w:tc>
          <w:tcPr>
            <w:tcW w:w="292" w:type="pct"/>
            <w:tcBorders>
              <w:top w:val="nil"/>
              <w:left w:val="nil"/>
              <w:bottom w:val="single" w:sz="4" w:space="0" w:color="auto"/>
              <w:right w:val="single" w:sz="4" w:space="0" w:color="auto"/>
            </w:tcBorders>
            <w:noWrap/>
            <w:vAlign w:val="center"/>
          </w:tcPr>
          <w:p w14:paraId="61F1F02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54,1</w:t>
            </w:r>
          </w:p>
        </w:tc>
        <w:tc>
          <w:tcPr>
            <w:tcW w:w="292" w:type="pct"/>
            <w:tcBorders>
              <w:top w:val="nil"/>
              <w:left w:val="nil"/>
              <w:bottom w:val="single" w:sz="4" w:space="0" w:color="auto"/>
              <w:right w:val="single" w:sz="4" w:space="0" w:color="auto"/>
            </w:tcBorders>
            <w:noWrap/>
            <w:vAlign w:val="center"/>
          </w:tcPr>
          <w:p w14:paraId="1998232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51,1</w:t>
            </w:r>
          </w:p>
        </w:tc>
        <w:tc>
          <w:tcPr>
            <w:tcW w:w="292" w:type="pct"/>
            <w:tcBorders>
              <w:top w:val="nil"/>
              <w:left w:val="nil"/>
              <w:bottom w:val="single" w:sz="4" w:space="0" w:color="auto"/>
              <w:right w:val="single" w:sz="4" w:space="0" w:color="auto"/>
            </w:tcBorders>
            <w:noWrap/>
            <w:vAlign w:val="center"/>
          </w:tcPr>
          <w:p w14:paraId="7C894E1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66,8</w:t>
            </w:r>
          </w:p>
        </w:tc>
        <w:tc>
          <w:tcPr>
            <w:tcW w:w="291" w:type="pct"/>
            <w:tcBorders>
              <w:top w:val="nil"/>
              <w:left w:val="nil"/>
              <w:bottom w:val="single" w:sz="4" w:space="0" w:color="auto"/>
              <w:right w:val="single" w:sz="4" w:space="0" w:color="auto"/>
            </w:tcBorders>
            <w:noWrap/>
            <w:vAlign w:val="center"/>
          </w:tcPr>
          <w:p w14:paraId="3A8651D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59,2</w:t>
            </w:r>
          </w:p>
        </w:tc>
      </w:tr>
      <w:tr w:rsidR="00686DFE" w:rsidRPr="00CE5D9A" w14:paraId="260EB801"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238A3FB8"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Gmina Wiśniowa</w:t>
            </w:r>
          </w:p>
        </w:tc>
        <w:tc>
          <w:tcPr>
            <w:tcW w:w="285" w:type="pct"/>
            <w:tcBorders>
              <w:top w:val="nil"/>
              <w:left w:val="nil"/>
              <w:bottom w:val="single" w:sz="4" w:space="0" w:color="auto"/>
              <w:right w:val="single" w:sz="4" w:space="0" w:color="auto"/>
            </w:tcBorders>
            <w:noWrap/>
            <w:vAlign w:val="center"/>
          </w:tcPr>
          <w:p w14:paraId="09BB3BC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66,6</w:t>
            </w:r>
          </w:p>
        </w:tc>
        <w:tc>
          <w:tcPr>
            <w:tcW w:w="285" w:type="pct"/>
            <w:tcBorders>
              <w:top w:val="nil"/>
              <w:left w:val="nil"/>
              <w:bottom w:val="single" w:sz="4" w:space="0" w:color="auto"/>
              <w:right w:val="single" w:sz="4" w:space="0" w:color="auto"/>
            </w:tcBorders>
            <w:noWrap/>
            <w:vAlign w:val="center"/>
          </w:tcPr>
          <w:p w14:paraId="6EF020A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58,5</w:t>
            </w:r>
          </w:p>
        </w:tc>
        <w:tc>
          <w:tcPr>
            <w:tcW w:w="285" w:type="pct"/>
            <w:tcBorders>
              <w:top w:val="nil"/>
              <w:left w:val="nil"/>
              <w:bottom w:val="single" w:sz="4" w:space="0" w:color="auto"/>
              <w:right w:val="single" w:sz="4" w:space="0" w:color="auto"/>
            </w:tcBorders>
            <w:noWrap/>
            <w:vAlign w:val="center"/>
          </w:tcPr>
          <w:p w14:paraId="0D21495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61,4</w:t>
            </w:r>
          </w:p>
        </w:tc>
        <w:tc>
          <w:tcPr>
            <w:tcW w:w="287" w:type="pct"/>
            <w:tcBorders>
              <w:top w:val="nil"/>
              <w:left w:val="nil"/>
              <w:bottom w:val="single" w:sz="4" w:space="0" w:color="auto"/>
              <w:right w:val="single" w:sz="4" w:space="0" w:color="auto"/>
            </w:tcBorders>
            <w:noWrap/>
            <w:vAlign w:val="center"/>
          </w:tcPr>
          <w:p w14:paraId="51082C2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62,4</w:t>
            </w:r>
          </w:p>
        </w:tc>
        <w:tc>
          <w:tcPr>
            <w:tcW w:w="285" w:type="pct"/>
            <w:tcBorders>
              <w:top w:val="nil"/>
              <w:left w:val="nil"/>
              <w:bottom w:val="single" w:sz="4" w:space="0" w:color="auto"/>
              <w:right w:val="single" w:sz="4" w:space="0" w:color="auto"/>
            </w:tcBorders>
            <w:noWrap/>
            <w:vAlign w:val="center"/>
          </w:tcPr>
          <w:p w14:paraId="4192DD49"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46,7</w:t>
            </w:r>
          </w:p>
        </w:tc>
        <w:tc>
          <w:tcPr>
            <w:tcW w:w="331" w:type="pct"/>
            <w:tcBorders>
              <w:top w:val="nil"/>
              <w:left w:val="nil"/>
              <w:bottom w:val="single" w:sz="4" w:space="0" w:color="auto"/>
              <w:right w:val="single" w:sz="4" w:space="0" w:color="auto"/>
            </w:tcBorders>
            <w:noWrap/>
            <w:vAlign w:val="center"/>
          </w:tcPr>
          <w:p w14:paraId="3A4022C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50,1</w:t>
            </w:r>
          </w:p>
        </w:tc>
        <w:tc>
          <w:tcPr>
            <w:tcW w:w="348" w:type="pct"/>
            <w:tcBorders>
              <w:top w:val="nil"/>
              <w:left w:val="nil"/>
              <w:bottom w:val="single" w:sz="4" w:space="0" w:color="auto"/>
              <w:right w:val="single" w:sz="4" w:space="0" w:color="auto"/>
            </w:tcBorders>
            <w:noWrap/>
            <w:vAlign w:val="center"/>
          </w:tcPr>
          <w:p w14:paraId="4983A77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50,9</w:t>
            </w:r>
          </w:p>
        </w:tc>
        <w:tc>
          <w:tcPr>
            <w:tcW w:w="289" w:type="pct"/>
            <w:tcBorders>
              <w:top w:val="nil"/>
              <w:left w:val="nil"/>
              <w:bottom w:val="single" w:sz="4" w:space="0" w:color="auto"/>
              <w:right w:val="single" w:sz="4" w:space="0" w:color="auto"/>
            </w:tcBorders>
            <w:noWrap/>
            <w:vAlign w:val="center"/>
          </w:tcPr>
          <w:p w14:paraId="5ABBE195"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62,9</w:t>
            </w:r>
          </w:p>
        </w:tc>
        <w:tc>
          <w:tcPr>
            <w:tcW w:w="292" w:type="pct"/>
            <w:tcBorders>
              <w:top w:val="nil"/>
              <w:left w:val="nil"/>
              <w:bottom w:val="single" w:sz="4" w:space="0" w:color="auto"/>
              <w:right w:val="single" w:sz="4" w:space="0" w:color="auto"/>
            </w:tcBorders>
            <w:noWrap/>
            <w:vAlign w:val="center"/>
          </w:tcPr>
          <w:p w14:paraId="74CA062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56,4</w:t>
            </w:r>
          </w:p>
        </w:tc>
        <w:tc>
          <w:tcPr>
            <w:tcW w:w="292" w:type="pct"/>
            <w:tcBorders>
              <w:top w:val="nil"/>
              <w:left w:val="nil"/>
              <w:bottom w:val="single" w:sz="4" w:space="0" w:color="auto"/>
              <w:right w:val="single" w:sz="4" w:space="0" w:color="auto"/>
            </w:tcBorders>
            <w:noWrap/>
            <w:vAlign w:val="center"/>
          </w:tcPr>
          <w:p w14:paraId="055B6ED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47,6</w:t>
            </w:r>
          </w:p>
        </w:tc>
        <w:tc>
          <w:tcPr>
            <w:tcW w:w="292" w:type="pct"/>
            <w:tcBorders>
              <w:top w:val="nil"/>
              <w:left w:val="nil"/>
              <w:bottom w:val="single" w:sz="4" w:space="0" w:color="auto"/>
              <w:right w:val="single" w:sz="4" w:space="0" w:color="auto"/>
            </w:tcBorders>
            <w:noWrap/>
            <w:vAlign w:val="center"/>
          </w:tcPr>
          <w:p w14:paraId="1FB747F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62,3</w:t>
            </w:r>
          </w:p>
        </w:tc>
        <w:tc>
          <w:tcPr>
            <w:tcW w:w="291" w:type="pct"/>
            <w:tcBorders>
              <w:top w:val="nil"/>
              <w:left w:val="nil"/>
              <w:bottom w:val="single" w:sz="4" w:space="0" w:color="auto"/>
              <w:right w:val="single" w:sz="4" w:space="0" w:color="auto"/>
            </w:tcBorders>
            <w:noWrap/>
            <w:vAlign w:val="center"/>
          </w:tcPr>
          <w:p w14:paraId="55512BE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59,8</w:t>
            </w:r>
          </w:p>
        </w:tc>
      </w:tr>
      <w:tr w:rsidR="005858F4" w:rsidRPr="00CE5D9A" w14:paraId="56F58900"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3B912EF5" w14:textId="77777777" w:rsidR="005858F4" w:rsidRPr="0061486F" w:rsidRDefault="005858F4">
            <w:pPr>
              <w:spacing w:after="0" w:line="240" w:lineRule="auto"/>
              <w:rPr>
                <w:rFonts w:ascii="Times New Roman" w:eastAsia="Times New Roman" w:hAnsi="Times New Roman"/>
                <w:b/>
                <w:bCs/>
                <w:strike/>
                <w:color w:val="FF0000"/>
                <w:sz w:val="20"/>
                <w:szCs w:val="20"/>
                <w:lang w:eastAsia="pl-PL"/>
              </w:rPr>
            </w:pPr>
            <w:r w:rsidRPr="0061486F">
              <w:rPr>
                <w:rFonts w:ascii="Times New Roman" w:eastAsia="Times New Roman" w:hAnsi="Times New Roman"/>
                <w:b/>
                <w:bCs/>
                <w:strike/>
                <w:color w:val="FF0000"/>
                <w:sz w:val="20"/>
                <w:szCs w:val="20"/>
                <w:lang w:eastAsia="pl-PL"/>
              </w:rPr>
              <w:t>LGD Między Dalinem i Gościbią</w:t>
            </w:r>
          </w:p>
          <w:p w14:paraId="1DB5CBD7" w14:textId="7ADD7BE5" w:rsidR="0061486F" w:rsidRPr="00CE5D9A" w:rsidRDefault="0061486F">
            <w:pPr>
              <w:spacing w:after="0" w:line="240" w:lineRule="auto"/>
              <w:rPr>
                <w:rFonts w:ascii="Times New Roman" w:eastAsia="Times New Roman" w:hAnsi="Times New Roman"/>
                <w:b/>
                <w:bCs/>
                <w:sz w:val="20"/>
                <w:szCs w:val="20"/>
                <w:lang w:eastAsia="pl-PL"/>
              </w:rPr>
            </w:pPr>
            <w:r w:rsidRPr="00EB66C4">
              <w:rPr>
                <w:rFonts w:ascii="Times New Roman" w:hAnsi="Times New Roman"/>
                <w:color w:val="FF0000"/>
              </w:rPr>
              <w:t>LGD Regionu Myślenickiego</w:t>
            </w:r>
          </w:p>
        </w:tc>
        <w:tc>
          <w:tcPr>
            <w:tcW w:w="285" w:type="pct"/>
            <w:tcBorders>
              <w:top w:val="nil"/>
              <w:left w:val="nil"/>
              <w:bottom w:val="single" w:sz="4" w:space="0" w:color="auto"/>
              <w:right w:val="single" w:sz="4" w:space="0" w:color="auto"/>
            </w:tcBorders>
            <w:noWrap/>
            <w:vAlign w:val="center"/>
          </w:tcPr>
          <w:p w14:paraId="6259C9E6"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66,1</w:t>
            </w:r>
          </w:p>
        </w:tc>
        <w:tc>
          <w:tcPr>
            <w:tcW w:w="285" w:type="pct"/>
            <w:tcBorders>
              <w:top w:val="nil"/>
              <w:left w:val="nil"/>
              <w:bottom w:val="single" w:sz="4" w:space="0" w:color="auto"/>
              <w:right w:val="single" w:sz="4" w:space="0" w:color="auto"/>
            </w:tcBorders>
            <w:noWrap/>
            <w:vAlign w:val="center"/>
          </w:tcPr>
          <w:p w14:paraId="29A371BF"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62,3</w:t>
            </w:r>
          </w:p>
        </w:tc>
        <w:tc>
          <w:tcPr>
            <w:tcW w:w="285" w:type="pct"/>
            <w:tcBorders>
              <w:top w:val="nil"/>
              <w:left w:val="nil"/>
              <w:bottom w:val="single" w:sz="4" w:space="0" w:color="auto"/>
              <w:right w:val="single" w:sz="4" w:space="0" w:color="auto"/>
            </w:tcBorders>
            <w:noWrap/>
            <w:vAlign w:val="center"/>
          </w:tcPr>
          <w:p w14:paraId="7E4F6328"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62,6</w:t>
            </w:r>
          </w:p>
        </w:tc>
        <w:tc>
          <w:tcPr>
            <w:tcW w:w="287" w:type="pct"/>
            <w:tcBorders>
              <w:top w:val="nil"/>
              <w:left w:val="nil"/>
              <w:bottom w:val="single" w:sz="4" w:space="0" w:color="auto"/>
              <w:right w:val="single" w:sz="4" w:space="0" w:color="auto"/>
            </w:tcBorders>
            <w:noWrap/>
            <w:vAlign w:val="center"/>
          </w:tcPr>
          <w:p w14:paraId="469BED44"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63,1</w:t>
            </w:r>
          </w:p>
        </w:tc>
        <w:tc>
          <w:tcPr>
            <w:tcW w:w="285" w:type="pct"/>
            <w:tcBorders>
              <w:top w:val="nil"/>
              <w:left w:val="nil"/>
              <w:bottom w:val="single" w:sz="4" w:space="0" w:color="auto"/>
              <w:right w:val="single" w:sz="4" w:space="0" w:color="auto"/>
            </w:tcBorders>
            <w:noWrap/>
            <w:vAlign w:val="center"/>
          </w:tcPr>
          <w:p w14:paraId="66EA2DBB"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48,4</w:t>
            </w:r>
          </w:p>
        </w:tc>
        <w:tc>
          <w:tcPr>
            <w:tcW w:w="331" w:type="pct"/>
            <w:tcBorders>
              <w:top w:val="nil"/>
              <w:left w:val="nil"/>
              <w:bottom w:val="single" w:sz="4" w:space="0" w:color="auto"/>
              <w:right w:val="single" w:sz="4" w:space="0" w:color="auto"/>
            </w:tcBorders>
            <w:noWrap/>
            <w:vAlign w:val="center"/>
          </w:tcPr>
          <w:p w14:paraId="40E94B94"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49,7</w:t>
            </w:r>
          </w:p>
        </w:tc>
        <w:tc>
          <w:tcPr>
            <w:tcW w:w="348" w:type="pct"/>
            <w:tcBorders>
              <w:top w:val="nil"/>
              <w:left w:val="nil"/>
              <w:bottom w:val="single" w:sz="4" w:space="0" w:color="auto"/>
              <w:right w:val="single" w:sz="4" w:space="0" w:color="auto"/>
            </w:tcBorders>
            <w:noWrap/>
            <w:vAlign w:val="center"/>
          </w:tcPr>
          <w:p w14:paraId="51055524"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50,4</w:t>
            </w:r>
          </w:p>
        </w:tc>
        <w:tc>
          <w:tcPr>
            <w:tcW w:w="289" w:type="pct"/>
            <w:tcBorders>
              <w:top w:val="nil"/>
              <w:left w:val="nil"/>
              <w:bottom w:val="single" w:sz="4" w:space="0" w:color="auto"/>
              <w:right w:val="single" w:sz="4" w:space="0" w:color="auto"/>
            </w:tcBorders>
            <w:noWrap/>
            <w:vAlign w:val="center"/>
          </w:tcPr>
          <w:p w14:paraId="54A020E4"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63,6</w:t>
            </w:r>
          </w:p>
        </w:tc>
        <w:tc>
          <w:tcPr>
            <w:tcW w:w="292" w:type="pct"/>
            <w:tcBorders>
              <w:top w:val="nil"/>
              <w:left w:val="nil"/>
              <w:bottom w:val="single" w:sz="4" w:space="0" w:color="auto"/>
              <w:right w:val="single" w:sz="4" w:space="0" w:color="auto"/>
            </w:tcBorders>
            <w:noWrap/>
            <w:vAlign w:val="center"/>
          </w:tcPr>
          <w:p w14:paraId="1E1AAA5D"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59,6</w:t>
            </w:r>
          </w:p>
        </w:tc>
        <w:tc>
          <w:tcPr>
            <w:tcW w:w="292" w:type="pct"/>
            <w:tcBorders>
              <w:top w:val="nil"/>
              <w:left w:val="nil"/>
              <w:bottom w:val="single" w:sz="4" w:space="0" w:color="auto"/>
              <w:right w:val="single" w:sz="4" w:space="0" w:color="auto"/>
            </w:tcBorders>
            <w:noWrap/>
            <w:vAlign w:val="center"/>
          </w:tcPr>
          <w:p w14:paraId="00067BF8"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53,5</w:t>
            </w:r>
          </w:p>
        </w:tc>
        <w:tc>
          <w:tcPr>
            <w:tcW w:w="292" w:type="pct"/>
            <w:tcBorders>
              <w:top w:val="nil"/>
              <w:left w:val="nil"/>
              <w:bottom w:val="single" w:sz="4" w:space="0" w:color="auto"/>
              <w:right w:val="single" w:sz="4" w:space="0" w:color="auto"/>
            </w:tcBorders>
            <w:noWrap/>
            <w:vAlign w:val="center"/>
          </w:tcPr>
          <w:p w14:paraId="13CE85D4"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66,5</w:t>
            </w:r>
          </w:p>
        </w:tc>
        <w:tc>
          <w:tcPr>
            <w:tcW w:w="291" w:type="pct"/>
            <w:tcBorders>
              <w:top w:val="nil"/>
              <w:left w:val="nil"/>
              <w:bottom w:val="single" w:sz="4" w:space="0" w:color="auto"/>
              <w:right w:val="single" w:sz="4" w:space="0" w:color="auto"/>
            </w:tcBorders>
            <w:noWrap/>
            <w:vAlign w:val="center"/>
          </w:tcPr>
          <w:p w14:paraId="74F0DA59" w14:textId="77777777" w:rsidR="005858F4" w:rsidRPr="00CE5D9A" w:rsidRDefault="005858F4" w:rsidP="005858F4">
            <w:pPr>
              <w:spacing w:after="0" w:line="240" w:lineRule="auto"/>
              <w:jc w:val="center"/>
              <w:rPr>
                <w:rFonts w:ascii="Times New Roman" w:eastAsia="Times New Roman" w:hAnsi="Times New Roman"/>
                <w:b/>
                <w:sz w:val="20"/>
                <w:szCs w:val="20"/>
                <w:lang w:eastAsia="pl-PL"/>
              </w:rPr>
            </w:pPr>
            <w:r w:rsidRPr="00CE5D9A">
              <w:rPr>
                <w:rFonts w:ascii="Times New Roman" w:eastAsia="Times New Roman" w:hAnsi="Times New Roman"/>
                <w:b/>
                <w:sz w:val="20"/>
                <w:szCs w:val="20"/>
                <w:lang w:eastAsia="pl-PL"/>
              </w:rPr>
              <w:t>64,3</w:t>
            </w:r>
          </w:p>
        </w:tc>
      </w:tr>
      <w:tr w:rsidR="00686DFE" w:rsidRPr="00CE5D9A" w14:paraId="209E480D"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2495B8C4"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województwo małopolskie</w:t>
            </w:r>
          </w:p>
        </w:tc>
        <w:tc>
          <w:tcPr>
            <w:tcW w:w="285" w:type="pct"/>
            <w:tcBorders>
              <w:top w:val="nil"/>
              <w:left w:val="nil"/>
              <w:bottom w:val="single" w:sz="4" w:space="0" w:color="auto"/>
              <w:right w:val="single" w:sz="4" w:space="0" w:color="auto"/>
            </w:tcBorders>
            <w:noWrap/>
            <w:vAlign w:val="center"/>
          </w:tcPr>
          <w:p w14:paraId="1EDE030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67,0</w:t>
            </w:r>
          </w:p>
        </w:tc>
        <w:tc>
          <w:tcPr>
            <w:tcW w:w="285" w:type="pct"/>
            <w:tcBorders>
              <w:top w:val="nil"/>
              <w:left w:val="nil"/>
              <w:bottom w:val="single" w:sz="4" w:space="0" w:color="auto"/>
              <w:right w:val="single" w:sz="4" w:space="0" w:color="auto"/>
            </w:tcBorders>
            <w:noWrap/>
            <w:vAlign w:val="center"/>
          </w:tcPr>
          <w:p w14:paraId="46271CD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62,0</w:t>
            </w:r>
          </w:p>
        </w:tc>
        <w:tc>
          <w:tcPr>
            <w:tcW w:w="285" w:type="pct"/>
            <w:tcBorders>
              <w:top w:val="nil"/>
              <w:left w:val="nil"/>
              <w:bottom w:val="single" w:sz="4" w:space="0" w:color="auto"/>
              <w:right w:val="single" w:sz="4" w:space="0" w:color="auto"/>
            </w:tcBorders>
            <w:noWrap/>
            <w:vAlign w:val="center"/>
          </w:tcPr>
          <w:p w14:paraId="658AB3F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64,0</w:t>
            </w:r>
          </w:p>
        </w:tc>
        <w:tc>
          <w:tcPr>
            <w:tcW w:w="287" w:type="pct"/>
            <w:tcBorders>
              <w:top w:val="nil"/>
              <w:left w:val="nil"/>
              <w:bottom w:val="single" w:sz="4" w:space="0" w:color="auto"/>
              <w:right w:val="single" w:sz="4" w:space="0" w:color="auto"/>
            </w:tcBorders>
            <w:noWrap/>
            <w:vAlign w:val="center"/>
          </w:tcPr>
          <w:p w14:paraId="152692E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63,6</w:t>
            </w:r>
          </w:p>
        </w:tc>
        <w:tc>
          <w:tcPr>
            <w:tcW w:w="285" w:type="pct"/>
            <w:tcBorders>
              <w:top w:val="nil"/>
              <w:left w:val="nil"/>
              <w:bottom w:val="single" w:sz="4" w:space="0" w:color="auto"/>
              <w:right w:val="single" w:sz="4" w:space="0" w:color="auto"/>
            </w:tcBorders>
            <w:noWrap/>
            <w:vAlign w:val="center"/>
          </w:tcPr>
          <w:p w14:paraId="03DE53AE"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50,2</w:t>
            </w:r>
          </w:p>
        </w:tc>
        <w:tc>
          <w:tcPr>
            <w:tcW w:w="331" w:type="pct"/>
            <w:tcBorders>
              <w:top w:val="nil"/>
              <w:left w:val="nil"/>
              <w:bottom w:val="single" w:sz="4" w:space="0" w:color="auto"/>
              <w:right w:val="single" w:sz="4" w:space="0" w:color="auto"/>
            </w:tcBorders>
            <w:noWrap/>
            <w:vAlign w:val="center"/>
          </w:tcPr>
          <w:p w14:paraId="033CF0B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50,9</w:t>
            </w:r>
          </w:p>
        </w:tc>
        <w:tc>
          <w:tcPr>
            <w:tcW w:w="348" w:type="pct"/>
            <w:tcBorders>
              <w:top w:val="nil"/>
              <w:left w:val="nil"/>
              <w:bottom w:val="single" w:sz="4" w:space="0" w:color="auto"/>
              <w:right w:val="single" w:sz="4" w:space="0" w:color="auto"/>
            </w:tcBorders>
            <w:noWrap/>
            <w:vAlign w:val="center"/>
          </w:tcPr>
          <w:p w14:paraId="53EA456F"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52,4</w:t>
            </w:r>
          </w:p>
        </w:tc>
        <w:tc>
          <w:tcPr>
            <w:tcW w:w="289" w:type="pct"/>
            <w:tcBorders>
              <w:top w:val="nil"/>
              <w:left w:val="nil"/>
              <w:bottom w:val="single" w:sz="4" w:space="0" w:color="auto"/>
              <w:right w:val="single" w:sz="4" w:space="0" w:color="auto"/>
            </w:tcBorders>
            <w:noWrap/>
            <w:vAlign w:val="center"/>
          </w:tcPr>
          <w:p w14:paraId="5D76A7B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63,2</w:t>
            </w:r>
          </w:p>
        </w:tc>
        <w:tc>
          <w:tcPr>
            <w:tcW w:w="292" w:type="pct"/>
            <w:tcBorders>
              <w:top w:val="nil"/>
              <w:left w:val="nil"/>
              <w:bottom w:val="single" w:sz="4" w:space="0" w:color="auto"/>
              <w:right w:val="single" w:sz="4" w:space="0" w:color="auto"/>
            </w:tcBorders>
            <w:noWrap/>
            <w:vAlign w:val="center"/>
          </w:tcPr>
          <w:p w14:paraId="2C0BFF27"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61,5</w:t>
            </w:r>
          </w:p>
        </w:tc>
        <w:tc>
          <w:tcPr>
            <w:tcW w:w="292" w:type="pct"/>
            <w:tcBorders>
              <w:top w:val="nil"/>
              <w:left w:val="nil"/>
              <w:bottom w:val="single" w:sz="4" w:space="0" w:color="auto"/>
              <w:right w:val="single" w:sz="4" w:space="0" w:color="auto"/>
            </w:tcBorders>
            <w:noWrap/>
            <w:vAlign w:val="center"/>
          </w:tcPr>
          <w:p w14:paraId="63484A71"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56,9</w:t>
            </w:r>
          </w:p>
        </w:tc>
        <w:tc>
          <w:tcPr>
            <w:tcW w:w="292" w:type="pct"/>
            <w:tcBorders>
              <w:top w:val="nil"/>
              <w:left w:val="nil"/>
              <w:bottom w:val="single" w:sz="4" w:space="0" w:color="auto"/>
              <w:right w:val="single" w:sz="4" w:space="0" w:color="auto"/>
            </w:tcBorders>
            <w:noWrap/>
            <w:vAlign w:val="center"/>
          </w:tcPr>
          <w:p w14:paraId="675CB1A2"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68,9</w:t>
            </w:r>
          </w:p>
        </w:tc>
        <w:tc>
          <w:tcPr>
            <w:tcW w:w="291" w:type="pct"/>
            <w:tcBorders>
              <w:top w:val="nil"/>
              <w:left w:val="nil"/>
              <w:bottom w:val="single" w:sz="4" w:space="0" w:color="auto"/>
              <w:right w:val="single" w:sz="4" w:space="0" w:color="auto"/>
            </w:tcBorders>
            <w:noWrap/>
            <w:vAlign w:val="center"/>
          </w:tcPr>
          <w:p w14:paraId="6A1772D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69,2</w:t>
            </w:r>
          </w:p>
        </w:tc>
      </w:tr>
      <w:tr w:rsidR="00686DFE" w:rsidRPr="00CE5D9A" w14:paraId="446EC295" w14:textId="77777777" w:rsidTr="005858F4">
        <w:trPr>
          <w:trHeight w:val="340"/>
        </w:trPr>
        <w:tc>
          <w:tcPr>
            <w:tcW w:w="1438" w:type="pct"/>
            <w:tcBorders>
              <w:top w:val="nil"/>
              <w:left w:val="single" w:sz="4" w:space="0" w:color="auto"/>
              <w:bottom w:val="single" w:sz="4" w:space="0" w:color="auto"/>
              <w:right w:val="single" w:sz="4" w:space="0" w:color="auto"/>
            </w:tcBorders>
            <w:noWrap/>
            <w:vAlign w:val="center"/>
          </w:tcPr>
          <w:p w14:paraId="733EE44D" w14:textId="77777777" w:rsidR="00686DFE" w:rsidRPr="00CE5D9A" w:rsidRDefault="00686DFE">
            <w:pPr>
              <w:spacing w:after="0" w:line="240" w:lineRule="auto"/>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Polska</w:t>
            </w:r>
            <w:r w:rsidRPr="00CE5D9A">
              <w:rPr>
                <w:rFonts w:ascii="Times New Roman" w:eastAsia="Times New Roman" w:hAnsi="Times New Roman"/>
                <w:sz w:val="20"/>
                <w:szCs w:val="20"/>
                <w:vertAlign w:val="superscript"/>
                <w:lang w:eastAsia="pl-PL"/>
              </w:rPr>
              <w:footnoteReference w:id="35"/>
            </w:r>
          </w:p>
        </w:tc>
        <w:tc>
          <w:tcPr>
            <w:tcW w:w="285" w:type="pct"/>
            <w:tcBorders>
              <w:top w:val="nil"/>
              <w:left w:val="nil"/>
              <w:bottom w:val="single" w:sz="4" w:space="0" w:color="auto"/>
              <w:right w:val="single" w:sz="4" w:space="0" w:color="auto"/>
            </w:tcBorders>
            <w:noWrap/>
            <w:vAlign w:val="center"/>
          </w:tcPr>
          <w:p w14:paraId="4EC9460C"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63,0</w:t>
            </w:r>
          </w:p>
        </w:tc>
        <w:tc>
          <w:tcPr>
            <w:tcW w:w="285" w:type="pct"/>
            <w:tcBorders>
              <w:top w:val="nil"/>
              <w:left w:val="nil"/>
              <w:bottom w:val="single" w:sz="4" w:space="0" w:color="auto"/>
              <w:right w:val="single" w:sz="4" w:space="0" w:color="auto"/>
            </w:tcBorders>
            <w:noWrap/>
            <w:vAlign w:val="center"/>
          </w:tcPr>
          <w:p w14:paraId="1A911FB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59,0</w:t>
            </w:r>
          </w:p>
        </w:tc>
        <w:tc>
          <w:tcPr>
            <w:tcW w:w="285" w:type="pct"/>
            <w:tcBorders>
              <w:top w:val="nil"/>
              <w:left w:val="nil"/>
              <w:bottom w:val="single" w:sz="4" w:space="0" w:color="auto"/>
              <w:right w:val="single" w:sz="4" w:space="0" w:color="auto"/>
            </w:tcBorders>
            <w:noWrap/>
            <w:vAlign w:val="center"/>
          </w:tcPr>
          <w:p w14:paraId="4C7B6648"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60,0</w:t>
            </w:r>
          </w:p>
        </w:tc>
        <w:tc>
          <w:tcPr>
            <w:tcW w:w="287" w:type="pct"/>
            <w:tcBorders>
              <w:top w:val="nil"/>
              <w:left w:val="nil"/>
              <w:bottom w:val="single" w:sz="4" w:space="0" w:color="auto"/>
              <w:right w:val="single" w:sz="4" w:space="0" w:color="auto"/>
            </w:tcBorders>
            <w:noWrap/>
            <w:vAlign w:val="center"/>
          </w:tcPr>
          <w:p w14:paraId="350FC31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60,0</w:t>
            </w:r>
          </w:p>
        </w:tc>
        <w:tc>
          <w:tcPr>
            <w:tcW w:w="285" w:type="pct"/>
            <w:tcBorders>
              <w:top w:val="nil"/>
              <w:left w:val="nil"/>
              <w:bottom w:val="single" w:sz="4" w:space="0" w:color="auto"/>
              <w:right w:val="single" w:sz="4" w:space="0" w:color="auto"/>
            </w:tcBorders>
            <w:noWrap/>
            <w:vAlign w:val="center"/>
          </w:tcPr>
          <w:p w14:paraId="38BBB7D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45,0</w:t>
            </w:r>
          </w:p>
        </w:tc>
        <w:tc>
          <w:tcPr>
            <w:tcW w:w="331" w:type="pct"/>
            <w:tcBorders>
              <w:top w:val="nil"/>
              <w:left w:val="nil"/>
              <w:bottom w:val="single" w:sz="4" w:space="0" w:color="auto"/>
              <w:right w:val="single" w:sz="4" w:space="0" w:color="auto"/>
            </w:tcBorders>
            <w:noWrap/>
            <w:vAlign w:val="center"/>
          </w:tcPr>
          <w:p w14:paraId="1487E02A"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46,0</w:t>
            </w:r>
          </w:p>
        </w:tc>
        <w:tc>
          <w:tcPr>
            <w:tcW w:w="348" w:type="pct"/>
            <w:tcBorders>
              <w:top w:val="nil"/>
              <w:left w:val="nil"/>
              <w:bottom w:val="single" w:sz="4" w:space="0" w:color="auto"/>
              <w:right w:val="single" w:sz="4" w:space="0" w:color="auto"/>
            </w:tcBorders>
            <w:noWrap/>
            <w:vAlign w:val="center"/>
          </w:tcPr>
          <w:p w14:paraId="3BAF5BD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47,0</w:t>
            </w:r>
          </w:p>
        </w:tc>
        <w:tc>
          <w:tcPr>
            <w:tcW w:w="289" w:type="pct"/>
            <w:tcBorders>
              <w:top w:val="nil"/>
              <w:left w:val="nil"/>
              <w:bottom w:val="single" w:sz="4" w:space="0" w:color="auto"/>
              <w:right w:val="single" w:sz="4" w:space="0" w:color="auto"/>
            </w:tcBorders>
            <w:noWrap/>
            <w:vAlign w:val="center"/>
          </w:tcPr>
          <w:p w14:paraId="51620903"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57,0</w:t>
            </w:r>
          </w:p>
        </w:tc>
        <w:tc>
          <w:tcPr>
            <w:tcW w:w="292" w:type="pct"/>
            <w:tcBorders>
              <w:top w:val="nil"/>
              <w:left w:val="nil"/>
              <w:bottom w:val="single" w:sz="4" w:space="0" w:color="auto"/>
              <w:right w:val="single" w:sz="4" w:space="0" w:color="auto"/>
            </w:tcBorders>
            <w:noWrap/>
            <w:vAlign w:val="center"/>
          </w:tcPr>
          <w:p w14:paraId="390098C0"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59,0</w:t>
            </w:r>
          </w:p>
        </w:tc>
        <w:tc>
          <w:tcPr>
            <w:tcW w:w="292" w:type="pct"/>
            <w:tcBorders>
              <w:top w:val="nil"/>
              <w:left w:val="nil"/>
              <w:bottom w:val="single" w:sz="4" w:space="0" w:color="auto"/>
              <w:right w:val="single" w:sz="4" w:space="0" w:color="auto"/>
            </w:tcBorders>
            <w:noWrap/>
            <w:vAlign w:val="center"/>
          </w:tcPr>
          <w:p w14:paraId="66F0BD5D"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54,0</w:t>
            </w:r>
          </w:p>
        </w:tc>
        <w:tc>
          <w:tcPr>
            <w:tcW w:w="292" w:type="pct"/>
            <w:tcBorders>
              <w:top w:val="nil"/>
              <w:left w:val="nil"/>
              <w:bottom w:val="single" w:sz="4" w:space="0" w:color="auto"/>
              <w:right w:val="single" w:sz="4" w:space="0" w:color="auto"/>
            </w:tcBorders>
            <w:noWrap/>
            <w:vAlign w:val="center"/>
          </w:tcPr>
          <w:p w14:paraId="3C9D7ACB"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66,0</w:t>
            </w:r>
          </w:p>
        </w:tc>
        <w:tc>
          <w:tcPr>
            <w:tcW w:w="291" w:type="pct"/>
            <w:tcBorders>
              <w:top w:val="nil"/>
              <w:left w:val="nil"/>
              <w:bottom w:val="single" w:sz="4" w:space="0" w:color="auto"/>
              <w:right w:val="single" w:sz="4" w:space="0" w:color="auto"/>
            </w:tcBorders>
            <w:noWrap/>
            <w:vAlign w:val="center"/>
          </w:tcPr>
          <w:p w14:paraId="007C87B4" w14:textId="77777777" w:rsidR="00686DFE" w:rsidRPr="00CE5D9A" w:rsidRDefault="00686DFE">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67,0</w:t>
            </w:r>
          </w:p>
        </w:tc>
      </w:tr>
    </w:tbl>
    <w:p w14:paraId="682B9ED3" w14:textId="77777777" w:rsidR="00686DFE" w:rsidRPr="00CE5D9A" w:rsidRDefault="00686DFE">
      <w:pPr>
        <w:spacing w:line="276" w:lineRule="auto"/>
        <w:jc w:val="center"/>
        <w:rPr>
          <w:rFonts w:ascii="Times New Roman" w:hAnsi="Times New Roman"/>
        </w:rPr>
      </w:pPr>
      <w:r w:rsidRPr="00CE5D9A">
        <w:rPr>
          <w:rFonts w:ascii="Times New Roman" w:hAnsi="Times New Roman"/>
          <w:i/>
          <w:iCs/>
          <w:sz w:val="20"/>
          <w:szCs w:val="20"/>
        </w:rPr>
        <w:t xml:space="preserve">Źródło: opracowanie własne na podstawie danych </w:t>
      </w:r>
      <w:bookmarkStart w:id="121" w:name="_Hlk111616495"/>
      <w:r w:rsidRPr="00CE5D9A">
        <w:rPr>
          <w:rFonts w:ascii="Times New Roman" w:hAnsi="Times New Roman"/>
          <w:i/>
          <w:iCs/>
          <w:sz w:val="20"/>
          <w:szCs w:val="20"/>
        </w:rPr>
        <w:t xml:space="preserve">Ministerstwa Edukacji i Nauki </w:t>
      </w:r>
      <w:bookmarkEnd w:id="121"/>
      <w:r w:rsidRPr="00CE5D9A">
        <w:rPr>
          <w:rFonts w:ascii="Times New Roman" w:hAnsi="Times New Roman"/>
          <w:i/>
          <w:iCs/>
          <w:sz w:val="20"/>
          <w:szCs w:val="20"/>
        </w:rPr>
        <w:t>(mapa.wyniki.edu.pl/MapaEgzaminow)</w:t>
      </w:r>
    </w:p>
    <w:p w14:paraId="6C790201" w14:textId="38281CD6"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Poza nauką na poziomie podstawowym, na obszarze </w:t>
      </w:r>
      <w:r w:rsidR="00007063" w:rsidRPr="00007063">
        <w:rPr>
          <w:rFonts w:ascii="Times New Roman" w:hAnsi="Times New Roman"/>
          <w:iCs/>
          <w:color w:val="FF0000"/>
        </w:rPr>
        <w:t>LGD Regionu Myślenickiego</w:t>
      </w:r>
      <w:r w:rsidR="00007063" w:rsidRPr="00CE5D9A">
        <w:rPr>
          <w:rFonts w:ascii="Times New Roman" w:hAnsi="Times New Roman"/>
        </w:rPr>
        <w:t xml:space="preserve"> </w:t>
      </w:r>
      <w:r w:rsidRPr="00007063">
        <w:rPr>
          <w:rFonts w:ascii="Times New Roman" w:hAnsi="Times New Roman"/>
          <w:strike/>
          <w:color w:val="FF0000"/>
        </w:rPr>
        <w:t xml:space="preserve">LGD Między Dalinem i Gościbią </w:t>
      </w:r>
      <w:r w:rsidRPr="00CE5D9A">
        <w:rPr>
          <w:rFonts w:ascii="Times New Roman" w:hAnsi="Times New Roman"/>
        </w:rPr>
        <w:t>mieszkańcy mają dostęp do kształcenia na szczeblu średnim, tj. w liceum, technikum oraz szkołach zawodowych. Na terenie obszaru LGD funkcjonują następujące szkoły ponadpodstawowe</w:t>
      </w:r>
      <w:r w:rsidRPr="00CE5D9A">
        <w:rPr>
          <w:rFonts w:ascii="Times New Roman" w:hAnsi="Times New Roman"/>
          <w:vertAlign w:val="superscript"/>
        </w:rPr>
        <w:footnoteReference w:id="36"/>
      </w:r>
      <w:r w:rsidRPr="00CE5D9A">
        <w:rPr>
          <w:rFonts w:ascii="Times New Roman" w:hAnsi="Times New Roman"/>
        </w:rPr>
        <w:t>:</w:t>
      </w:r>
    </w:p>
    <w:p w14:paraId="794EDC24" w14:textId="77777777" w:rsidR="00686DFE" w:rsidRPr="00CE5D9A" w:rsidRDefault="00686DFE">
      <w:pPr>
        <w:numPr>
          <w:ilvl w:val="0"/>
          <w:numId w:val="23"/>
        </w:numPr>
        <w:spacing w:after="0" w:line="276" w:lineRule="auto"/>
        <w:ind w:left="851" w:hanging="284"/>
        <w:jc w:val="both"/>
        <w:rPr>
          <w:rFonts w:ascii="Times New Roman" w:hAnsi="Times New Roman"/>
        </w:rPr>
      </w:pPr>
      <w:r w:rsidRPr="00CE5D9A">
        <w:rPr>
          <w:rFonts w:ascii="Times New Roman" w:hAnsi="Times New Roman"/>
        </w:rPr>
        <w:lastRenderedPageBreak/>
        <w:t>Gmina Lubień: Zespół Szkół Ogólnokształcących i Zawodowych im. Bohaterów Monte Cassino w Lubniu (w skład którego wchodzą: technikum, liceum ogólnokształcące, szkoła policealna dla dorosłych, liceum ogólnokształcące dla dorosłych, branżowa szkoła I stopnia, centrum kształcenia zawodowego);</w:t>
      </w:r>
    </w:p>
    <w:p w14:paraId="616053FA" w14:textId="77777777" w:rsidR="00686DFE" w:rsidRPr="00CE5D9A" w:rsidRDefault="00686DFE">
      <w:pPr>
        <w:numPr>
          <w:ilvl w:val="0"/>
          <w:numId w:val="24"/>
        </w:numPr>
        <w:spacing w:after="0" w:line="276" w:lineRule="auto"/>
        <w:ind w:left="851" w:hanging="284"/>
        <w:jc w:val="both"/>
        <w:rPr>
          <w:rFonts w:ascii="Times New Roman" w:hAnsi="Times New Roman"/>
        </w:rPr>
      </w:pPr>
      <w:r w:rsidRPr="00CE5D9A">
        <w:rPr>
          <w:rFonts w:ascii="Times New Roman" w:hAnsi="Times New Roman"/>
        </w:rPr>
        <w:t xml:space="preserve">Gmina Myślenice: Zespół Szkół Techniczno-Ekonomicznych im. Mikołaja Reja w Myślenicach </w:t>
      </w:r>
      <w:r w:rsidRPr="00CE5D9A">
        <w:rPr>
          <w:rFonts w:ascii="Times New Roman" w:hAnsi="Times New Roman"/>
        </w:rPr>
        <w:br/>
        <w:t xml:space="preserve">(w skład którego wchodzą: technikum, liceum ogólnokształcące, szkoła policealna dla dorosłych, branżowa szkoła I stopnia, centrum kształcenia zawodowego), Zespół Szkół im. Andrzeja Średniawskiego w Myślenicach (w jego skład wchodzą: szkoła policealna dla dorosłych, technikum, liceum ogólnokształcące, liceum ogólnokształcące dla dorosłych, branżowa szkoła I stopnia), Zespół Szkół Ogólnokształcących w Myślenicach (w skład którego wchodzą: liceum ogólnokształcące, liceum ogólnokształcące dla dorosłych), Zespół Szkół – Małopolska Szkoła Gościnności im. Tytusa Chałubińskiego w Myślenicach (w skład którego wchodzą: liceum ogólnokształcące, szkoła policealna turystyki i zdrowia, technikum turystyczno-gastronomiczne, małopolskie centrum kształcenia ustawicznego), Międzyszkolny Ośrodek Sportowy w Myślenicach, Państwowa Szkoła Muzyczna I stopnia im. Ludomira Różyckiego w Myślenicach, Społeczna Branżowa Szkoła I stopnia w Myślenicach, Społeczne Liceum Ogólnokształcące Dla Dorosłych w Myślenicach, Społeczne Technikum </w:t>
      </w:r>
      <w:r w:rsidRPr="00CE5D9A">
        <w:rPr>
          <w:rFonts w:ascii="Times New Roman" w:hAnsi="Times New Roman"/>
        </w:rPr>
        <w:br/>
        <w:t>w Myślenicach;</w:t>
      </w:r>
    </w:p>
    <w:p w14:paraId="4782843F" w14:textId="77777777" w:rsidR="00686DFE" w:rsidRPr="00CE5D9A" w:rsidRDefault="00686DFE">
      <w:pPr>
        <w:numPr>
          <w:ilvl w:val="0"/>
          <w:numId w:val="24"/>
        </w:numPr>
        <w:spacing w:after="0" w:line="276" w:lineRule="auto"/>
        <w:ind w:left="851" w:hanging="284"/>
        <w:jc w:val="both"/>
        <w:rPr>
          <w:rFonts w:ascii="Times New Roman" w:hAnsi="Times New Roman"/>
        </w:rPr>
      </w:pPr>
      <w:r w:rsidRPr="00CE5D9A">
        <w:rPr>
          <w:rFonts w:ascii="Times New Roman" w:hAnsi="Times New Roman"/>
        </w:rPr>
        <w:t>Gmina Raciechowice: Szkoła Muzyczna I Stopnia w Czasławiu;</w:t>
      </w:r>
    </w:p>
    <w:p w14:paraId="75184A56" w14:textId="77777777" w:rsidR="00686DFE" w:rsidRPr="00CE5D9A" w:rsidRDefault="00686DFE">
      <w:pPr>
        <w:numPr>
          <w:ilvl w:val="0"/>
          <w:numId w:val="24"/>
        </w:numPr>
        <w:spacing w:line="276" w:lineRule="auto"/>
        <w:ind w:left="851" w:hanging="284"/>
        <w:jc w:val="both"/>
        <w:rPr>
          <w:rFonts w:ascii="Times New Roman" w:hAnsi="Times New Roman"/>
        </w:rPr>
      </w:pPr>
      <w:r w:rsidRPr="00CE5D9A">
        <w:rPr>
          <w:rFonts w:ascii="Times New Roman" w:hAnsi="Times New Roman"/>
        </w:rPr>
        <w:t xml:space="preserve">Gmina Sułkowice: Zespół Szkół Zawodowych i Ogólnokształcących w Sułkowicach (w jego skład wchodzą: technikum, szkoła policealna dla dorosłych, liceum ogólnokształcące, liceum ogólnokształcące dla dorosłych, branżowa szkoła I stopnia, centrum kształcenia zawodowego. </w:t>
      </w:r>
    </w:p>
    <w:p w14:paraId="3FE8C332" w14:textId="77777777" w:rsidR="00686DFE" w:rsidRPr="00CE5D9A" w:rsidRDefault="00686DFE">
      <w:pPr>
        <w:spacing w:after="0" w:line="276" w:lineRule="auto"/>
        <w:ind w:firstLine="567"/>
        <w:jc w:val="both"/>
        <w:rPr>
          <w:rFonts w:ascii="Times New Roman" w:hAnsi="Times New Roman"/>
          <w:szCs w:val="20"/>
        </w:rPr>
      </w:pPr>
      <w:r w:rsidRPr="00CE5D9A">
        <w:rPr>
          <w:rFonts w:ascii="Times New Roman" w:hAnsi="Times New Roman"/>
        </w:rPr>
        <w:t xml:space="preserve">W kontekście szkolnictwa warto również zwrócić uwagę na liczbę uczniów w szkołach podstawowych i gimnazjach dla dzieci i młodzieży niepełnosprawnej (bez szkół specjalnych) na obszarze LGD. </w:t>
      </w:r>
      <w:r w:rsidRPr="00CE5D9A">
        <w:rPr>
          <w:rFonts w:ascii="Times New Roman" w:hAnsi="Times New Roman"/>
          <w:szCs w:val="20"/>
        </w:rPr>
        <w:t xml:space="preserve">Wartości wskaźnika </w:t>
      </w:r>
      <w:r w:rsidRPr="00CE5D9A">
        <w:rPr>
          <w:rFonts w:ascii="Times New Roman" w:hAnsi="Times New Roman"/>
          <w:i/>
          <w:iCs/>
          <w:szCs w:val="20"/>
        </w:rPr>
        <w:t xml:space="preserve">uczniowie w oddziałach specjalnych, integracyjnych i ogólnodostępnych na 10 tys. mieszkańców </w:t>
      </w:r>
      <w:r w:rsidR="007555C8" w:rsidRPr="00CE5D9A">
        <w:rPr>
          <w:rFonts w:ascii="Times New Roman" w:hAnsi="Times New Roman"/>
          <w:szCs w:val="20"/>
        </w:rPr>
        <w:t>w 2021 </w:t>
      </w:r>
      <w:r w:rsidRPr="00CE5D9A">
        <w:rPr>
          <w:rFonts w:ascii="Times New Roman" w:hAnsi="Times New Roman"/>
          <w:szCs w:val="20"/>
        </w:rPr>
        <w:t xml:space="preserve">r. przedstawiono na wykresie 13. Z danych wynika, że na obszarze LGD w 2021 r. w </w:t>
      </w:r>
      <w:r w:rsidRPr="00CE5D9A">
        <w:rPr>
          <w:rFonts w:ascii="Times New Roman" w:hAnsi="Times New Roman"/>
        </w:rPr>
        <w:t>oddziałach specjalnych, integracyjnych i ogólnodostępnych</w:t>
      </w:r>
      <w:r w:rsidRPr="00CE5D9A">
        <w:rPr>
          <w:rFonts w:ascii="Times New Roman" w:hAnsi="Times New Roman"/>
          <w:szCs w:val="20"/>
        </w:rPr>
        <w:t xml:space="preserve"> znajdowało się więcej uczniów niż średnio w województwie małopolskim.</w:t>
      </w:r>
    </w:p>
    <w:p w14:paraId="5F953C0A" w14:textId="77777777" w:rsidR="00686DFE" w:rsidRPr="00CE5D9A" w:rsidRDefault="00686DFE">
      <w:pPr>
        <w:spacing w:after="0" w:line="276" w:lineRule="auto"/>
        <w:ind w:firstLine="567"/>
        <w:jc w:val="both"/>
        <w:rPr>
          <w:rFonts w:ascii="Times New Roman" w:hAnsi="Times New Roman"/>
          <w:b/>
          <w:bCs/>
          <w:sz w:val="20"/>
          <w:szCs w:val="20"/>
        </w:rPr>
      </w:pPr>
    </w:p>
    <w:p w14:paraId="7B2D3487" w14:textId="2F7B2829" w:rsidR="00686DFE" w:rsidRPr="00CE5D9A" w:rsidRDefault="00686DFE">
      <w:pPr>
        <w:pStyle w:val="Legenda"/>
        <w:spacing w:after="0"/>
        <w:jc w:val="center"/>
        <w:rPr>
          <w:rFonts w:ascii="Times New Roman" w:hAnsi="Times New Roman"/>
          <w:b/>
          <w:bCs/>
          <w:i w:val="0"/>
          <w:iCs w:val="0"/>
          <w:color w:val="auto"/>
          <w:sz w:val="20"/>
          <w:szCs w:val="20"/>
        </w:rPr>
      </w:pPr>
      <w:bookmarkStart w:id="122" w:name="_Toc194581422"/>
      <w:r w:rsidRPr="00CE5D9A">
        <w:rPr>
          <w:rFonts w:ascii="Times New Roman" w:hAnsi="Times New Roman"/>
          <w:b/>
          <w:bCs/>
          <w:i w:val="0"/>
          <w:iCs w:val="0"/>
          <w:color w:val="auto"/>
          <w:sz w:val="20"/>
          <w:szCs w:val="20"/>
        </w:rPr>
        <w:t xml:space="preserve">Wykres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Wykres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13</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Uczniowie w oddziałach specjalnych, integracyjnych i ogólnodostępnych na 10 tys. ludności na obszarze LGD w porównaniu do województwa i kraju w 2021 roku</w:t>
      </w:r>
      <w:bookmarkEnd w:id="122"/>
    </w:p>
    <w:p w14:paraId="10452AA3" w14:textId="77777777" w:rsidR="007555C8" w:rsidRPr="00CE5D9A" w:rsidRDefault="007555C8">
      <w:pPr>
        <w:spacing w:after="0" w:line="276" w:lineRule="auto"/>
        <w:jc w:val="center"/>
        <w:rPr>
          <w:rFonts w:ascii="Times New Roman" w:hAnsi="Times New Roman"/>
          <w:i/>
          <w:iCs/>
          <w:sz w:val="20"/>
          <w:szCs w:val="20"/>
        </w:rPr>
      </w:pPr>
      <w:r w:rsidRPr="00CE5D9A">
        <w:rPr>
          <w:noProof/>
          <w:lang w:eastAsia="pl-PL"/>
        </w:rPr>
        <w:drawing>
          <wp:inline distT="0" distB="0" distL="0" distR="0" wp14:anchorId="3A39BEFB" wp14:editId="5460802B">
            <wp:extent cx="5920740" cy="2590800"/>
            <wp:effectExtent l="0" t="0" r="22860" b="19050"/>
            <wp:docPr id="8" name="Wykres 8">
              <a:extLst xmlns:a="http://schemas.openxmlformats.org/drawingml/2006/main">
                <a:ext uri="{FF2B5EF4-FFF2-40B4-BE49-F238E27FC236}">
                  <a16:creationId xmlns:a16="http://schemas.microsoft.com/office/drawing/2014/main" id="{B78E06CF-E46E-42E5-8E69-72E714D01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E5D9A">
        <w:rPr>
          <w:rFonts w:ascii="Times New Roman" w:hAnsi="Times New Roman"/>
          <w:i/>
          <w:iCs/>
          <w:sz w:val="20"/>
          <w:szCs w:val="20"/>
        </w:rPr>
        <w:t xml:space="preserve"> </w:t>
      </w:r>
    </w:p>
    <w:p w14:paraId="488171FA" w14:textId="77777777" w:rsidR="00686DFE" w:rsidRPr="00CE5D9A" w:rsidRDefault="00686DFE">
      <w:pPr>
        <w:spacing w:after="0" w:line="276" w:lineRule="auto"/>
        <w:jc w:val="center"/>
        <w:rPr>
          <w:rFonts w:ascii="Times New Roman" w:hAnsi="Times New Roman"/>
          <w:i/>
          <w:iCs/>
          <w:sz w:val="20"/>
          <w:szCs w:val="20"/>
        </w:rPr>
      </w:pPr>
      <w:r w:rsidRPr="00CE5D9A">
        <w:rPr>
          <w:rFonts w:ascii="Times New Roman" w:hAnsi="Times New Roman"/>
          <w:i/>
          <w:iCs/>
          <w:sz w:val="20"/>
          <w:szCs w:val="20"/>
        </w:rPr>
        <w:t>Źródło: opracowanie własne na podstawie danych GUS</w:t>
      </w:r>
    </w:p>
    <w:p w14:paraId="28FE5798" w14:textId="77777777" w:rsidR="00686DFE" w:rsidRPr="00CE5D9A" w:rsidRDefault="00686DFE">
      <w:pPr>
        <w:pStyle w:val="Akapitzlist"/>
        <w:numPr>
          <w:ilvl w:val="1"/>
          <w:numId w:val="15"/>
        </w:numPr>
        <w:spacing w:before="240"/>
        <w:ind w:left="851" w:hanging="284"/>
        <w:rPr>
          <w:rFonts w:ascii="Times New Roman" w:hAnsi="Times New Roman"/>
          <w:b/>
          <w:bCs/>
        </w:rPr>
      </w:pPr>
      <w:r w:rsidRPr="00CE5D9A">
        <w:rPr>
          <w:rFonts w:ascii="Times New Roman" w:hAnsi="Times New Roman"/>
          <w:b/>
          <w:bCs/>
        </w:rPr>
        <w:t>Innowacyjność</w:t>
      </w:r>
    </w:p>
    <w:p w14:paraId="4073188B" w14:textId="77777777" w:rsidR="00686DFE" w:rsidRPr="00CE5D9A" w:rsidRDefault="00686DFE">
      <w:pPr>
        <w:spacing w:after="0" w:line="276" w:lineRule="auto"/>
        <w:ind w:firstLine="708"/>
        <w:jc w:val="both"/>
        <w:rPr>
          <w:rFonts w:ascii="Times New Roman" w:hAnsi="Times New Roman"/>
          <w:lang w:eastAsia="pl-PL"/>
        </w:rPr>
      </w:pPr>
      <w:r w:rsidRPr="00CE5D9A">
        <w:rPr>
          <w:rFonts w:ascii="Times New Roman" w:hAnsi="Times New Roman"/>
          <w:szCs w:val="20"/>
        </w:rPr>
        <w:t>Elementem bazowym określającym innowacyjność regionu jest ilość podjętych działań w kierunku rozwoju nowoczesnych technologii, infrastruktury, sfery badań i rozwoju (B+R) oraz społeczeństwa informacyjnego. Każde z</w:t>
      </w:r>
      <w:r w:rsidR="007555C8" w:rsidRPr="00CE5D9A">
        <w:rPr>
          <w:rFonts w:ascii="Times New Roman" w:hAnsi="Times New Roman"/>
          <w:szCs w:val="20"/>
        </w:rPr>
        <w:t> </w:t>
      </w:r>
      <w:r w:rsidRPr="00CE5D9A">
        <w:rPr>
          <w:rFonts w:ascii="Times New Roman" w:hAnsi="Times New Roman"/>
          <w:szCs w:val="20"/>
        </w:rPr>
        <w:t>wymienionych działań mogło być w ostatnich latach realizowane przy dofinansowaniu w</w:t>
      </w:r>
      <w:r w:rsidR="007555C8" w:rsidRPr="00CE5D9A">
        <w:rPr>
          <w:rFonts w:ascii="Times New Roman" w:hAnsi="Times New Roman"/>
          <w:szCs w:val="20"/>
        </w:rPr>
        <w:t> </w:t>
      </w:r>
      <w:r w:rsidRPr="00CE5D9A">
        <w:rPr>
          <w:rFonts w:ascii="Times New Roman" w:hAnsi="Times New Roman"/>
          <w:szCs w:val="20"/>
        </w:rPr>
        <w:t xml:space="preserve">ramach Programu Operacyjnego Inteligentny Rozwój (POIR) na lata 2014–2020. W 2021 roku na terenie województwa małopolskiego podpisano umowy/wydano decyzje o dofinansowanie 1 640 projektów ze wsparciem w ramach ww. programu. Na obszarze LGD podpisano </w:t>
      </w:r>
      <w:r w:rsidR="002033B5" w:rsidRPr="00CE5D9A">
        <w:rPr>
          <w:rFonts w:ascii="Times New Roman" w:hAnsi="Times New Roman"/>
          <w:szCs w:val="20"/>
        </w:rPr>
        <w:t>22 umo</w:t>
      </w:r>
      <w:r w:rsidRPr="00CE5D9A">
        <w:rPr>
          <w:rFonts w:ascii="Times New Roman" w:hAnsi="Times New Roman"/>
          <w:szCs w:val="20"/>
        </w:rPr>
        <w:t>w</w:t>
      </w:r>
      <w:r w:rsidR="002033B5" w:rsidRPr="00CE5D9A">
        <w:rPr>
          <w:rFonts w:ascii="Times New Roman" w:hAnsi="Times New Roman"/>
          <w:szCs w:val="20"/>
        </w:rPr>
        <w:t>y/wydano decyzję o dofinansowaniu</w:t>
      </w:r>
      <w:r w:rsidR="007555C8" w:rsidRPr="00CE5D9A">
        <w:rPr>
          <w:rFonts w:ascii="Times New Roman" w:hAnsi="Times New Roman"/>
          <w:szCs w:val="20"/>
        </w:rPr>
        <w:t xml:space="preserve">, z czego 10 </w:t>
      </w:r>
      <w:r w:rsidR="007555C8" w:rsidRPr="00CE5D9A">
        <w:rPr>
          <w:rFonts w:ascii="Times New Roman" w:hAnsi="Times New Roman"/>
          <w:szCs w:val="20"/>
        </w:rPr>
        <w:lastRenderedPageBreak/>
        <w:t>w </w:t>
      </w:r>
      <w:r w:rsidRPr="00CE5D9A">
        <w:rPr>
          <w:rFonts w:ascii="Times New Roman" w:hAnsi="Times New Roman"/>
          <w:szCs w:val="20"/>
        </w:rPr>
        <w:t xml:space="preserve">Gminie Myślenice, 4 w Gminie Wiśniowa, </w:t>
      </w:r>
      <w:r w:rsidR="002033B5" w:rsidRPr="00CE5D9A">
        <w:rPr>
          <w:rFonts w:ascii="Times New Roman" w:hAnsi="Times New Roman"/>
          <w:szCs w:val="20"/>
        </w:rPr>
        <w:t xml:space="preserve">3 w Gminie </w:t>
      </w:r>
      <w:r w:rsidRPr="00CE5D9A">
        <w:rPr>
          <w:rFonts w:ascii="Times New Roman" w:hAnsi="Times New Roman"/>
          <w:szCs w:val="20"/>
        </w:rPr>
        <w:t>Pcim</w:t>
      </w:r>
      <w:r w:rsidR="002033B5" w:rsidRPr="00CE5D9A">
        <w:rPr>
          <w:rFonts w:ascii="Times New Roman" w:hAnsi="Times New Roman"/>
          <w:szCs w:val="20"/>
        </w:rPr>
        <w:t>,</w:t>
      </w:r>
      <w:r w:rsidRPr="00CE5D9A">
        <w:rPr>
          <w:rFonts w:ascii="Times New Roman" w:hAnsi="Times New Roman"/>
          <w:szCs w:val="20"/>
        </w:rPr>
        <w:t xml:space="preserve"> </w:t>
      </w:r>
      <w:r w:rsidR="002033B5" w:rsidRPr="00CE5D9A">
        <w:rPr>
          <w:rFonts w:ascii="Times New Roman" w:hAnsi="Times New Roman"/>
          <w:szCs w:val="20"/>
        </w:rPr>
        <w:t xml:space="preserve">3 w Gminie Siepraw </w:t>
      </w:r>
      <w:r w:rsidRPr="00CE5D9A">
        <w:rPr>
          <w:rFonts w:ascii="Times New Roman" w:hAnsi="Times New Roman"/>
          <w:szCs w:val="20"/>
        </w:rPr>
        <w:t xml:space="preserve">oraz 2 w Gminie Sułkowice. W pozostałych gminach nie podpisano żadnej umowy/ nie wydano decyzji o dofinansowanie. </w:t>
      </w:r>
      <w:r w:rsidRPr="00CE5D9A">
        <w:rPr>
          <w:rFonts w:ascii="Times New Roman" w:hAnsi="Times New Roman"/>
          <w:lang w:eastAsia="pl-PL"/>
        </w:rPr>
        <w:t xml:space="preserve">Średni udział przedsiębiorstw innowacyjnych w ogólnej liczbie przedsiębiorstw w 2020 roku w województwie małopolskim wynosił 35,0%. Był to wzrost w stosunku do 2016 r. o 17,7 pp., wynik ten był wyższy od średniej w Polsce – 31,2% (dane GUS). </w:t>
      </w:r>
    </w:p>
    <w:p w14:paraId="1A815A6D" w14:textId="1456FF72"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Innowacyjność ma znaczący wpływ na rozwój gospodarki. Innowacyjna gospodarka jest istotnym instrumentem kształtowania wysokiej jakości życia mieszkańców oraz wzmacniania konkurencyjności regionu. </w:t>
      </w:r>
      <w:r w:rsidRPr="00CE5D9A">
        <w:rPr>
          <w:rFonts w:ascii="Times New Roman" w:hAnsi="Times New Roman"/>
        </w:rPr>
        <w:br/>
        <w:t xml:space="preserve">W czerwcu 2021 r. Komisja Europejska opublikowała </w:t>
      </w:r>
      <w:r w:rsidRPr="00CE5D9A">
        <w:rPr>
          <w:rFonts w:ascii="Times New Roman" w:hAnsi="Times New Roman"/>
          <w:i/>
          <w:iCs/>
        </w:rPr>
        <w:t>Europejski Ranking Innowacyjności 2021</w:t>
      </w:r>
      <w:r w:rsidRPr="00CE5D9A">
        <w:rPr>
          <w:rFonts w:ascii="Times New Roman" w:hAnsi="Times New Roman"/>
        </w:rPr>
        <w:t>, który pokazuje, że wyniki Krajów 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w:t>
      </w:r>
      <w:r w:rsidR="00007063">
        <w:rPr>
          <w:rFonts w:ascii="Times New Roman" w:hAnsi="Times New Roman"/>
        </w:rPr>
        <w:t xml:space="preserve"> </w:t>
      </w:r>
      <w:r w:rsidR="00007063" w:rsidRPr="00007063">
        <w:rPr>
          <w:rFonts w:ascii="Times New Roman" w:hAnsi="Times New Roman"/>
          <w:iCs/>
          <w:color w:val="FF0000"/>
        </w:rPr>
        <w:t>LGD Regionu Myślenickiego</w:t>
      </w:r>
      <w:r w:rsidRPr="00CE5D9A">
        <w:rPr>
          <w:rFonts w:ascii="Times New Roman" w:hAnsi="Times New Roman"/>
        </w:rPr>
        <w:t xml:space="preserve"> </w:t>
      </w:r>
      <w:r w:rsidRPr="00007063">
        <w:rPr>
          <w:rFonts w:ascii="Times New Roman" w:hAnsi="Times New Roman"/>
          <w:strike/>
          <w:color w:val="FF0000"/>
        </w:rPr>
        <w:t>LGD Między Dalinem i Gościbią</w:t>
      </w:r>
      <w:r w:rsidRPr="00007063">
        <w:rPr>
          <w:rFonts w:ascii="Times New Roman" w:hAnsi="Times New Roman"/>
          <w:color w:val="FF0000"/>
        </w:rPr>
        <w:t xml:space="preserve"> </w:t>
      </w:r>
      <w:r w:rsidRPr="00CE5D9A">
        <w:rPr>
          <w:rFonts w:ascii="Times New Roman" w:hAnsi="Times New Roman"/>
        </w:rPr>
        <w:t>terytorialnie zaklasyfikowane są do regionu województwa małopolskiego, które w rankingu uplasowało się na 161. pozycji. Najgorzej w Polsce prezentował się region „Mazowiecki Regionalny” – 228. pozycja.</w:t>
      </w:r>
    </w:p>
    <w:p w14:paraId="6F76B77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Dla województwa małopolskiego opracowana została i przyjęta przez Zarząd Województwa Małopolskiego </w:t>
      </w:r>
      <w:r w:rsidRPr="00CE5D9A">
        <w:rPr>
          <w:rFonts w:ascii="Times New Roman" w:hAnsi="Times New Roman"/>
          <w:i/>
          <w:iCs/>
        </w:rPr>
        <w:t xml:space="preserve">Regionalna Strategia Innowacji Województwa Małopolskiego 2030 </w:t>
      </w:r>
      <w:r w:rsidRPr="00CE5D9A">
        <w:rPr>
          <w:rFonts w:ascii="Times New Roman" w:hAnsi="Times New Roman"/>
        </w:rPr>
        <w:t xml:space="preserve">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 </w:t>
      </w:r>
      <w:r w:rsidRPr="00CE5D9A">
        <w:rPr>
          <w:rFonts w:ascii="Times New Roman" w:hAnsi="Times New Roman"/>
          <w:i/>
          <w:iCs/>
        </w:rPr>
        <w:t>(life science)</w:t>
      </w:r>
      <w:r w:rsidRPr="00CE5D9A">
        <w:rPr>
          <w:rFonts w:ascii="Times New Roman" w:hAnsi="Times New Roman"/>
        </w:rPr>
        <w:t xml:space="preserve">, energia zrównoważona, technologie informacyjne i komunikacyjne, chemia, produkcja metali i wyrobów metalowych oraz wyrobów z mineralnych surowców niemetalicznych, elektrotechnika i przemysł maszynowy, przemysły kreatywne i czasu wolnego. </w:t>
      </w:r>
    </w:p>
    <w:p w14:paraId="38699FC8" w14:textId="2214DBF0" w:rsidR="00686DFE" w:rsidRPr="00CE5D9A" w:rsidRDefault="00686DFE" w:rsidP="002402B7">
      <w:pPr>
        <w:spacing w:after="0" w:line="276" w:lineRule="auto"/>
        <w:ind w:firstLine="708"/>
        <w:jc w:val="both"/>
        <w:rPr>
          <w:rFonts w:ascii="Times New Roman" w:hAnsi="Times New Roman"/>
        </w:rPr>
      </w:pPr>
      <w:r w:rsidRPr="00CE5D9A">
        <w:rPr>
          <w:rFonts w:ascii="Times New Roman" w:hAnsi="Times New Roman"/>
        </w:rPr>
        <w:t xml:space="preserve">W </w:t>
      </w:r>
      <w:r w:rsidRPr="00CE5D9A">
        <w:rPr>
          <w:rFonts w:ascii="Times New Roman" w:hAnsi="Times New Roman"/>
          <w:bCs/>
          <w:i/>
          <w:iCs/>
        </w:rPr>
        <w:t xml:space="preserve">Strategii Rozwoju Lokalnego Kierowanego przez Społeczność LGD „Między Dalinem i Gościbią” na lata 2014–2020 </w:t>
      </w:r>
      <w:r w:rsidRPr="00CE5D9A">
        <w:rPr>
          <w:rFonts w:ascii="Times New Roman" w:hAnsi="Times New Roman"/>
        </w:rPr>
        <w:t xml:space="preserve">zdefiniowano pojęcie innowacyjności, które oznaczało: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w:t>
      </w:r>
      <w:bookmarkStart w:id="123" w:name="_Hlk111616625"/>
      <w:r w:rsidRPr="00CE5D9A">
        <w:rPr>
          <w:rFonts w:ascii="Times New Roman" w:hAnsi="Times New Roman"/>
        </w:rPr>
        <w:t xml:space="preserve">W </w:t>
      </w:r>
      <w:r w:rsidRPr="00CE5D9A">
        <w:rPr>
          <w:rFonts w:ascii="Times New Roman" w:hAnsi="Times New Roman"/>
          <w:i/>
          <w:iCs/>
        </w:rPr>
        <w:t xml:space="preserve">Ewaluacji </w:t>
      </w:r>
      <w:bookmarkEnd w:id="123"/>
      <w:r w:rsidRPr="00CE5D9A">
        <w:rPr>
          <w:rFonts w:ascii="Times New Roman" w:hAnsi="Times New Roman"/>
          <w:i/>
          <w:iCs/>
        </w:rPr>
        <w:t xml:space="preserve">zewnętrznej małopolskich lokalnych strategii rozwoju Lokalna Grupa Działania „Między Dalinem i Gościbią” </w:t>
      </w:r>
      <w:r w:rsidRPr="00CE5D9A">
        <w:rPr>
          <w:rFonts w:ascii="Times New Roman" w:hAnsi="Times New Roman"/>
        </w:rPr>
        <w:t>jako rekomendację w zakresie innowacyjności wskazano: „być może dobrym kierunkiem byłaby realizacja projektów rozwijają</w:t>
      </w:r>
      <w:r w:rsidR="002402B7" w:rsidRPr="00CE5D9A">
        <w:rPr>
          <w:rFonts w:ascii="Times New Roman" w:hAnsi="Times New Roman"/>
        </w:rPr>
        <w:t>cych i kultywujących tradycję i </w:t>
      </w:r>
      <w:r w:rsidRPr="00CE5D9A">
        <w:rPr>
          <w:rFonts w:ascii="Times New Roman" w:hAnsi="Times New Roman"/>
        </w:rPr>
        <w:t>kulturę tego regionu z wykorzystaniem innowacyjnych metod doradczych, szkoleniowych, wydarzeń kulturalnych”</w:t>
      </w:r>
      <w:r w:rsidRPr="00CE5D9A">
        <w:rPr>
          <w:rFonts w:ascii="Times New Roman" w:hAnsi="Times New Roman"/>
          <w:i/>
          <w:iCs/>
        </w:rPr>
        <w:t xml:space="preserve">. </w:t>
      </w:r>
      <w:r w:rsidRPr="00CE5D9A">
        <w:rPr>
          <w:rFonts w:ascii="Times New Roman" w:hAnsi="Times New Roman"/>
        </w:rPr>
        <w:t>W obecnej LSR innowacyjność będzie rozpatrywana pod kątem całego obszaru i będzie związana z</w:t>
      </w:r>
      <w:r w:rsidR="00F958B2" w:rsidRPr="00CE5D9A">
        <w:rPr>
          <w:rFonts w:ascii="Times New Roman" w:hAnsi="Times New Roman"/>
        </w:rPr>
        <w:t> </w:t>
      </w:r>
      <w:r w:rsidR="0008270D" w:rsidRPr="00CE5D9A">
        <w:rPr>
          <w:rFonts w:ascii="Times New Roman" w:hAnsi="Times New Roman"/>
        </w:rPr>
        <w:t xml:space="preserve"> </w:t>
      </w:r>
      <w:r w:rsidRPr="00CE5D9A">
        <w:rPr>
          <w:rFonts w:ascii="Times New Roman" w:hAnsi="Times New Roman"/>
        </w:rPr>
        <w:t>realizacją koncepcji Smart Village, która sama w sobie będzie innowacją na tym terenie. Wprowadzenie takiej innowacji na obszarze LGD przyczyni się do integracji mieszkańców również międzypokoleniowej, którzy z czasem chętniej będą podejmowali sami działania na rzecz poprawy życia na obszarze, przyczyni się również do rozwoju gospodarczego poprzez cyfryzację obszaru, usług i edukacji, ponadto przyczyni się do stworzenia bezpiecznych i dostępnych dla wszystkich przestrzeni publicznych. Kolejną wartością dodaną innowacji jaką jest wdrażanie koncepcji Smart Village będzie wykorzystanie zasobów lokalnych do rozwoju obszaru.</w:t>
      </w:r>
    </w:p>
    <w:p w14:paraId="47239B3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kontekście innowacyjności i warunków do jej rozwoju warto przeanalizować kwestię cyfryzacji, w tym dostępu do wysokiej jakości Internetu. Zgodnie z danymi Urzędu Komunikacji Elektronicznej, aktualna</w:t>
      </w:r>
      <w:r w:rsidRPr="00CE5D9A">
        <w:rPr>
          <w:rFonts w:ascii="Times New Roman" w:hAnsi="Times New Roman"/>
          <w:vertAlign w:val="superscript"/>
        </w:rPr>
        <w:footnoteReference w:id="37"/>
      </w:r>
      <w:r w:rsidRPr="00CE5D9A">
        <w:rPr>
          <w:rFonts w:ascii="Times New Roman" w:hAnsi="Times New Roman"/>
        </w:rPr>
        <w:t xml:space="preserve"> penetracja lokalowa 100 Mb/s</w:t>
      </w:r>
      <w:r w:rsidRPr="00CE5D9A">
        <w:rPr>
          <w:rFonts w:ascii="Times New Roman" w:hAnsi="Times New Roman"/>
          <w:vertAlign w:val="superscript"/>
        </w:rPr>
        <w:footnoteReference w:id="38"/>
      </w:r>
      <w:r w:rsidRPr="00CE5D9A">
        <w:rPr>
          <w:rFonts w:ascii="Times New Roman" w:hAnsi="Times New Roman"/>
        </w:rPr>
        <w:t xml:space="preserve"> dla gmin obszaru LGD jest w przeważającej części znacznie wyższa niż średnia dla Polski (75%). W większości gmin wynosi ona ponad 90%. W przypadku gmin: Myślenice, Raciechowice, Wiśniowa oraz Sułkowice wynosi 99%, w Gminie Pcim – 91%. Natomiast gorzej wygląda sytuacja w pozostałych gminach – Tokarnia i Lubień, gdzie penetracja lokalowa 100 Mb/s wynosi odpowiednio 72% i 32%.</w:t>
      </w:r>
      <w:r w:rsidR="00840438" w:rsidRPr="00CE5D9A">
        <w:rPr>
          <w:rFonts w:ascii="Times New Roman" w:hAnsi="Times New Roman"/>
        </w:rPr>
        <w:t xml:space="preserve"> Nie </w:t>
      </w:r>
      <w:r w:rsidR="00840438" w:rsidRPr="00CE5D9A">
        <w:rPr>
          <w:rFonts w:ascii="Times New Roman" w:hAnsi="Times New Roman"/>
        </w:rPr>
        <w:lastRenderedPageBreak/>
        <w:t>pozyskano danych dla Gminy Siepraw.</w:t>
      </w:r>
      <w:r w:rsidRPr="00CE5D9A">
        <w:rPr>
          <w:rFonts w:ascii="Times New Roman" w:hAnsi="Times New Roman"/>
        </w:rPr>
        <w:t xml:space="preserve"> Są to wartości znacznie niższe niż w przypadku pozostałych gmin, a także niższe niż średnia dla Polski</w:t>
      </w:r>
      <w:r w:rsidRPr="00CE5D9A">
        <w:rPr>
          <w:rStyle w:val="Odwoanieprzypisudolnego"/>
          <w:rFonts w:ascii="Times New Roman" w:hAnsi="Times New Roman"/>
        </w:rPr>
        <w:footnoteReference w:id="39"/>
      </w:r>
      <w:r w:rsidRPr="00CE5D9A">
        <w:rPr>
          <w:rFonts w:ascii="Times New Roman" w:hAnsi="Times New Roman"/>
        </w:rPr>
        <w:t xml:space="preserve">. </w:t>
      </w:r>
    </w:p>
    <w:p w14:paraId="3C0570FB"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Biorąc pod uwagę penetrację budynkową zasięgami Internetu stacjonarnego o przepustowości co najmniej 30 Mb/s, sytuacja w województwie małopolskim i na obszarze LGD jest lepsza niż w kraju. Najwyższe wartości </w:t>
      </w:r>
      <w:r w:rsidRPr="00CE5D9A">
        <w:rPr>
          <w:rFonts w:ascii="Times New Roman" w:hAnsi="Times New Roman"/>
        </w:rPr>
        <w:br/>
        <w:t xml:space="preserve">w tym zakresie osiągają gminy: Myślenice, Sułkowice, Pcim, </w:t>
      </w:r>
      <w:r w:rsidR="00C17D73" w:rsidRPr="00CE5D9A">
        <w:rPr>
          <w:rFonts w:ascii="Times New Roman" w:hAnsi="Times New Roman"/>
        </w:rPr>
        <w:t xml:space="preserve">Siepraw, </w:t>
      </w:r>
      <w:r w:rsidRPr="00CE5D9A">
        <w:rPr>
          <w:rFonts w:ascii="Times New Roman" w:hAnsi="Times New Roman"/>
        </w:rPr>
        <w:t>Wiśniowa oraz Raciechowice – mieszczą się w przedziale 80,1–100,0%, Gmina Tokarnia osiąga wartości mieszczące się w przedziale 40,1–60,0%. Natomiast najgorsze wyniki w tym zakresie występują w Gminie Lubień i mieszczą się w przedziale 20,1–40,0% (mapa 2).</w:t>
      </w:r>
    </w:p>
    <w:p w14:paraId="2CFF2E7E" w14:textId="4416AC68" w:rsidR="00686DFE" w:rsidRPr="00CE5D9A" w:rsidRDefault="00686DFE">
      <w:pPr>
        <w:pStyle w:val="Legenda"/>
        <w:spacing w:after="0"/>
        <w:jc w:val="center"/>
        <w:rPr>
          <w:rFonts w:ascii="Times New Roman" w:hAnsi="Times New Roman"/>
          <w:b/>
          <w:bCs/>
          <w:i w:val="0"/>
          <w:iCs w:val="0"/>
          <w:color w:val="auto"/>
          <w:sz w:val="20"/>
          <w:szCs w:val="20"/>
        </w:rPr>
      </w:pPr>
      <w:bookmarkStart w:id="124" w:name="_Toc112838944"/>
      <w:bookmarkStart w:id="125" w:name="_Toc194581395"/>
      <w:r w:rsidRPr="00CE5D9A">
        <w:rPr>
          <w:rFonts w:ascii="Times New Roman" w:hAnsi="Times New Roman"/>
          <w:b/>
          <w:bCs/>
          <w:i w:val="0"/>
          <w:iCs w:val="0"/>
          <w:color w:val="auto"/>
          <w:sz w:val="20"/>
          <w:szCs w:val="20"/>
        </w:rPr>
        <w:t xml:space="preserve">Mapa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Mapa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w:t>
      </w:r>
      <w:r w:rsidRPr="00CE5D9A">
        <w:rPr>
          <w:rStyle w:val="markedcontent"/>
          <w:rFonts w:ascii="Times New Roman" w:hAnsi="Times New Roman"/>
          <w:b/>
          <w:bCs/>
          <w:i w:val="0"/>
          <w:iCs w:val="0"/>
          <w:color w:val="auto"/>
          <w:sz w:val="20"/>
          <w:szCs w:val="20"/>
        </w:rPr>
        <w:t xml:space="preserve">Penetracja budynkowa zasięgami Internetu stacjonarnego o przepustowości co najmniej 30 Mb/s – fragment mapy dla województwa </w:t>
      </w:r>
      <w:bookmarkEnd w:id="124"/>
      <w:r w:rsidRPr="00CE5D9A">
        <w:rPr>
          <w:rStyle w:val="markedcontent"/>
          <w:rFonts w:ascii="Times New Roman" w:hAnsi="Times New Roman"/>
          <w:b/>
          <w:bCs/>
          <w:i w:val="0"/>
          <w:iCs w:val="0"/>
          <w:color w:val="auto"/>
          <w:sz w:val="20"/>
          <w:szCs w:val="20"/>
        </w:rPr>
        <w:t>małopolskiego</w:t>
      </w:r>
      <w:bookmarkEnd w:id="125"/>
    </w:p>
    <w:p w14:paraId="54A7646D" w14:textId="77777777" w:rsidR="00686DFE" w:rsidRPr="00CE5D9A" w:rsidRDefault="005F245B" w:rsidP="002033B5">
      <w:pPr>
        <w:pStyle w:val="Akapitzlist"/>
        <w:spacing w:after="0"/>
        <w:ind w:left="792"/>
        <w:jc w:val="center"/>
        <w:rPr>
          <w:rFonts w:ascii="Times New Roman" w:hAnsi="Times New Roman"/>
          <w:i/>
          <w:iCs/>
          <w:sz w:val="20"/>
          <w:szCs w:val="20"/>
        </w:rPr>
      </w:pPr>
      <w:r w:rsidRPr="00CE5D9A">
        <w:rPr>
          <w:b/>
          <w:bCs/>
          <w:noProof/>
          <w:sz w:val="24"/>
          <w:szCs w:val="24"/>
          <w:lang w:eastAsia="pl-PL"/>
        </w:rPr>
        <w:drawing>
          <wp:inline distT="0" distB="0" distL="0" distR="0" wp14:anchorId="1521DB6C" wp14:editId="4EEB83FE">
            <wp:extent cx="3375660" cy="2004060"/>
            <wp:effectExtent l="0" t="0" r="0" b="0"/>
            <wp:docPr id="23" name="Obraz 5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Obraz zawierający mapa&#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660" cy="2004060"/>
                    </a:xfrm>
                    <a:prstGeom prst="rect">
                      <a:avLst/>
                    </a:prstGeom>
                    <a:noFill/>
                    <a:ln>
                      <a:noFill/>
                    </a:ln>
                  </pic:spPr>
                </pic:pic>
              </a:graphicData>
            </a:graphic>
          </wp:inline>
        </w:drawing>
      </w:r>
    </w:p>
    <w:p w14:paraId="34C47C78" w14:textId="77777777" w:rsidR="00686DFE" w:rsidRPr="00CE5D9A" w:rsidRDefault="00686DFE" w:rsidP="002033B5">
      <w:pPr>
        <w:pStyle w:val="Akapitzlist"/>
        <w:ind w:left="794"/>
        <w:contextualSpacing w:val="0"/>
        <w:jc w:val="center"/>
        <w:rPr>
          <w:rFonts w:ascii="Times New Roman" w:hAnsi="Times New Roman"/>
          <w:i/>
          <w:iCs/>
          <w:sz w:val="20"/>
          <w:szCs w:val="20"/>
        </w:rPr>
      </w:pPr>
      <w:r w:rsidRPr="00CE5D9A">
        <w:rPr>
          <w:rFonts w:ascii="Times New Roman" w:hAnsi="Times New Roman"/>
          <w:i/>
          <w:iCs/>
          <w:sz w:val="20"/>
          <w:szCs w:val="20"/>
        </w:rPr>
        <w:t xml:space="preserve">Źródło: </w:t>
      </w:r>
      <w:bookmarkStart w:id="126" w:name="_Hlk133484222"/>
      <w:r w:rsidRPr="00CE5D9A">
        <w:rPr>
          <w:rFonts w:ascii="Times New Roman" w:hAnsi="Times New Roman"/>
          <w:i/>
          <w:iCs/>
          <w:sz w:val="20"/>
          <w:szCs w:val="20"/>
        </w:rPr>
        <w:t>Urząd Komunikacji Elektronicznej</w:t>
      </w:r>
      <w:r w:rsidRPr="00CE5D9A">
        <w:rPr>
          <w:rFonts w:ascii="Times New Roman" w:hAnsi="Times New Roman"/>
          <w:sz w:val="20"/>
          <w:szCs w:val="20"/>
        </w:rPr>
        <w:t xml:space="preserve">, </w:t>
      </w:r>
      <w:r w:rsidRPr="00CE5D9A">
        <w:rPr>
          <w:rFonts w:ascii="Times New Roman" w:hAnsi="Times New Roman"/>
          <w:i/>
          <w:iCs/>
          <w:sz w:val="20"/>
          <w:szCs w:val="20"/>
        </w:rPr>
        <w:t>Raport o stanie rynku telekomunikacyjnego w Polsce w 2021 roku</w:t>
      </w:r>
      <w:bookmarkEnd w:id="126"/>
      <w:r w:rsidRPr="00CE5D9A">
        <w:rPr>
          <w:rFonts w:ascii="Times New Roman" w:hAnsi="Times New Roman"/>
          <w:i/>
          <w:iCs/>
          <w:sz w:val="20"/>
          <w:szCs w:val="20"/>
        </w:rPr>
        <w:t>, s. 115</w:t>
      </w:r>
    </w:p>
    <w:p w14:paraId="70E7DD62" w14:textId="77777777" w:rsidR="00686DFE" w:rsidRPr="00CE5D9A" w:rsidRDefault="00686DFE">
      <w:pPr>
        <w:pStyle w:val="Akapitzlist"/>
        <w:numPr>
          <w:ilvl w:val="1"/>
          <w:numId w:val="15"/>
        </w:numPr>
        <w:spacing w:before="240"/>
        <w:ind w:left="1701" w:hanging="567"/>
        <w:contextualSpacing w:val="0"/>
        <w:rPr>
          <w:rFonts w:ascii="Times New Roman" w:hAnsi="Times New Roman"/>
          <w:b/>
          <w:bCs/>
        </w:rPr>
      </w:pPr>
      <w:r w:rsidRPr="00CE5D9A">
        <w:rPr>
          <w:rFonts w:ascii="Times New Roman" w:hAnsi="Times New Roman"/>
          <w:b/>
          <w:bCs/>
        </w:rPr>
        <w:t>Zasada równości szans i niedyskryminacji</w:t>
      </w:r>
    </w:p>
    <w:p w14:paraId="0A24F7FC" w14:textId="77777777" w:rsidR="00686DFE" w:rsidRPr="00CE5D9A" w:rsidRDefault="00686DFE">
      <w:pPr>
        <w:spacing w:before="240" w:line="276" w:lineRule="auto"/>
        <w:ind w:firstLine="708"/>
        <w:jc w:val="both"/>
        <w:rPr>
          <w:rFonts w:ascii="Times New Roman" w:hAnsi="Times New Roman"/>
        </w:rPr>
      </w:pPr>
      <w:r w:rsidRPr="00CE5D9A">
        <w:rPr>
          <w:rFonts w:ascii="Times New Roman" w:hAnsi="Times New Roman"/>
        </w:rPr>
        <w:t>LGD poważnie podchodzi do kwestii przestrzegania zasady równości szans i niedyskryminacji, w tym dostępności dla osób z niepełnosprawnościami lub ludzi młodych oraz zasady równości kobiet i mężczyzn. W poprzedniej LSR określono grupy defaworyzowane, tj.: niepełnosprawni, osoby powyżej 50. roku życia oraz młodzież do 30. roku życia. W ramach poprzedniej LSR zrealizowano projekt współpracy</w:t>
      </w:r>
      <w:r w:rsidRPr="00CE5D9A">
        <w:rPr>
          <w:rFonts w:ascii="Times New Roman" w:hAnsi="Times New Roman"/>
          <w:i/>
          <w:iCs/>
        </w:rPr>
        <w:t xml:space="preserve"> Szlaki turystyczne szansą rozwoju obszarów wiejskich LGD „Gościńca 4 Żywiołów” oraz LGD „Między Dalinem i Gościbią”</w:t>
      </w:r>
      <w:r w:rsidRPr="00CE5D9A">
        <w:rPr>
          <w:rFonts w:ascii="Times New Roman" w:hAnsi="Times New Roman"/>
        </w:rPr>
        <w:t xml:space="preserve">, gdzie m.in. grupą odbiorców były grupy defaworyzowane. W związku z tym </w:t>
      </w:r>
      <w:bookmarkStart w:id="127" w:name="_Hlk135559468"/>
      <w:r w:rsidRPr="00CE5D9A">
        <w:rPr>
          <w:rFonts w:ascii="Times New Roman" w:hAnsi="Times New Roman"/>
        </w:rPr>
        <w:t xml:space="preserve">w obecnej LSR planuje się kontynuować aktywizację osób młodych (do 25. roku życia), a także aktywizację osób starszych, co ściśle związane jest z wnioskami z przeprowadzonej diagnozy. </w:t>
      </w:r>
      <w:bookmarkStart w:id="128" w:name="_Hlk136207680"/>
      <w:r w:rsidRPr="00CE5D9A">
        <w:rPr>
          <w:rFonts w:ascii="Times New Roman" w:hAnsi="Times New Roman"/>
        </w:rPr>
        <w:t>Jako grupę osób w niekorzystnej sytuacji, dla której przewidziano szczególne wsparcie, wskazano osoby z niepełnosprawnościami i ich opiekunów</w:t>
      </w:r>
      <w:bookmarkEnd w:id="127"/>
      <w:bookmarkEnd w:id="128"/>
      <w:r w:rsidRPr="00CE5D9A">
        <w:rPr>
          <w:rFonts w:ascii="Times New Roman" w:hAnsi="Times New Roman"/>
        </w:rPr>
        <w:t xml:space="preserve">. </w:t>
      </w:r>
      <w:bookmarkStart w:id="129" w:name="_Hlk135652163"/>
      <w:r w:rsidRPr="00CE5D9A">
        <w:rPr>
          <w:rFonts w:ascii="Times New Roman" w:hAnsi="Times New Roman"/>
        </w:rPr>
        <w:t xml:space="preserve">Kwestia związana z aktywizacją osób z niepełnosprawnościami oraz przystosowaniem otoczenia do ich potrzeb została poruszona na spotkaniach konsultacyjnych. </w:t>
      </w:r>
      <w:bookmarkEnd w:id="129"/>
      <w:r w:rsidRPr="00CE5D9A">
        <w:rPr>
          <w:rFonts w:ascii="Times New Roman" w:hAnsi="Times New Roman"/>
        </w:rPr>
        <w:t>Podczas wdrażania LSR upowszechniane i wdrażane będą rozwiązania innowacyjne, w tym cyfrowe, usuwające bariery rozwojowe wsi.</w:t>
      </w:r>
    </w:p>
    <w:p w14:paraId="474A29EE" w14:textId="77777777" w:rsidR="00686DFE" w:rsidRPr="00CE5D9A" w:rsidRDefault="00686DFE">
      <w:pPr>
        <w:pStyle w:val="Akapitzlist"/>
        <w:numPr>
          <w:ilvl w:val="1"/>
          <w:numId w:val="15"/>
        </w:numPr>
        <w:spacing w:before="240"/>
        <w:ind w:left="1701" w:hanging="567"/>
        <w:rPr>
          <w:rFonts w:ascii="Times New Roman" w:hAnsi="Times New Roman"/>
          <w:b/>
          <w:bCs/>
        </w:rPr>
      </w:pPr>
      <w:r w:rsidRPr="00CE5D9A">
        <w:rPr>
          <w:rFonts w:ascii="Times New Roman" w:hAnsi="Times New Roman"/>
          <w:b/>
          <w:bCs/>
        </w:rPr>
        <w:t>Zagrożenie trwałą marginalizacją</w:t>
      </w:r>
    </w:p>
    <w:p w14:paraId="03376FD3" w14:textId="77777777" w:rsidR="00686DFE" w:rsidRPr="00CE5D9A" w:rsidRDefault="00686DFE">
      <w:pPr>
        <w:spacing w:before="240" w:after="0" w:line="276" w:lineRule="auto"/>
        <w:ind w:firstLine="709"/>
        <w:jc w:val="both"/>
        <w:rPr>
          <w:rFonts w:ascii="Times New Roman" w:hAnsi="Times New Roman"/>
        </w:rPr>
      </w:pPr>
      <w:r w:rsidRPr="00CE5D9A">
        <w:rPr>
          <w:rFonts w:ascii="Times New Roman" w:hAnsi="Times New Roman"/>
          <w:i/>
          <w:iCs/>
        </w:rPr>
        <w:t>Krajowa Strategia Rozwoju Regionalnego 2030</w:t>
      </w:r>
      <w:r w:rsidRPr="00CE5D9A">
        <w:rPr>
          <w:rFonts w:ascii="Times New Roman" w:hAnsi="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w:t>
      </w:r>
      <w:r w:rsidR="00C17D73" w:rsidRPr="00CE5D9A">
        <w:rPr>
          <w:rFonts w:ascii="Times New Roman" w:hAnsi="Times New Roman"/>
        </w:rPr>
        <w:t>rczych na rzecz rozwoju kraju i </w:t>
      </w:r>
      <w:r w:rsidRPr="00CE5D9A">
        <w:rPr>
          <w:rFonts w:ascii="Times New Roman" w:hAnsi="Times New Roman"/>
        </w:rPr>
        <w:t xml:space="preserve">województw. Istotną częścią dokumentu jest Załącznik 1. </w:t>
      </w:r>
      <w:r w:rsidRPr="00CE5D9A">
        <w:rPr>
          <w:rFonts w:ascii="Times New Roman" w:hAnsi="Times New Roman"/>
          <w:i/>
          <w:iCs/>
        </w:rPr>
        <w:t>Lista gmin zagrożonych trwałą marginalizacją: programowanie 2021–2027</w:t>
      </w:r>
      <w:r w:rsidRPr="00CE5D9A">
        <w:rPr>
          <w:rFonts w:ascii="Times New Roman" w:hAnsi="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00C99566" w14:textId="097569B6" w:rsidR="00686DFE" w:rsidRPr="00CE5D9A" w:rsidRDefault="00686DFE">
      <w:pPr>
        <w:spacing w:line="276" w:lineRule="auto"/>
        <w:ind w:firstLine="708"/>
        <w:jc w:val="both"/>
        <w:rPr>
          <w:rFonts w:ascii="Times New Roman" w:hAnsi="Times New Roman"/>
        </w:rPr>
      </w:pPr>
      <w:r w:rsidRPr="00CE5D9A">
        <w:rPr>
          <w:rFonts w:ascii="Times New Roman" w:hAnsi="Times New Roman"/>
        </w:rPr>
        <w:lastRenderedPageBreak/>
        <w:t xml:space="preserve">Żadna z gmin z obszaru </w:t>
      </w:r>
      <w:r w:rsidR="003D77F1" w:rsidRPr="003D77F1">
        <w:rPr>
          <w:rFonts w:ascii="Times New Roman" w:hAnsi="Times New Roman"/>
          <w:color w:val="FF0000"/>
        </w:rPr>
        <w:t xml:space="preserve">LGD Regionu Myślenickiego </w:t>
      </w:r>
      <w:r w:rsidRPr="003D77F1">
        <w:rPr>
          <w:rFonts w:ascii="Times New Roman" w:hAnsi="Times New Roman"/>
          <w:strike/>
          <w:color w:val="FF0000"/>
        </w:rPr>
        <w:t>LGD Między Dalinem i Gościbią</w:t>
      </w:r>
      <w:r w:rsidRPr="003D77F1">
        <w:rPr>
          <w:rFonts w:ascii="Times New Roman" w:hAnsi="Times New Roman"/>
          <w:color w:val="FF0000"/>
        </w:rPr>
        <w:t xml:space="preserve"> </w:t>
      </w:r>
      <w:r w:rsidRPr="00CE5D9A">
        <w:rPr>
          <w:rFonts w:ascii="Times New Roman" w:hAnsi="Times New Roman"/>
        </w:rPr>
        <w:t xml:space="preserve">nie znalazła się na powyższej liście, co oznacza, że teren obszaru LGD nie jest zagrożony marginalizacją. W pozostałej części powiatu myślenickiego także nie zidentyfikowano gmin zagrożonych trwałą marginalizacją. Na poziomie regionalnym, w </w:t>
      </w:r>
      <w:r w:rsidRPr="00CE5D9A">
        <w:rPr>
          <w:rFonts w:ascii="Times New Roman" w:hAnsi="Times New Roman"/>
          <w:i/>
          <w:iCs/>
        </w:rPr>
        <w:t xml:space="preserve">Strategii Rozwoju Województwa „Małopolska 2030”, </w:t>
      </w:r>
      <w:r w:rsidRPr="00CE5D9A">
        <w:rPr>
          <w:rFonts w:ascii="Times New Roman" w:hAnsi="Times New Roman"/>
        </w:rPr>
        <w:t xml:space="preserve">wyznaczone w KSRR 2030 obszary zagrożone trwałą marginalizacją na terenie województwa małopolskiego określono jako jeden z obszarów strategicznych interwencji: OSI </w:t>
      </w:r>
      <w:r w:rsidRPr="00CE5D9A">
        <w:rPr>
          <w:rFonts w:ascii="Times New Roman" w:hAnsi="Times New Roman"/>
          <w:i/>
          <w:iCs/>
        </w:rPr>
        <w:t>Obszary zagrożone trwałą marginalizacją</w:t>
      </w:r>
      <w:r w:rsidRPr="00CE5D9A">
        <w:rPr>
          <w:rFonts w:ascii="Times New Roman" w:hAnsi="Times New Roman"/>
        </w:rPr>
        <w:t xml:space="preserve">. </w:t>
      </w:r>
    </w:p>
    <w:p w14:paraId="35ECCABE" w14:textId="46DF47E3" w:rsidR="00B95DAC" w:rsidRPr="00CE5D9A" w:rsidRDefault="00686DFE" w:rsidP="0061486F">
      <w:pPr>
        <w:spacing w:before="160" w:after="120" w:line="276" w:lineRule="auto"/>
        <w:ind w:firstLine="709"/>
        <w:jc w:val="both"/>
        <w:rPr>
          <w:rFonts w:ascii="Times New Roman" w:hAnsi="Times New Roman"/>
        </w:rPr>
      </w:pPr>
      <w:r w:rsidRPr="00CE5D9A">
        <w:rPr>
          <w:rFonts w:ascii="Times New Roman" w:hAnsi="Times New Roman"/>
          <w:b/>
          <w:bCs/>
        </w:rPr>
        <w:t xml:space="preserve">Wskaźnik </w:t>
      </w:r>
      <w:r w:rsidRPr="00CE5D9A">
        <w:rPr>
          <w:rFonts w:ascii="Times New Roman" w:hAnsi="Times New Roman"/>
          <w:b/>
          <w:bCs/>
          <w:i/>
          <w:iCs/>
        </w:rPr>
        <w:t xml:space="preserve">zagrożenie trwałą marginalizacją na obszarze LSR </w:t>
      </w:r>
      <w:r w:rsidRPr="00CE5D9A">
        <w:rPr>
          <w:rFonts w:ascii="Times New Roman" w:hAnsi="Times New Roman"/>
          <w:b/>
          <w:bCs/>
        </w:rPr>
        <w:t>za</w:t>
      </w:r>
      <w:r w:rsidRPr="00CE5D9A">
        <w:rPr>
          <w:rFonts w:ascii="Times New Roman" w:hAnsi="Times New Roman"/>
          <w:b/>
          <w:bCs/>
          <w:i/>
          <w:iCs/>
        </w:rPr>
        <w:t xml:space="preserve"> </w:t>
      </w:r>
      <w:r w:rsidRPr="00CE5D9A">
        <w:rPr>
          <w:rFonts w:ascii="Times New Roman" w:hAnsi="Times New Roman"/>
          <w:b/>
          <w:bCs/>
        </w:rPr>
        <w:t>2020 r.: obszar LGD osiąga 0 pkt</w:t>
      </w:r>
      <w:r w:rsidRPr="00CE5D9A">
        <w:rPr>
          <w:rStyle w:val="Odwoanieprzypisudolnego"/>
          <w:rFonts w:ascii="Times New Roman" w:hAnsi="Times New Roman"/>
        </w:rPr>
        <w:footnoteReference w:id="40"/>
      </w:r>
      <w:r w:rsidR="0061486F">
        <w:rPr>
          <w:rFonts w:ascii="Times New Roman" w:hAnsi="Times New Roman"/>
        </w:rPr>
        <w:t>.</w:t>
      </w:r>
    </w:p>
    <w:p w14:paraId="582AB17D" w14:textId="77777777" w:rsidR="00686DFE" w:rsidRPr="00CE5D9A" w:rsidRDefault="00686DFE">
      <w:pPr>
        <w:pStyle w:val="Akapitzlist"/>
        <w:numPr>
          <w:ilvl w:val="0"/>
          <w:numId w:val="14"/>
        </w:numPr>
        <w:spacing w:before="240" w:line="276" w:lineRule="auto"/>
        <w:ind w:left="1134" w:hanging="357"/>
        <w:contextualSpacing w:val="0"/>
        <w:jc w:val="both"/>
        <w:outlineLvl w:val="1"/>
        <w:rPr>
          <w:rFonts w:ascii="Times New Roman" w:hAnsi="Times New Roman"/>
          <w:b/>
          <w:bCs/>
        </w:rPr>
      </w:pPr>
      <w:bookmarkStart w:id="130" w:name="_Toc135647305"/>
      <w:bookmarkStart w:id="131" w:name="_Toc135994834"/>
      <w:r w:rsidRPr="00CE5D9A">
        <w:rPr>
          <w:rFonts w:ascii="Times New Roman" w:hAnsi="Times New Roman"/>
          <w:b/>
          <w:bCs/>
        </w:rPr>
        <w:t>Analiza SWOT</w:t>
      </w:r>
      <w:bookmarkEnd w:id="130"/>
      <w:bookmarkEnd w:id="131"/>
      <w:r w:rsidRPr="00CE5D9A">
        <w:rPr>
          <w:rFonts w:ascii="Times New Roman" w:hAnsi="Times New Roman"/>
          <w:b/>
          <w:bCs/>
        </w:rPr>
        <w:t xml:space="preserve"> </w:t>
      </w:r>
    </w:p>
    <w:p w14:paraId="78E7F9C6" w14:textId="77777777" w:rsidR="00686DFE" w:rsidRPr="00CE5D9A" w:rsidRDefault="00686DFE">
      <w:pPr>
        <w:autoSpaceDE w:val="0"/>
        <w:autoSpaceDN w:val="0"/>
        <w:adjustRightInd w:val="0"/>
        <w:spacing w:after="0" w:line="276" w:lineRule="auto"/>
        <w:ind w:firstLine="708"/>
        <w:jc w:val="both"/>
        <w:rPr>
          <w:rFonts w:ascii="Times New Roman" w:hAnsi="Times New Roman"/>
        </w:rPr>
      </w:pPr>
      <w:r w:rsidRPr="00CE5D9A">
        <w:rPr>
          <w:rFonts w:ascii="Times New Roman" w:hAnsi="Times New Roman"/>
        </w:rPr>
        <w:t xml:space="preserve">Analiza SWOT to jedno z najpopularniejszych i najskuteczniejszych narzędzi analitycznych wykorzystywanych we wszystkich obszarach planowania strategicznego. Jej nazwa pochodzi od akronimów angielskich słów </w:t>
      </w:r>
      <w:r w:rsidRPr="00CE5D9A">
        <w:rPr>
          <w:rFonts w:ascii="Times New Roman" w:hAnsi="Times New Roman"/>
          <w:b/>
          <w:bCs/>
          <w:i/>
          <w:iCs/>
        </w:rPr>
        <w:t>S</w:t>
      </w:r>
      <w:r w:rsidRPr="00CE5D9A">
        <w:rPr>
          <w:rFonts w:ascii="Times New Roman" w:hAnsi="Times New Roman"/>
          <w:i/>
          <w:iCs/>
        </w:rPr>
        <w:t xml:space="preserve">trengths </w:t>
      </w:r>
      <w:r w:rsidRPr="00CE5D9A">
        <w:rPr>
          <w:rFonts w:ascii="Times New Roman" w:hAnsi="Times New Roman"/>
        </w:rPr>
        <w:t xml:space="preserve">(mocne strony), </w:t>
      </w:r>
      <w:r w:rsidRPr="00CE5D9A">
        <w:rPr>
          <w:rFonts w:ascii="Times New Roman" w:hAnsi="Times New Roman"/>
          <w:b/>
          <w:bCs/>
          <w:i/>
          <w:iCs/>
        </w:rPr>
        <w:t>W</w:t>
      </w:r>
      <w:r w:rsidRPr="00CE5D9A">
        <w:rPr>
          <w:rFonts w:ascii="Times New Roman" w:hAnsi="Times New Roman"/>
          <w:i/>
          <w:iCs/>
        </w:rPr>
        <w:t xml:space="preserve">eaknesses </w:t>
      </w:r>
      <w:r w:rsidRPr="00CE5D9A">
        <w:rPr>
          <w:rFonts w:ascii="Times New Roman" w:hAnsi="Times New Roman"/>
        </w:rPr>
        <w:t xml:space="preserve">(słabe strony), </w:t>
      </w:r>
      <w:r w:rsidRPr="00CE5D9A">
        <w:rPr>
          <w:rFonts w:ascii="Times New Roman" w:hAnsi="Times New Roman"/>
          <w:b/>
          <w:bCs/>
          <w:i/>
          <w:iCs/>
        </w:rPr>
        <w:t>O</w:t>
      </w:r>
      <w:r w:rsidRPr="00CE5D9A">
        <w:rPr>
          <w:rFonts w:ascii="Times New Roman" w:hAnsi="Times New Roman"/>
          <w:i/>
          <w:iCs/>
        </w:rPr>
        <w:t xml:space="preserve">pportunities </w:t>
      </w:r>
      <w:r w:rsidRPr="00CE5D9A">
        <w:rPr>
          <w:rFonts w:ascii="Times New Roman" w:hAnsi="Times New Roman"/>
        </w:rPr>
        <w:t xml:space="preserve">(szanse) i </w:t>
      </w:r>
      <w:r w:rsidRPr="00CE5D9A">
        <w:rPr>
          <w:rFonts w:ascii="Times New Roman" w:hAnsi="Times New Roman"/>
          <w:b/>
          <w:bCs/>
          <w:i/>
          <w:iCs/>
        </w:rPr>
        <w:t>T</w:t>
      </w:r>
      <w:r w:rsidRPr="00CE5D9A">
        <w:rPr>
          <w:rFonts w:ascii="Times New Roman" w:hAnsi="Times New Roman"/>
          <w:i/>
          <w:iCs/>
        </w:rPr>
        <w:t xml:space="preserve">hreats </w:t>
      </w:r>
      <w:r w:rsidRPr="00CE5D9A">
        <w:rPr>
          <w:rFonts w:ascii="Times New Roman" w:hAnsi="Times New Roman"/>
        </w:rPr>
        <w:t>(zagrożenia)</w:t>
      </w:r>
      <w:r w:rsidRPr="00CE5D9A">
        <w:rPr>
          <w:rFonts w:ascii="Times New Roman" w:hAnsi="Times New Roman"/>
          <w:i/>
          <w:iCs/>
        </w:rPr>
        <w:t xml:space="preserve">. </w:t>
      </w:r>
      <w:r w:rsidRPr="00CE5D9A">
        <w:rPr>
          <w:rFonts w:ascii="Times New Roman" w:hAnsi="Times New Roman"/>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makrootoczenia). Czynniki wewnętrzne (mocne i słabe strony) są zależne m.in. od władz lokalnych i lokalnej społeczności, natomiast czynniki zewnętrzne (szanse i zagrożenia) należące do otoczenia bliższego i dalszego są niezależne od władz danej jednostki, a także jej mieszkańców. </w:t>
      </w:r>
    </w:p>
    <w:p w14:paraId="76661A4F" w14:textId="5FB581B3" w:rsidR="00686DFE" w:rsidRPr="00CE5D9A" w:rsidRDefault="00686DFE">
      <w:pPr>
        <w:autoSpaceDE w:val="0"/>
        <w:autoSpaceDN w:val="0"/>
        <w:adjustRightInd w:val="0"/>
        <w:spacing w:line="276" w:lineRule="auto"/>
        <w:ind w:firstLine="708"/>
        <w:jc w:val="both"/>
        <w:rPr>
          <w:rFonts w:ascii="Times New Roman" w:hAnsi="Times New Roman"/>
        </w:rPr>
      </w:pPr>
      <w:r w:rsidRPr="00CE5D9A">
        <w:rPr>
          <w:rFonts w:ascii="Times New Roman" w:hAnsi="Times New Roman"/>
        </w:rPr>
        <w:t>Analiza SWOT dla obszaru</w:t>
      </w:r>
      <w:r w:rsidR="003D77F1">
        <w:rPr>
          <w:rFonts w:ascii="Times New Roman" w:hAnsi="Times New Roman"/>
        </w:rPr>
        <w:t xml:space="preserve"> </w:t>
      </w:r>
      <w:r w:rsidR="003D77F1" w:rsidRPr="003D77F1">
        <w:rPr>
          <w:rFonts w:ascii="Times New Roman" w:hAnsi="Times New Roman"/>
          <w:color w:val="FF0000"/>
        </w:rPr>
        <w:t>LGD Regionu Myślenickiego</w:t>
      </w:r>
      <w:r w:rsidRPr="00CE5D9A">
        <w:rPr>
          <w:rFonts w:ascii="Times New Roman" w:hAnsi="Times New Roman"/>
        </w:rPr>
        <w:t xml:space="preserve"> </w:t>
      </w:r>
      <w:r w:rsidRPr="003D77F1">
        <w:rPr>
          <w:rFonts w:ascii="Times New Roman" w:hAnsi="Times New Roman"/>
          <w:strike/>
          <w:color w:val="FF0000"/>
        </w:rPr>
        <w:t>LGD Między Dalinem i Gościbią</w:t>
      </w:r>
      <w:r w:rsidRPr="003D77F1">
        <w:rPr>
          <w:rFonts w:ascii="Times New Roman" w:hAnsi="Times New Roman"/>
          <w:color w:val="FF0000"/>
        </w:rPr>
        <w:t xml:space="preserve"> </w:t>
      </w:r>
      <w:r w:rsidRPr="00CE5D9A">
        <w:rPr>
          <w:rFonts w:ascii="Times New Roman" w:hAnsi="Times New Roman"/>
        </w:rPr>
        <w:t>(tabela 19) została przeprowadzona w oparciu o dostępne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r w:rsidR="00667542" w:rsidRPr="00CE5D9A">
        <w:rPr>
          <w:rFonts w:ascii="Times New Roman" w:hAnsi="Times New Roman"/>
        </w:rPr>
        <w:t xml:space="preserve"> W tabeli 20 przedstawiono powiązanie zidentyfikowanych przyczyn problemu z analizą SWOT.</w:t>
      </w:r>
    </w:p>
    <w:p w14:paraId="460C52CB" w14:textId="2671C39A" w:rsidR="00686DFE" w:rsidRPr="00CE5D9A" w:rsidRDefault="00686DFE">
      <w:pPr>
        <w:pStyle w:val="Legenda"/>
        <w:spacing w:after="0" w:line="276" w:lineRule="auto"/>
        <w:ind w:left="360"/>
        <w:jc w:val="center"/>
        <w:rPr>
          <w:rFonts w:ascii="Times New Roman" w:hAnsi="Times New Roman"/>
          <w:b/>
          <w:bCs/>
          <w:i w:val="0"/>
          <w:iCs w:val="0"/>
          <w:color w:val="auto"/>
          <w:sz w:val="22"/>
          <w:szCs w:val="22"/>
        </w:rPr>
      </w:pPr>
      <w:bookmarkStart w:id="132" w:name="_Toc112152419"/>
      <w:bookmarkStart w:id="133" w:name="_Toc194581442"/>
      <w:r w:rsidRPr="00CE5D9A">
        <w:rPr>
          <w:rFonts w:ascii="Times New Roman" w:hAnsi="Times New Roman"/>
          <w:b/>
          <w:bCs/>
          <w:i w:val="0"/>
          <w:iCs w:val="0"/>
          <w:color w:val="auto"/>
          <w:sz w:val="22"/>
          <w:szCs w:val="22"/>
        </w:rPr>
        <w:t xml:space="preserve">Tabela </w:t>
      </w:r>
      <w:r w:rsidRPr="00CE5D9A">
        <w:rPr>
          <w:rFonts w:ascii="Times New Roman" w:hAnsi="Times New Roman"/>
          <w:b/>
          <w:bCs/>
          <w:i w:val="0"/>
          <w:iCs w:val="0"/>
          <w:color w:val="auto"/>
          <w:sz w:val="22"/>
          <w:szCs w:val="22"/>
        </w:rPr>
        <w:fldChar w:fldCharType="begin"/>
      </w:r>
      <w:r w:rsidRPr="00CE5D9A">
        <w:rPr>
          <w:rFonts w:ascii="Times New Roman" w:hAnsi="Times New Roman"/>
          <w:b/>
          <w:bCs/>
          <w:i w:val="0"/>
          <w:iCs w:val="0"/>
          <w:color w:val="auto"/>
          <w:sz w:val="22"/>
          <w:szCs w:val="22"/>
        </w:rPr>
        <w:instrText xml:space="preserve"> SEQ Tabela \* ARABIC </w:instrText>
      </w:r>
      <w:r w:rsidRPr="00CE5D9A">
        <w:rPr>
          <w:rFonts w:ascii="Times New Roman" w:hAnsi="Times New Roman"/>
          <w:b/>
          <w:bCs/>
          <w:i w:val="0"/>
          <w:iCs w:val="0"/>
          <w:color w:val="auto"/>
          <w:sz w:val="22"/>
          <w:szCs w:val="22"/>
        </w:rPr>
        <w:fldChar w:fldCharType="separate"/>
      </w:r>
      <w:r w:rsidR="00AD7096">
        <w:rPr>
          <w:rFonts w:ascii="Times New Roman" w:hAnsi="Times New Roman"/>
          <w:b/>
          <w:bCs/>
          <w:i w:val="0"/>
          <w:iCs w:val="0"/>
          <w:noProof/>
          <w:color w:val="auto"/>
          <w:sz w:val="22"/>
          <w:szCs w:val="22"/>
        </w:rPr>
        <w:t>18</w:t>
      </w:r>
      <w:r w:rsidRPr="00CE5D9A">
        <w:rPr>
          <w:rFonts w:ascii="Times New Roman" w:hAnsi="Times New Roman"/>
          <w:b/>
          <w:bCs/>
          <w:i w:val="0"/>
          <w:iCs w:val="0"/>
          <w:color w:val="auto"/>
          <w:sz w:val="22"/>
          <w:szCs w:val="22"/>
        </w:rPr>
        <w:fldChar w:fldCharType="end"/>
      </w:r>
      <w:r w:rsidRPr="00CE5D9A">
        <w:rPr>
          <w:rFonts w:ascii="Times New Roman" w:hAnsi="Times New Roman"/>
          <w:b/>
          <w:bCs/>
          <w:i w:val="0"/>
          <w:iCs w:val="0"/>
          <w:color w:val="auto"/>
          <w:sz w:val="22"/>
          <w:szCs w:val="22"/>
        </w:rPr>
        <w:t xml:space="preserve"> Schemat analizy SWOT</w:t>
      </w:r>
      <w:bookmarkEnd w:id="132"/>
      <w:bookmarkEnd w:id="133"/>
    </w:p>
    <w:p w14:paraId="61D10698" w14:textId="77777777" w:rsidR="00686DFE" w:rsidRPr="00CE5D9A" w:rsidRDefault="005F245B">
      <w:pPr>
        <w:pStyle w:val="Akapitzlist"/>
        <w:spacing w:after="0"/>
        <w:ind w:left="0"/>
        <w:jc w:val="center"/>
      </w:pPr>
      <w:r w:rsidRPr="00CE5D9A">
        <w:rPr>
          <w:noProof/>
          <w:lang w:eastAsia="pl-PL"/>
        </w:rPr>
        <w:drawing>
          <wp:inline distT="0" distB="0" distL="0" distR="0" wp14:anchorId="3C33853C" wp14:editId="1F8B2019">
            <wp:extent cx="5684520" cy="868680"/>
            <wp:effectExtent l="0" t="0" r="0" b="7620"/>
            <wp:docPr id="24"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pic:cNvPicPr>
                      <a:picLocks noChangeAspect="1" noChangeArrowheads="1"/>
                    </pic:cNvPicPr>
                  </pic:nvPicPr>
                  <pic:blipFill>
                    <a:blip r:embed="rId25">
                      <a:extLst>
                        <a:ext uri="{28A0092B-C50C-407E-A947-70E740481C1C}">
                          <a14:useLocalDpi xmlns:a14="http://schemas.microsoft.com/office/drawing/2010/main" val="0"/>
                        </a:ext>
                      </a:extLst>
                    </a:blip>
                    <a:srcRect t="4082" r="1047"/>
                    <a:stretch>
                      <a:fillRect/>
                    </a:stretch>
                  </pic:blipFill>
                  <pic:spPr bwMode="auto">
                    <a:xfrm>
                      <a:off x="0" y="0"/>
                      <a:ext cx="5684520" cy="868680"/>
                    </a:xfrm>
                    <a:prstGeom prst="rect">
                      <a:avLst/>
                    </a:prstGeom>
                    <a:noFill/>
                    <a:ln>
                      <a:noFill/>
                    </a:ln>
                  </pic:spPr>
                </pic:pic>
              </a:graphicData>
            </a:graphic>
          </wp:inline>
        </w:drawing>
      </w:r>
    </w:p>
    <w:p w14:paraId="2AF6CEAF" w14:textId="77777777" w:rsidR="00686DFE" w:rsidRPr="00CE5D9A" w:rsidRDefault="00686DFE">
      <w:pPr>
        <w:pStyle w:val="Akapitzlist"/>
        <w:ind w:left="360"/>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5963E4C4" w14:textId="2DB61616" w:rsidR="00686DFE" w:rsidRPr="00CE5D9A" w:rsidRDefault="00686DFE">
      <w:pPr>
        <w:pStyle w:val="Legenda"/>
        <w:spacing w:after="0"/>
        <w:jc w:val="center"/>
        <w:rPr>
          <w:rFonts w:ascii="Times New Roman" w:hAnsi="Times New Roman"/>
          <w:b/>
          <w:bCs/>
          <w:i w:val="0"/>
          <w:iCs w:val="0"/>
          <w:color w:val="auto"/>
          <w:sz w:val="20"/>
          <w:szCs w:val="20"/>
        </w:rPr>
      </w:pPr>
      <w:bookmarkStart w:id="134" w:name="_Toc112152420"/>
      <w:bookmarkStart w:id="135" w:name="_Toc194581443"/>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19</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Analiza SWOT</w:t>
      </w:r>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5210"/>
      </w:tblGrid>
      <w:tr w:rsidR="00686DFE" w:rsidRPr="00CE5D9A" w14:paraId="315E2E1A" w14:textId="77777777" w:rsidTr="00302FFB">
        <w:trPr>
          <w:trHeight w:val="397"/>
        </w:trPr>
        <w:tc>
          <w:tcPr>
            <w:tcW w:w="5210" w:type="dxa"/>
            <w:shd w:val="clear" w:color="auto" w:fill="auto"/>
            <w:vAlign w:val="center"/>
          </w:tcPr>
          <w:p w14:paraId="684C2132"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MOCNE STRONY</w:t>
            </w:r>
          </w:p>
        </w:tc>
        <w:tc>
          <w:tcPr>
            <w:tcW w:w="5210" w:type="dxa"/>
            <w:shd w:val="clear" w:color="auto" w:fill="auto"/>
            <w:vAlign w:val="center"/>
          </w:tcPr>
          <w:p w14:paraId="4BA26DE1"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SŁABE STRONY</w:t>
            </w:r>
          </w:p>
        </w:tc>
      </w:tr>
      <w:tr w:rsidR="00686DFE" w:rsidRPr="00CE5D9A" w14:paraId="01466A06" w14:textId="77777777" w:rsidTr="00302FFB">
        <w:trPr>
          <w:trHeight w:val="397"/>
        </w:trPr>
        <w:tc>
          <w:tcPr>
            <w:tcW w:w="5210" w:type="dxa"/>
            <w:shd w:val="clear" w:color="auto" w:fill="auto"/>
          </w:tcPr>
          <w:p w14:paraId="051B5B5D"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Stale rosnąca liczba ludności obszaru LGD.</w:t>
            </w:r>
          </w:p>
        </w:tc>
        <w:tc>
          <w:tcPr>
            <w:tcW w:w="5210" w:type="dxa"/>
            <w:shd w:val="clear" w:color="auto" w:fill="auto"/>
          </w:tcPr>
          <w:p w14:paraId="058CAFF1"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 xml:space="preserve">Malejąca wartość przyrostu naturalnego mogąca </w:t>
            </w:r>
            <w:r w:rsidRPr="00CE5D9A">
              <w:rPr>
                <w:rFonts w:ascii="Times New Roman" w:hAnsi="Times New Roman"/>
                <w:sz w:val="20"/>
                <w:szCs w:val="20"/>
              </w:rPr>
              <w:br/>
              <w:t>w przyszłości negatywnie wpłynąć na kształtowanie się struktury ludności obszaru.</w:t>
            </w:r>
          </w:p>
        </w:tc>
      </w:tr>
      <w:tr w:rsidR="00686DFE" w:rsidRPr="00CE5D9A" w14:paraId="2850C375" w14:textId="77777777" w:rsidTr="00302FFB">
        <w:trPr>
          <w:trHeight w:val="397"/>
        </w:trPr>
        <w:tc>
          <w:tcPr>
            <w:tcW w:w="5210" w:type="dxa"/>
            <w:shd w:val="clear" w:color="auto" w:fill="auto"/>
          </w:tcPr>
          <w:p w14:paraId="055E27DF"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eastAsia="Times New Roman" w:hAnsi="Times New Roman"/>
                <w:sz w:val="20"/>
                <w:szCs w:val="20"/>
                <w:lang w:eastAsia="pl-PL"/>
              </w:rPr>
              <w:t xml:space="preserve">Dodatnie saldo migracji – wyższe w porównaniu </w:t>
            </w:r>
            <w:r w:rsidRPr="00CE5D9A">
              <w:rPr>
                <w:rFonts w:ascii="Times New Roman" w:eastAsia="Times New Roman" w:hAnsi="Times New Roman"/>
                <w:sz w:val="20"/>
                <w:szCs w:val="20"/>
                <w:lang w:eastAsia="pl-PL"/>
              </w:rPr>
              <w:br/>
              <w:t>z wynikiem kraju.</w:t>
            </w:r>
          </w:p>
        </w:tc>
        <w:tc>
          <w:tcPr>
            <w:tcW w:w="5210" w:type="dxa"/>
            <w:shd w:val="clear" w:color="auto" w:fill="auto"/>
          </w:tcPr>
          <w:p w14:paraId="082C58A1"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Niski poziom przedsiębiorczości mieszkańców – niewystarczająca liczba istniejących i nowo rejestrowanych podmiotów gospodarczych.</w:t>
            </w:r>
          </w:p>
        </w:tc>
      </w:tr>
      <w:tr w:rsidR="00686DFE" w:rsidRPr="00CE5D9A" w14:paraId="5809F9FB" w14:textId="77777777" w:rsidTr="00302FFB">
        <w:trPr>
          <w:trHeight w:val="397"/>
        </w:trPr>
        <w:tc>
          <w:tcPr>
            <w:tcW w:w="5210" w:type="dxa"/>
            <w:shd w:val="clear" w:color="auto" w:fill="auto"/>
          </w:tcPr>
          <w:p w14:paraId="3D672518"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eastAsia="Times New Roman" w:hAnsi="Times New Roman"/>
                <w:sz w:val="20"/>
                <w:szCs w:val="20"/>
                <w:lang w:eastAsia="pl-PL"/>
              </w:rPr>
              <w:t>Wzrastająca liczba wydanych pozwoleń na budowę – dużo wyższa w porównaniu do województwa i kraju.</w:t>
            </w:r>
          </w:p>
        </w:tc>
        <w:tc>
          <w:tcPr>
            <w:tcW w:w="5210" w:type="dxa"/>
            <w:shd w:val="clear" w:color="auto" w:fill="auto"/>
          </w:tcPr>
          <w:p w14:paraId="3906E19C" w14:textId="25DC2A8D"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Brak przedsiębiorstw społecznych i słabo rozwinięta ekonomia społeczna oraz słaba konsolidacja i współdziałanie sektora pozarządowego.</w:t>
            </w:r>
          </w:p>
        </w:tc>
      </w:tr>
      <w:tr w:rsidR="00686DFE" w:rsidRPr="00CE5D9A" w14:paraId="698CBFD9" w14:textId="77777777" w:rsidTr="00302FFB">
        <w:trPr>
          <w:trHeight w:val="397"/>
        </w:trPr>
        <w:tc>
          <w:tcPr>
            <w:tcW w:w="5210" w:type="dxa"/>
            <w:shd w:val="clear" w:color="auto" w:fill="auto"/>
          </w:tcPr>
          <w:p w14:paraId="11C809FF"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 xml:space="preserve">Korzystna sytuacja na rynku pracy – niższy niż </w:t>
            </w:r>
            <w:r w:rsidRPr="00CE5D9A">
              <w:rPr>
                <w:rFonts w:ascii="Times New Roman" w:hAnsi="Times New Roman"/>
                <w:sz w:val="20"/>
                <w:szCs w:val="20"/>
              </w:rPr>
              <w:br/>
              <w:t>w województwie i kraju poziom bezrobocia oraz spadek poziomu bezrobocia długoterminowego w 2021 r. stosunku do roku 2016.</w:t>
            </w:r>
          </w:p>
        </w:tc>
        <w:tc>
          <w:tcPr>
            <w:tcW w:w="5210" w:type="dxa"/>
            <w:shd w:val="clear" w:color="auto" w:fill="auto"/>
          </w:tcPr>
          <w:p w14:paraId="4234401F" w14:textId="112DCDF5"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Niedostateczna aktywność mieszkańców w organizacjach pozarządowych – niższa od średniej w województwie i kraju liczba organizacji pozarządowych w przeliczeniu na 10 tys. mieszkańców.</w:t>
            </w:r>
          </w:p>
        </w:tc>
      </w:tr>
      <w:tr w:rsidR="00686DFE" w:rsidRPr="00CE5D9A" w14:paraId="36A26923" w14:textId="77777777" w:rsidTr="00302FFB">
        <w:trPr>
          <w:trHeight w:val="397"/>
        </w:trPr>
        <w:tc>
          <w:tcPr>
            <w:tcW w:w="5210" w:type="dxa"/>
            <w:shd w:val="clear" w:color="auto" w:fill="auto"/>
          </w:tcPr>
          <w:p w14:paraId="57A8D8D3"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lastRenderedPageBreak/>
              <w:t>Niższy niż w kraju i województwie udział osób korzystających ze środowiskowej pomocy społecznej.</w:t>
            </w:r>
          </w:p>
        </w:tc>
        <w:tc>
          <w:tcPr>
            <w:tcW w:w="5210" w:type="dxa"/>
            <w:shd w:val="clear" w:color="auto" w:fill="auto"/>
          </w:tcPr>
          <w:p w14:paraId="0392ED33"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 xml:space="preserve">Średni udział w podatkach stanowiących dochody budżetu państwa – podatek dochodowy od osób fizycznych i od osób prawnych niższy niż średnia </w:t>
            </w:r>
            <w:r w:rsidRPr="00CE5D9A">
              <w:rPr>
                <w:rFonts w:ascii="Times New Roman" w:hAnsi="Times New Roman"/>
                <w:sz w:val="20"/>
                <w:szCs w:val="20"/>
              </w:rPr>
              <w:br/>
              <w:t>w województwie i kraju.</w:t>
            </w:r>
          </w:p>
        </w:tc>
      </w:tr>
      <w:tr w:rsidR="00686DFE" w:rsidRPr="00CE5D9A" w14:paraId="25285355" w14:textId="77777777" w:rsidTr="00302FFB">
        <w:trPr>
          <w:trHeight w:val="397"/>
        </w:trPr>
        <w:tc>
          <w:tcPr>
            <w:tcW w:w="5210" w:type="dxa"/>
            <w:shd w:val="clear" w:color="auto" w:fill="auto"/>
          </w:tcPr>
          <w:p w14:paraId="0FA8329E"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Korzystna sytuacja w zakresie opieki nad dziećmi do lat 3 – wzrost liczby podmiotów świadczących tego typu usługi.</w:t>
            </w:r>
          </w:p>
        </w:tc>
        <w:tc>
          <w:tcPr>
            <w:tcW w:w="5210" w:type="dxa"/>
            <w:shd w:val="clear" w:color="auto" w:fill="auto"/>
          </w:tcPr>
          <w:p w14:paraId="42AA9524"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 xml:space="preserve">Niższy niż w kraju i województwie udział osób </w:t>
            </w:r>
            <w:r w:rsidRPr="00CE5D9A">
              <w:rPr>
                <w:rFonts w:ascii="Times New Roman" w:hAnsi="Times New Roman"/>
                <w:sz w:val="20"/>
                <w:szCs w:val="20"/>
              </w:rPr>
              <w:br/>
              <w:t xml:space="preserve">z dostępem do sieci wodociągowej, kanalizacyjnej </w:t>
            </w:r>
            <w:r w:rsidRPr="00CE5D9A">
              <w:rPr>
                <w:rFonts w:ascii="Times New Roman" w:hAnsi="Times New Roman"/>
                <w:sz w:val="20"/>
                <w:szCs w:val="20"/>
              </w:rPr>
              <w:br/>
              <w:t>i gazowej.</w:t>
            </w:r>
          </w:p>
        </w:tc>
      </w:tr>
      <w:tr w:rsidR="00686DFE" w:rsidRPr="00CE5D9A" w14:paraId="03831121" w14:textId="77777777" w:rsidTr="00302FFB">
        <w:trPr>
          <w:trHeight w:val="397"/>
        </w:trPr>
        <w:tc>
          <w:tcPr>
            <w:tcW w:w="5210" w:type="dxa"/>
            <w:shd w:val="clear" w:color="auto" w:fill="auto"/>
          </w:tcPr>
          <w:p w14:paraId="1711A1C6"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Wysoki poziom pokrycia powierzchni obszaru miejscowymi planami zagospodarowania przestrzennego.</w:t>
            </w:r>
          </w:p>
        </w:tc>
        <w:tc>
          <w:tcPr>
            <w:tcW w:w="5210" w:type="dxa"/>
            <w:shd w:val="clear" w:color="auto" w:fill="auto"/>
          </w:tcPr>
          <w:p w14:paraId="1A77DDC2"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Niski i malejący współczynnik skolaryzacji, świadczący o tym, że część mieszkańców realizuje obowiązek szkolny poza obszarem.</w:t>
            </w:r>
          </w:p>
        </w:tc>
      </w:tr>
      <w:tr w:rsidR="00686DFE" w:rsidRPr="00CE5D9A" w14:paraId="6E2C3C3E" w14:textId="77777777" w:rsidTr="00302FFB">
        <w:trPr>
          <w:trHeight w:val="397"/>
        </w:trPr>
        <w:tc>
          <w:tcPr>
            <w:tcW w:w="5210" w:type="dxa"/>
            <w:shd w:val="clear" w:color="auto" w:fill="auto"/>
          </w:tcPr>
          <w:p w14:paraId="5634D490"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Unikatowe walory przyrodniczo-krajobrazowe i czyste środowisko naturalne, w tym występowanie form ochrony przyrody.</w:t>
            </w:r>
          </w:p>
        </w:tc>
        <w:tc>
          <w:tcPr>
            <w:tcW w:w="5210" w:type="dxa"/>
            <w:shd w:val="clear" w:color="auto" w:fill="auto"/>
          </w:tcPr>
          <w:p w14:paraId="43CB6D48"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Duże rozdrobnienie gospodarstw rolnych.</w:t>
            </w:r>
          </w:p>
        </w:tc>
      </w:tr>
      <w:tr w:rsidR="00686DFE" w:rsidRPr="00CE5D9A" w14:paraId="25E3828E" w14:textId="77777777" w:rsidTr="00302FFB">
        <w:trPr>
          <w:trHeight w:val="397"/>
        </w:trPr>
        <w:tc>
          <w:tcPr>
            <w:tcW w:w="5210" w:type="dxa"/>
            <w:shd w:val="clear" w:color="auto" w:fill="auto"/>
          </w:tcPr>
          <w:p w14:paraId="3210159A"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Ciekawa historia i dziedzictwo kulturowe obszaru.</w:t>
            </w:r>
          </w:p>
        </w:tc>
        <w:tc>
          <w:tcPr>
            <w:tcW w:w="5210" w:type="dxa"/>
            <w:shd w:val="clear" w:color="auto" w:fill="auto"/>
          </w:tcPr>
          <w:p w14:paraId="2E19912F"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Niewystarczająca ilość miejsc przystosowanych do potrzeb osób z niepełnosprawnościami, w tym dzieci.</w:t>
            </w:r>
          </w:p>
        </w:tc>
      </w:tr>
      <w:tr w:rsidR="00686DFE" w:rsidRPr="00CE5D9A" w14:paraId="755FAB9A" w14:textId="77777777" w:rsidTr="00302FFB">
        <w:trPr>
          <w:trHeight w:val="397"/>
        </w:trPr>
        <w:tc>
          <w:tcPr>
            <w:tcW w:w="5210" w:type="dxa"/>
            <w:shd w:val="clear" w:color="auto" w:fill="auto"/>
          </w:tcPr>
          <w:p w14:paraId="24144A32" w14:textId="77777777" w:rsidR="00686DFE" w:rsidRPr="00CE5D9A" w:rsidRDefault="00686DFE" w:rsidP="00ED6C99">
            <w:pPr>
              <w:pStyle w:val="Akapitzlist"/>
              <w:numPr>
                <w:ilvl w:val="0"/>
                <w:numId w:val="25"/>
              </w:numPr>
              <w:spacing w:after="0" w:line="276" w:lineRule="auto"/>
              <w:ind w:left="318"/>
              <w:rPr>
                <w:rFonts w:ascii="Times New Roman" w:hAnsi="Times New Roman"/>
                <w:sz w:val="20"/>
                <w:szCs w:val="20"/>
              </w:rPr>
            </w:pPr>
            <w:r w:rsidRPr="00CE5D9A">
              <w:rPr>
                <w:rFonts w:ascii="Times New Roman" w:hAnsi="Times New Roman"/>
                <w:sz w:val="20"/>
                <w:szCs w:val="20"/>
              </w:rPr>
              <w:t xml:space="preserve">Rozwinięta infrastruktura turystyczna m.in. do uprawiania sportów zimowych. </w:t>
            </w:r>
          </w:p>
        </w:tc>
        <w:tc>
          <w:tcPr>
            <w:tcW w:w="5210" w:type="dxa"/>
            <w:shd w:val="clear" w:color="auto" w:fill="auto"/>
          </w:tcPr>
          <w:p w14:paraId="396F1404" w14:textId="77777777" w:rsidR="00686DFE" w:rsidRPr="00CE5D9A" w:rsidRDefault="00686DFE" w:rsidP="00ED6C99">
            <w:pPr>
              <w:pStyle w:val="Akapitzlist"/>
              <w:numPr>
                <w:ilvl w:val="0"/>
                <w:numId w:val="26"/>
              </w:numPr>
              <w:spacing w:after="0" w:line="276" w:lineRule="auto"/>
              <w:ind w:left="318"/>
              <w:rPr>
                <w:rFonts w:ascii="Times New Roman" w:hAnsi="Times New Roman"/>
                <w:sz w:val="20"/>
                <w:szCs w:val="20"/>
              </w:rPr>
            </w:pPr>
            <w:r w:rsidRPr="00CE5D9A">
              <w:rPr>
                <w:rFonts w:ascii="Times New Roman" w:hAnsi="Times New Roman"/>
                <w:sz w:val="20"/>
                <w:szCs w:val="20"/>
              </w:rPr>
              <w:t>Niezadowalający poziom dostępności usług medycznych.</w:t>
            </w:r>
          </w:p>
        </w:tc>
      </w:tr>
      <w:tr w:rsidR="00686DFE" w:rsidRPr="00CE5D9A" w14:paraId="7C94483F" w14:textId="77777777" w:rsidTr="00302FFB">
        <w:trPr>
          <w:trHeight w:val="397"/>
        </w:trPr>
        <w:tc>
          <w:tcPr>
            <w:tcW w:w="5210" w:type="dxa"/>
            <w:shd w:val="clear" w:color="auto" w:fill="auto"/>
            <w:vAlign w:val="center"/>
          </w:tcPr>
          <w:p w14:paraId="72471E17"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SZANSE</w:t>
            </w:r>
          </w:p>
        </w:tc>
        <w:tc>
          <w:tcPr>
            <w:tcW w:w="5210" w:type="dxa"/>
            <w:shd w:val="clear" w:color="auto" w:fill="auto"/>
            <w:vAlign w:val="center"/>
          </w:tcPr>
          <w:p w14:paraId="2D5A4EF8"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ZAGROŻENIA</w:t>
            </w:r>
          </w:p>
        </w:tc>
      </w:tr>
      <w:tr w:rsidR="00686DFE" w:rsidRPr="00CE5D9A" w14:paraId="74FE8527" w14:textId="77777777" w:rsidTr="00302FFB">
        <w:trPr>
          <w:trHeight w:val="397"/>
        </w:trPr>
        <w:tc>
          <w:tcPr>
            <w:tcW w:w="5210" w:type="dxa"/>
            <w:shd w:val="clear" w:color="auto" w:fill="auto"/>
          </w:tcPr>
          <w:p w14:paraId="5FA49604"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Członkostwo Polski w Unii Europejskiej.</w:t>
            </w:r>
          </w:p>
        </w:tc>
        <w:tc>
          <w:tcPr>
            <w:tcW w:w="5210" w:type="dxa"/>
            <w:shd w:val="clear" w:color="auto" w:fill="auto"/>
          </w:tcPr>
          <w:p w14:paraId="481BFE7B"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Zmiany klimatu.</w:t>
            </w:r>
          </w:p>
        </w:tc>
      </w:tr>
      <w:tr w:rsidR="00686DFE" w:rsidRPr="00CE5D9A" w14:paraId="22B06ABF" w14:textId="77777777" w:rsidTr="00302FFB">
        <w:trPr>
          <w:trHeight w:val="397"/>
        </w:trPr>
        <w:tc>
          <w:tcPr>
            <w:tcW w:w="5210" w:type="dxa"/>
            <w:shd w:val="clear" w:color="auto" w:fill="auto"/>
          </w:tcPr>
          <w:p w14:paraId="63472C84"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Cyfryzacja życia codziennego.</w:t>
            </w:r>
          </w:p>
        </w:tc>
        <w:tc>
          <w:tcPr>
            <w:tcW w:w="5210" w:type="dxa"/>
            <w:shd w:val="clear" w:color="auto" w:fill="auto"/>
          </w:tcPr>
          <w:p w14:paraId="3C83ADD4"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Emigracja mieszkańców Polski.</w:t>
            </w:r>
          </w:p>
        </w:tc>
      </w:tr>
      <w:tr w:rsidR="00686DFE" w:rsidRPr="00CE5D9A" w14:paraId="2D98D765" w14:textId="77777777" w:rsidTr="00302FFB">
        <w:trPr>
          <w:trHeight w:val="397"/>
        </w:trPr>
        <w:tc>
          <w:tcPr>
            <w:tcW w:w="5210" w:type="dxa"/>
            <w:shd w:val="clear" w:color="auto" w:fill="auto"/>
          </w:tcPr>
          <w:p w14:paraId="64FBD4DC"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Wzrost świadomości obywatelskiej, w tym poczucia tożsamości i identyfikacji z miejscem zamieszkania.</w:t>
            </w:r>
          </w:p>
        </w:tc>
        <w:tc>
          <w:tcPr>
            <w:tcW w:w="5210" w:type="dxa"/>
            <w:shd w:val="clear" w:color="auto" w:fill="auto"/>
          </w:tcPr>
          <w:p w14:paraId="2C21F3F5"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Spadek zainteresowania turystyką poprzez brak możliwości ekonomicznych.</w:t>
            </w:r>
          </w:p>
        </w:tc>
      </w:tr>
      <w:tr w:rsidR="00686DFE" w:rsidRPr="00CE5D9A" w14:paraId="1608519B" w14:textId="77777777" w:rsidTr="00302FFB">
        <w:trPr>
          <w:trHeight w:val="397"/>
        </w:trPr>
        <w:tc>
          <w:tcPr>
            <w:tcW w:w="5210" w:type="dxa"/>
            <w:shd w:val="clear" w:color="auto" w:fill="auto"/>
          </w:tcPr>
          <w:p w14:paraId="5B8C0BEA"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Wzrost średniej długości życia.</w:t>
            </w:r>
          </w:p>
        </w:tc>
        <w:tc>
          <w:tcPr>
            <w:tcW w:w="5210" w:type="dxa"/>
            <w:shd w:val="clear" w:color="auto" w:fill="auto"/>
          </w:tcPr>
          <w:p w14:paraId="26B20220"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Atrakcyjność gospodarcza sąsiednich regionów.</w:t>
            </w:r>
          </w:p>
        </w:tc>
      </w:tr>
      <w:tr w:rsidR="00686DFE" w:rsidRPr="00CE5D9A" w14:paraId="2FDB1B6A" w14:textId="77777777" w:rsidTr="00302FFB">
        <w:trPr>
          <w:trHeight w:val="397"/>
        </w:trPr>
        <w:tc>
          <w:tcPr>
            <w:tcW w:w="5210" w:type="dxa"/>
            <w:shd w:val="clear" w:color="auto" w:fill="auto"/>
          </w:tcPr>
          <w:p w14:paraId="582F61D4"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Moda na migracje z większych miast na wieś.</w:t>
            </w:r>
          </w:p>
        </w:tc>
        <w:tc>
          <w:tcPr>
            <w:tcW w:w="5210" w:type="dxa"/>
            <w:shd w:val="clear" w:color="auto" w:fill="auto"/>
          </w:tcPr>
          <w:p w14:paraId="2CC8D689"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 xml:space="preserve">Konsekwencje społeczne i gospodarcze związane </w:t>
            </w:r>
            <w:r w:rsidRPr="00CE5D9A">
              <w:rPr>
                <w:rFonts w:ascii="Times New Roman" w:hAnsi="Times New Roman"/>
                <w:sz w:val="20"/>
                <w:szCs w:val="20"/>
              </w:rPr>
              <w:br/>
              <w:t xml:space="preserve">z występowaniem pandemii COVID-19, wojny </w:t>
            </w:r>
            <w:r w:rsidRPr="00CE5D9A">
              <w:rPr>
                <w:rFonts w:ascii="Times New Roman" w:hAnsi="Times New Roman"/>
                <w:sz w:val="20"/>
                <w:szCs w:val="20"/>
              </w:rPr>
              <w:br/>
              <w:t>w Ukrainie i ewentualnych innych nieprzewidzianych wydarzeń.</w:t>
            </w:r>
          </w:p>
        </w:tc>
      </w:tr>
      <w:tr w:rsidR="00686DFE" w:rsidRPr="00CE5D9A" w14:paraId="1B092E4B" w14:textId="77777777" w:rsidTr="00302FFB">
        <w:trPr>
          <w:trHeight w:val="397"/>
        </w:trPr>
        <w:tc>
          <w:tcPr>
            <w:tcW w:w="5210" w:type="dxa"/>
            <w:shd w:val="clear" w:color="auto" w:fill="auto"/>
          </w:tcPr>
          <w:p w14:paraId="03B77C97"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Popularyzacja aktywnej formy spędzania czasu wolnego i rozwój turystyki krajowej.</w:t>
            </w:r>
          </w:p>
        </w:tc>
        <w:tc>
          <w:tcPr>
            <w:tcW w:w="5210" w:type="dxa"/>
            <w:shd w:val="clear" w:color="auto" w:fill="auto"/>
          </w:tcPr>
          <w:p w14:paraId="3133607B"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Wykluczenie cyfrowe.</w:t>
            </w:r>
          </w:p>
        </w:tc>
      </w:tr>
      <w:tr w:rsidR="00686DFE" w:rsidRPr="00CE5D9A" w14:paraId="3169D5D5" w14:textId="77777777" w:rsidTr="00302FFB">
        <w:trPr>
          <w:trHeight w:val="397"/>
        </w:trPr>
        <w:tc>
          <w:tcPr>
            <w:tcW w:w="5210" w:type="dxa"/>
            <w:shd w:val="clear" w:color="auto" w:fill="auto"/>
          </w:tcPr>
          <w:p w14:paraId="4A41C465"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Wzrost zainteresowania środowiskiem naturalnym, bogactwem obszarów przyrodniczych w Polsce.</w:t>
            </w:r>
          </w:p>
        </w:tc>
        <w:tc>
          <w:tcPr>
            <w:tcW w:w="5210" w:type="dxa"/>
            <w:shd w:val="clear" w:color="auto" w:fill="auto"/>
          </w:tcPr>
          <w:p w14:paraId="581825AA" w14:textId="77777777" w:rsidR="00686DFE" w:rsidRPr="00CE5D9A" w:rsidRDefault="00686DFE" w:rsidP="00ED6C99">
            <w:pPr>
              <w:pStyle w:val="Akapitzlist"/>
              <w:numPr>
                <w:ilvl w:val="0"/>
                <w:numId w:val="28"/>
              </w:numPr>
              <w:spacing w:after="0" w:line="276" w:lineRule="auto"/>
              <w:ind w:left="325"/>
              <w:rPr>
                <w:rFonts w:ascii="Times New Roman" w:hAnsi="Times New Roman"/>
                <w:sz w:val="20"/>
                <w:szCs w:val="20"/>
              </w:rPr>
            </w:pPr>
            <w:r w:rsidRPr="00CE5D9A">
              <w:rPr>
                <w:rFonts w:ascii="Times New Roman" w:hAnsi="Times New Roman"/>
                <w:sz w:val="20"/>
                <w:szCs w:val="20"/>
              </w:rPr>
              <w:t>Wzrost kosztów życia mieszkańców obszaru.</w:t>
            </w:r>
          </w:p>
        </w:tc>
      </w:tr>
      <w:tr w:rsidR="00686DFE" w:rsidRPr="00CE5D9A" w14:paraId="1B80A93A" w14:textId="77777777" w:rsidTr="00302FFB">
        <w:trPr>
          <w:trHeight w:val="397"/>
        </w:trPr>
        <w:tc>
          <w:tcPr>
            <w:tcW w:w="5210" w:type="dxa"/>
            <w:shd w:val="clear" w:color="auto" w:fill="auto"/>
          </w:tcPr>
          <w:p w14:paraId="443D1582" w14:textId="77777777" w:rsidR="00686DFE" w:rsidRPr="00CE5D9A" w:rsidRDefault="00686DFE" w:rsidP="00ED6C99">
            <w:pPr>
              <w:pStyle w:val="Akapitzlist"/>
              <w:numPr>
                <w:ilvl w:val="0"/>
                <w:numId w:val="27"/>
              </w:numPr>
              <w:spacing w:after="0" w:line="276" w:lineRule="auto"/>
              <w:ind w:left="306"/>
              <w:rPr>
                <w:rFonts w:ascii="Times New Roman" w:hAnsi="Times New Roman"/>
                <w:sz w:val="20"/>
                <w:szCs w:val="20"/>
              </w:rPr>
            </w:pPr>
            <w:r w:rsidRPr="00CE5D9A">
              <w:rPr>
                <w:rFonts w:ascii="Times New Roman" w:hAnsi="Times New Roman"/>
                <w:sz w:val="20"/>
                <w:szCs w:val="20"/>
              </w:rPr>
              <w:t xml:space="preserve">Położenie w niedalekiej odległości od Aglomeracji Krakowskiej i portu lotniczego w Balicach. </w:t>
            </w:r>
          </w:p>
        </w:tc>
        <w:tc>
          <w:tcPr>
            <w:tcW w:w="5210" w:type="dxa"/>
            <w:shd w:val="clear" w:color="auto" w:fill="auto"/>
          </w:tcPr>
          <w:p w14:paraId="766F00DA" w14:textId="77777777" w:rsidR="00686DFE" w:rsidRPr="00CE5D9A" w:rsidRDefault="00686DFE" w:rsidP="00ED6C99">
            <w:pPr>
              <w:spacing w:after="0" w:line="276" w:lineRule="auto"/>
              <w:rPr>
                <w:rFonts w:ascii="Times New Roman" w:hAnsi="Times New Roman"/>
                <w:sz w:val="20"/>
                <w:szCs w:val="20"/>
              </w:rPr>
            </w:pPr>
          </w:p>
        </w:tc>
      </w:tr>
    </w:tbl>
    <w:p w14:paraId="31E8DDA1"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48BC4DB6" w14:textId="4F318A96" w:rsidR="00781750" w:rsidRPr="00CE5D9A" w:rsidRDefault="00781750" w:rsidP="00781750">
      <w:pPr>
        <w:pStyle w:val="Legenda"/>
        <w:spacing w:after="0"/>
        <w:jc w:val="center"/>
        <w:rPr>
          <w:color w:val="auto"/>
        </w:rPr>
      </w:pPr>
      <w:bookmarkStart w:id="136" w:name="_Toc194581444"/>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20</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Powiązanie zidentyfikowanych przyczyn problemu z analizą SWOT</w:t>
      </w:r>
      <w:bookmarkEnd w:id="136"/>
    </w:p>
    <w:tbl>
      <w:tblPr>
        <w:tblStyle w:val="Tabela-Siatka"/>
        <w:tblW w:w="0" w:type="auto"/>
        <w:tblInd w:w="-34" w:type="dxa"/>
        <w:tblLook w:val="04A0" w:firstRow="1" w:lastRow="0" w:firstColumn="1" w:lastColumn="0" w:noHBand="0" w:noVBand="1"/>
      </w:tblPr>
      <w:tblGrid>
        <w:gridCol w:w="7939"/>
        <w:gridCol w:w="2515"/>
      </w:tblGrid>
      <w:tr w:rsidR="00781750" w:rsidRPr="00CE5D9A" w14:paraId="0463F3FF" w14:textId="77777777" w:rsidTr="00781750">
        <w:tc>
          <w:tcPr>
            <w:tcW w:w="7939" w:type="dxa"/>
            <w:vAlign w:val="center"/>
          </w:tcPr>
          <w:p w14:paraId="2C1BB3B5" w14:textId="77777777" w:rsidR="00781750" w:rsidRPr="00CE5D9A" w:rsidRDefault="00781750" w:rsidP="00781750">
            <w:pPr>
              <w:spacing w:after="0" w:line="276" w:lineRule="auto"/>
              <w:jc w:val="center"/>
              <w:rPr>
                <w:rFonts w:ascii="Times New Roman" w:hAnsi="Times New Roman"/>
                <w:b/>
                <w:bCs/>
                <w:sz w:val="20"/>
                <w:szCs w:val="20"/>
              </w:rPr>
            </w:pPr>
            <w:r w:rsidRPr="00CE5D9A">
              <w:rPr>
                <w:rFonts w:ascii="Times New Roman" w:hAnsi="Times New Roman"/>
                <w:b/>
                <w:bCs/>
                <w:sz w:val="20"/>
                <w:szCs w:val="20"/>
              </w:rPr>
              <w:t>Odniesienie do analizy SWOT</w:t>
            </w:r>
          </w:p>
        </w:tc>
        <w:tc>
          <w:tcPr>
            <w:tcW w:w="2515" w:type="dxa"/>
            <w:vAlign w:val="center"/>
          </w:tcPr>
          <w:p w14:paraId="3DC9DE5A" w14:textId="77777777" w:rsidR="00781750" w:rsidRPr="00CE5D9A" w:rsidRDefault="00781750" w:rsidP="00781750">
            <w:pPr>
              <w:spacing w:after="0" w:line="276" w:lineRule="auto"/>
              <w:jc w:val="center"/>
              <w:rPr>
                <w:rFonts w:ascii="Times New Roman" w:hAnsi="Times New Roman"/>
                <w:b/>
                <w:bCs/>
                <w:sz w:val="20"/>
                <w:szCs w:val="20"/>
              </w:rPr>
            </w:pPr>
            <w:r w:rsidRPr="00CE5D9A">
              <w:rPr>
                <w:rFonts w:ascii="Times New Roman" w:hAnsi="Times New Roman"/>
                <w:b/>
                <w:bCs/>
                <w:sz w:val="20"/>
                <w:szCs w:val="20"/>
              </w:rPr>
              <w:t>Zidentyfikowana przyczyna problemu</w:t>
            </w:r>
          </w:p>
        </w:tc>
      </w:tr>
      <w:tr w:rsidR="00781750" w:rsidRPr="00CE5D9A" w14:paraId="66B57004" w14:textId="77777777" w:rsidTr="00781750">
        <w:tc>
          <w:tcPr>
            <w:tcW w:w="7939" w:type="dxa"/>
          </w:tcPr>
          <w:p w14:paraId="09943430"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 Słabe strony pkt. 10.</w:t>
            </w:r>
          </w:p>
          <w:p w14:paraId="15A2D1E8" w14:textId="77777777" w:rsidR="00781750" w:rsidRPr="00CE5D9A" w:rsidRDefault="00781750" w:rsidP="00667542">
            <w:pPr>
              <w:spacing w:line="276" w:lineRule="auto"/>
              <w:rPr>
                <w:rFonts w:ascii="Times New Roman" w:hAnsi="Times New Roman"/>
                <w:sz w:val="20"/>
                <w:szCs w:val="20"/>
              </w:rPr>
            </w:pPr>
            <w:r w:rsidRPr="00CE5D9A">
              <w:rPr>
                <w:rFonts w:ascii="Times New Roman" w:hAnsi="Times New Roman"/>
                <w:sz w:val="20"/>
                <w:szCs w:val="20"/>
              </w:rPr>
              <w:t>Wnioski z diagnozy: Ponadto biorąc pod uwagę fakt, iż mieszkańcy narzekali na słabo rozwiniętą infrastrukturę rekreacyjną oraz niewystarczającą ofertę spędzania czasu wolnego, działania zostaną skierowane na rozwój zarówno ogólnodostępnej infrastruktury, która będzie dostosowana do osób z różnymi potrzebami, tak aby zarówno dzieci i młodzież, osoby w wieku produkcyjnym jak i seniorzy, a także osoby z niepełnosprawnościami mogły z niej korzystać i spędzać wspólnie czas.</w:t>
            </w:r>
          </w:p>
          <w:p w14:paraId="2A90B17B" w14:textId="5679466F" w:rsidR="00781750" w:rsidRPr="00CE5D9A" w:rsidRDefault="00781750" w:rsidP="00667542">
            <w:pPr>
              <w:spacing w:after="0" w:line="276" w:lineRule="auto"/>
              <w:jc w:val="both"/>
              <w:rPr>
                <w:rFonts w:ascii="Times New Roman" w:hAnsi="Times New Roman"/>
                <w:sz w:val="20"/>
                <w:szCs w:val="20"/>
              </w:rPr>
            </w:pPr>
            <w:r w:rsidRPr="00CE5D9A">
              <w:rPr>
                <w:rFonts w:ascii="Times New Roman" w:hAnsi="Times New Roman"/>
                <w:sz w:val="20"/>
                <w:szCs w:val="20"/>
              </w:rPr>
              <w:t>Kluczowe problemy i potrzeby: niewystarczająco dostosowana infrastruktura i usługi publiczne do zachodzących zmian demograficznych, niedostatecznie zagospodarowany potencjał kulturowy, przyrodniczy i turystyczny</w:t>
            </w:r>
          </w:p>
        </w:tc>
        <w:tc>
          <w:tcPr>
            <w:tcW w:w="2515" w:type="dxa"/>
          </w:tcPr>
          <w:p w14:paraId="0BF59082"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Braki w infrastrukturze publicznej</w:t>
            </w:r>
          </w:p>
        </w:tc>
      </w:tr>
      <w:tr w:rsidR="00781750" w:rsidRPr="00CE5D9A" w14:paraId="207B380F" w14:textId="77777777" w:rsidTr="00781750">
        <w:tc>
          <w:tcPr>
            <w:tcW w:w="7939" w:type="dxa"/>
          </w:tcPr>
          <w:p w14:paraId="59972A69"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19:Słabe strony pkt. 9.</w:t>
            </w:r>
          </w:p>
          <w:p w14:paraId="1742D9A3" w14:textId="4B498083" w:rsidR="00781750" w:rsidRPr="00CE5D9A" w:rsidRDefault="00781750" w:rsidP="00667542">
            <w:pPr>
              <w:spacing w:line="276" w:lineRule="auto"/>
              <w:rPr>
                <w:rFonts w:ascii="Times New Roman" w:hAnsi="Times New Roman"/>
                <w:sz w:val="20"/>
                <w:szCs w:val="20"/>
              </w:rPr>
            </w:pPr>
            <w:r w:rsidRPr="00CE5D9A">
              <w:rPr>
                <w:rFonts w:ascii="Times New Roman" w:hAnsi="Times New Roman"/>
                <w:sz w:val="20"/>
                <w:szCs w:val="20"/>
              </w:rPr>
              <w:t xml:space="preserve">Wnioski z diagnozy: Jako grupę osób w niekorzystnej sytuacji zdefiniowano osoby niepełnosprawne oraz ich opiekunów, ze względu na potrzeby zgłaszane na spotkaniach konsultacyjnych na etapie opracowania LSR oraz w badaniach ankietowych. Osoby te mierzą </w:t>
            </w:r>
            <w:r w:rsidRPr="00CE5D9A">
              <w:rPr>
                <w:rFonts w:ascii="Times New Roman" w:hAnsi="Times New Roman"/>
                <w:sz w:val="20"/>
                <w:szCs w:val="20"/>
              </w:rPr>
              <w:lastRenderedPageBreak/>
              <w:t>się z problem dostępności, która jest jednym z podstawowych warunków uczestnictwa osób niepełnosprawnych w życiu społecznym i zawodowym. Stanowi ona o możliwości wykonywania ról społecznych i prowadzenia niezależnego życia tej grupy osób. Uczestnicy spotkań zwrócili uwagę, że potrzeby osób z niepełnosprawnościami i ich opiekunów są duże i wymagają znacznych nakładów pieniężnych, jednak realizacja nawet niewielkich działań przyczyni się do poprawy jakości ich życia. Jednym z wymienianych problemów osób z niepełnosprawnościami i ich opiekunów są przeszkody architektoniczne oraz niedostosowana do ich potrzeb infrastruktura. Szczególe braki zauważono w infrastrukturze dla dzieci.</w:t>
            </w:r>
          </w:p>
          <w:p w14:paraId="7AA3ED5F" w14:textId="46E4E6DB" w:rsidR="00781750" w:rsidRPr="00CE5D9A" w:rsidRDefault="00781750" w:rsidP="00667542">
            <w:pPr>
              <w:spacing w:after="0" w:line="276" w:lineRule="auto"/>
              <w:jc w:val="both"/>
              <w:rPr>
                <w:rFonts w:ascii="Times New Roman" w:hAnsi="Times New Roman"/>
                <w:sz w:val="20"/>
                <w:szCs w:val="20"/>
              </w:rPr>
            </w:pPr>
            <w:r w:rsidRPr="00CE5D9A">
              <w:rPr>
                <w:rFonts w:ascii="Times New Roman" w:hAnsi="Times New Roman"/>
                <w:sz w:val="20"/>
                <w:szCs w:val="20"/>
              </w:rPr>
              <w:t>Kluczowe potrzeby i problemy: niewystarczająca dostępność mieszkańców do usług społecznych i zdrowotnych.</w:t>
            </w:r>
          </w:p>
        </w:tc>
        <w:tc>
          <w:tcPr>
            <w:tcW w:w="2515" w:type="dxa"/>
          </w:tcPr>
          <w:p w14:paraId="7DD64753"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lastRenderedPageBreak/>
              <w:t xml:space="preserve">Niewystarczająca aktywność osób </w:t>
            </w:r>
            <w:r w:rsidRPr="00CE5D9A">
              <w:rPr>
                <w:rFonts w:ascii="Times New Roman" w:hAnsi="Times New Roman"/>
                <w:sz w:val="20"/>
                <w:szCs w:val="20"/>
              </w:rPr>
              <w:br/>
              <w:t>z niepełnosprawnościami</w:t>
            </w:r>
          </w:p>
        </w:tc>
      </w:tr>
      <w:tr w:rsidR="00781750" w:rsidRPr="00CE5D9A" w14:paraId="76F2F39B" w14:textId="77777777" w:rsidTr="00781750">
        <w:tc>
          <w:tcPr>
            <w:tcW w:w="7939" w:type="dxa"/>
          </w:tcPr>
          <w:p w14:paraId="3222697F"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 Zagrożenia pkt. 3, 4.</w:t>
            </w:r>
          </w:p>
          <w:p w14:paraId="6D360301" w14:textId="77777777" w:rsidR="00781750" w:rsidRPr="00CE5D9A" w:rsidRDefault="00781750" w:rsidP="00667542">
            <w:pPr>
              <w:spacing w:line="276" w:lineRule="auto"/>
              <w:rPr>
                <w:rFonts w:ascii="Times New Roman" w:hAnsi="Times New Roman"/>
                <w:sz w:val="20"/>
                <w:szCs w:val="20"/>
              </w:rPr>
            </w:pPr>
            <w:r w:rsidRPr="00CE5D9A">
              <w:rPr>
                <w:rFonts w:ascii="Times New Roman" w:hAnsi="Times New Roman"/>
                <w:sz w:val="20"/>
                <w:szCs w:val="20"/>
              </w:rPr>
              <w:t>Wnioski z diagnozy: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w:t>
            </w:r>
          </w:p>
          <w:p w14:paraId="4C1E1D59" w14:textId="77777777" w:rsidR="00781750" w:rsidRPr="00CE5D9A" w:rsidRDefault="00781750" w:rsidP="00667542">
            <w:pPr>
              <w:spacing w:after="0" w:line="276" w:lineRule="auto"/>
              <w:rPr>
                <w:rFonts w:ascii="Times New Roman" w:hAnsi="Times New Roman"/>
                <w:sz w:val="20"/>
                <w:szCs w:val="20"/>
              </w:rPr>
            </w:pPr>
            <w:r w:rsidRPr="00CE5D9A">
              <w:rPr>
                <w:rFonts w:ascii="Times New Roman" w:hAnsi="Times New Roman"/>
                <w:sz w:val="20"/>
                <w:szCs w:val="20"/>
              </w:rPr>
              <w:t>Kluczowe problemy i potrzeby: niedostatecznie zagospodarowany potencjał kulturowy, przyrodniczy i turystyczny.</w:t>
            </w:r>
          </w:p>
        </w:tc>
        <w:tc>
          <w:tcPr>
            <w:tcW w:w="2515" w:type="dxa"/>
          </w:tcPr>
          <w:p w14:paraId="3A58AD09"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 xml:space="preserve">Niewystarczająca oferta rozwoju </w:t>
            </w:r>
            <w:r w:rsidRPr="00CE5D9A">
              <w:rPr>
                <w:rFonts w:ascii="Times New Roman" w:hAnsi="Times New Roman"/>
                <w:sz w:val="20"/>
                <w:szCs w:val="20"/>
              </w:rPr>
              <w:br/>
              <w:t>i zagospodarowania czasu wolnego</w:t>
            </w:r>
          </w:p>
        </w:tc>
      </w:tr>
      <w:tr w:rsidR="00781750" w:rsidRPr="00CE5D9A" w14:paraId="58F794B9" w14:textId="77777777" w:rsidTr="00781750">
        <w:tc>
          <w:tcPr>
            <w:tcW w:w="7939" w:type="dxa"/>
          </w:tcPr>
          <w:p w14:paraId="61786A22"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 Słabe strony: pkt. 3.</w:t>
            </w:r>
          </w:p>
          <w:p w14:paraId="638C78AF" w14:textId="77777777" w:rsidR="00781750" w:rsidRPr="00CE5D9A" w:rsidRDefault="00781750" w:rsidP="00667542">
            <w:pPr>
              <w:spacing w:line="276" w:lineRule="auto"/>
              <w:jc w:val="both"/>
              <w:rPr>
                <w:rFonts w:ascii="Times New Roman" w:hAnsi="Times New Roman"/>
                <w:sz w:val="20"/>
                <w:szCs w:val="20"/>
              </w:rPr>
            </w:pPr>
            <w:r w:rsidRPr="00CE5D9A">
              <w:rPr>
                <w:rFonts w:ascii="Times New Roman" w:hAnsi="Times New Roman"/>
                <w:sz w:val="20"/>
                <w:szCs w:val="20"/>
              </w:rPr>
              <w:t xml:space="preserve">Wnioski z diagnozy: Aktywność lokalnej społeczności i liczba efektywnie działających formalnych grup mieszkańców stopniowo rosła na przestrzeni analizowanych lat, liczba zarejestrowanych organizacji pozarządowych w przeliczeniu na 10 tys. mieszkańców w 2021 r. i każdym poprzednim była dla LGD niższa niż średnia dla województwa małopolskiego i Polski. Ponadto mieszkańcy na spotkaniach zauważali, że występują braki w aktywności społecznej oraz integracji różnych podmiotów. </w:t>
            </w:r>
          </w:p>
          <w:p w14:paraId="1EFEC5B7" w14:textId="77777777" w:rsidR="00781750" w:rsidRPr="00CE5D9A" w:rsidRDefault="00781750" w:rsidP="00667542">
            <w:pPr>
              <w:spacing w:after="0" w:line="276" w:lineRule="auto"/>
              <w:jc w:val="both"/>
              <w:rPr>
                <w:rFonts w:ascii="Times New Roman" w:hAnsi="Times New Roman"/>
                <w:sz w:val="20"/>
                <w:szCs w:val="20"/>
              </w:rPr>
            </w:pPr>
            <w:r w:rsidRPr="00CE5D9A">
              <w:rPr>
                <w:rFonts w:ascii="Times New Roman" w:hAnsi="Times New Roman"/>
                <w:sz w:val="20"/>
                <w:szCs w:val="20"/>
              </w:rPr>
              <w:t>Kluczowe problemy i potrzeby: niedostateczna aktywność społeczna mieszkańców.</w:t>
            </w:r>
          </w:p>
        </w:tc>
        <w:tc>
          <w:tcPr>
            <w:tcW w:w="2515" w:type="dxa"/>
          </w:tcPr>
          <w:p w14:paraId="2EF3C5CA"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Mała aktywność organizacji pozarządowych</w:t>
            </w:r>
          </w:p>
        </w:tc>
      </w:tr>
      <w:tr w:rsidR="00781750" w:rsidRPr="00CE5D9A" w14:paraId="15380B1D" w14:textId="77777777" w:rsidTr="00781750">
        <w:tc>
          <w:tcPr>
            <w:tcW w:w="7939" w:type="dxa"/>
          </w:tcPr>
          <w:p w14:paraId="2D115BD8" w14:textId="27A0E54D"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 Słabe strony: pkt. 3.</w:t>
            </w:r>
          </w:p>
          <w:p w14:paraId="0DFD30C2" w14:textId="77777777" w:rsidR="00781750" w:rsidRPr="00CE5D9A" w:rsidRDefault="00781750" w:rsidP="00667542">
            <w:pPr>
              <w:spacing w:line="276" w:lineRule="auto"/>
              <w:ind w:firstLine="11"/>
              <w:jc w:val="both"/>
              <w:rPr>
                <w:rFonts w:ascii="Times New Roman" w:hAnsi="Times New Roman"/>
                <w:sz w:val="20"/>
                <w:szCs w:val="20"/>
              </w:rPr>
            </w:pPr>
            <w:r w:rsidRPr="00CE5D9A">
              <w:rPr>
                <w:rFonts w:ascii="Times New Roman" w:hAnsi="Times New Roman"/>
                <w:sz w:val="20"/>
                <w:szCs w:val="20"/>
              </w:rPr>
              <w:t xml:space="preserve">Wnioski z diagnozy: Aktywność lokalnej społeczności i liczba efektywnie działających formalnych grup mieszkańców stopniowo rosła na przestrzeni analizowanych lat, liczba zarejestrowanych organizacji pozarządowych w przeliczeniu na 10 tys. mieszkańców w 2021 r. i każdym poprzednim była dla LGD niższa niż średnia dla województwa małopolskiego i Polski. Ponadto mieszkańcy na spotkaniach zauważali, że występują braki w aktywności społecznej oraz integracji różnych podmiotów. </w:t>
            </w:r>
          </w:p>
          <w:p w14:paraId="45443A4C" w14:textId="77777777" w:rsidR="00781750" w:rsidRPr="00CE5D9A" w:rsidRDefault="00781750" w:rsidP="00667542">
            <w:pPr>
              <w:spacing w:after="0" w:line="276" w:lineRule="auto"/>
              <w:rPr>
                <w:rFonts w:ascii="Times New Roman" w:hAnsi="Times New Roman"/>
                <w:sz w:val="20"/>
                <w:szCs w:val="20"/>
              </w:rPr>
            </w:pPr>
            <w:r w:rsidRPr="00CE5D9A">
              <w:rPr>
                <w:rFonts w:ascii="Times New Roman" w:hAnsi="Times New Roman"/>
                <w:sz w:val="20"/>
                <w:szCs w:val="20"/>
              </w:rPr>
              <w:t>Kluczowe problemy i potrzeby: niedostateczna aktywność społeczna mieszkańców</w:t>
            </w:r>
          </w:p>
        </w:tc>
        <w:tc>
          <w:tcPr>
            <w:tcW w:w="2515" w:type="dxa"/>
          </w:tcPr>
          <w:p w14:paraId="657D5BCF" w14:textId="77777777" w:rsidR="00781750" w:rsidRPr="00CE5D9A" w:rsidRDefault="00781750"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Niska aktywność społeczna</w:t>
            </w:r>
          </w:p>
        </w:tc>
      </w:tr>
      <w:tr w:rsidR="00302FFB" w:rsidRPr="00CE5D9A" w14:paraId="2387ABA4" w14:textId="77777777" w:rsidTr="00781750">
        <w:tc>
          <w:tcPr>
            <w:tcW w:w="7939" w:type="dxa"/>
          </w:tcPr>
          <w:p w14:paraId="4710D6C1" w14:textId="379448FD" w:rsidR="00302FFB" w:rsidRPr="00CE5D9A" w:rsidRDefault="00302FFB"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Tabela 19: Słabe strony: pkt. 2.</w:t>
            </w:r>
          </w:p>
          <w:p w14:paraId="6C0B75DD" w14:textId="39484DC4" w:rsidR="00302FFB" w:rsidRPr="00CE5D9A" w:rsidRDefault="00302FFB" w:rsidP="00667542">
            <w:pPr>
              <w:spacing w:line="276" w:lineRule="auto"/>
              <w:ind w:firstLine="11"/>
              <w:jc w:val="both"/>
              <w:rPr>
                <w:rFonts w:ascii="Times New Roman" w:hAnsi="Times New Roman"/>
                <w:sz w:val="20"/>
                <w:szCs w:val="20"/>
              </w:rPr>
            </w:pPr>
            <w:r w:rsidRPr="00CE5D9A">
              <w:rPr>
                <w:rFonts w:ascii="Times New Roman" w:hAnsi="Times New Roman"/>
                <w:sz w:val="20"/>
                <w:szCs w:val="20"/>
              </w:rPr>
              <w:t>Wnioski z diagnozy: 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co jest pozytywnym zjawiskiem, ponieważ oznacza, że obszar LGD systematycznie „goni” województwo i resztę kraju</w:t>
            </w:r>
          </w:p>
          <w:p w14:paraId="3D3577C8" w14:textId="7D4E5757" w:rsidR="00302FFB" w:rsidRPr="00CE5D9A" w:rsidRDefault="00302FFB"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Kluczowe problemy i potrzeby: niedostateczna przedsiębiorczość mieszkańców</w:t>
            </w:r>
          </w:p>
        </w:tc>
        <w:tc>
          <w:tcPr>
            <w:tcW w:w="2515" w:type="dxa"/>
          </w:tcPr>
          <w:p w14:paraId="4740FF1C" w14:textId="1983613C" w:rsidR="00302FFB" w:rsidRPr="00CE5D9A" w:rsidRDefault="00302FFB" w:rsidP="00667542">
            <w:pPr>
              <w:pStyle w:val="Akapitzlist"/>
              <w:spacing w:line="276" w:lineRule="auto"/>
              <w:ind w:left="0"/>
              <w:rPr>
                <w:rFonts w:ascii="Times New Roman" w:hAnsi="Times New Roman"/>
                <w:sz w:val="20"/>
                <w:szCs w:val="20"/>
              </w:rPr>
            </w:pPr>
            <w:r w:rsidRPr="00CE5D9A">
              <w:rPr>
                <w:rFonts w:ascii="Times New Roman" w:hAnsi="Times New Roman"/>
                <w:sz w:val="20"/>
                <w:szCs w:val="20"/>
              </w:rPr>
              <w:t>Niska przedsiębiorczość mieszkańców</w:t>
            </w:r>
          </w:p>
        </w:tc>
      </w:tr>
    </w:tbl>
    <w:p w14:paraId="71B85013" w14:textId="77777777" w:rsidR="00781750" w:rsidRPr="00CE5D9A" w:rsidRDefault="00781750" w:rsidP="00781750">
      <w:pPr>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4D8B2EDF" w14:textId="7B74E442" w:rsidR="00686DFE" w:rsidRPr="00CE5D9A" w:rsidRDefault="00686DFE">
      <w:pPr>
        <w:jc w:val="center"/>
        <w:rPr>
          <w:rFonts w:ascii="Times New Roman" w:hAnsi="Times New Roman"/>
          <w:b/>
          <w:bCs/>
        </w:rPr>
      </w:pPr>
      <w:r w:rsidRPr="00CE5D9A">
        <w:rPr>
          <w:rFonts w:ascii="Times New Roman" w:hAnsi="Times New Roman"/>
          <w:b/>
          <w:bCs/>
        </w:rPr>
        <w:t>Wnioski z analizy SWOT</w:t>
      </w:r>
    </w:p>
    <w:p w14:paraId="6F92027E" w14:textId="01B0DC36"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Obszar </w:t>
      </w:r>
      <w:r w:rsidR="00636B85" w:rsidRPr="003D77F1">
        <w:rPr>
          <w:rFonts w:ascii="Times New Roman" w:hAnsi="Times New Roman"/>
          <w:color w:val="FF0000"/>
        </w:rPr>
        <w:t xml:space="preserve">LGD Regionu Myślenickiego </w:t>
      </w:r>
      <w:r w:rsidRPr="00636B85">
        <w:rPr>
          <w:rFonts w:ascii="Times New Roman" w:hAnsi="Times New Roman"/>
          <w:strike/>
          <w:color w:val="FF0000"/>
        </w:rPr>
        <w:t>LGD Między Dalinem i Gościbią</w:t>
      </w:r>
      <w:r w:rsidRPr="00636B85">
        <w:rPr>
          <w:rFonts w:ascii="Times New Roman" w:hAnsi="Times New Roman"/>
          <w:color w:val="FF0000"/>
        </w:rPr>
        <w:t xml:space="preserve"> </w:t>
      </w:r>
      <w:r w:rsidRPr="00CE5D9A">
        <w:rPr>
          <w:rFonts w:ascii="Times New Roman" w:hAnsi="Times New Roman"/>
        </w:rPr>
        <w:t xml:space="preserve">posiada ukierunkowaną tożsamość lokalną mieszkańców, wynikającą ze wspólnych tradycji, dziedzictwa kulturowego i historii. Charakterystyczne </w:t>
      </w:r>
      <w:r w:rsidRPr="00CE5D9A">
        <w:rPr>
          <w:rFonts w:ascii="Times New Roman" w:hAnsi="Times New Roman"/>
        </w:rPr>
        <w:lastRenderedPageBreak/>
        <w:t>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4F7681AD"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t>Aktualna sytuacja demograficzna kształtuje się na tym terenie korzystnie, ponieważ systematycznie wzrasta liczba mieszkańców, a analizowany obszar charakteryzuje się dodatnim saldem migracji w porównaniu do wyniku województwa i kraju. Niepokojący jest jednak poziom przyrostu naturalnego, który w</w:t>
      </w:r>
      <w:r w:rsidR="00B95DAC" w:rsidRPr="00CE5D9A">
        <w:rPr>
          <w:rFonts w:ascii="Times New Roman" w:hAnsi="Times New Roman"/>
        </w:rPr>
        <w:t xml:space="preserve"> 2021 roku osiągnął wartość 0, </w:t>
      </w:r>
      <w:r w:rsidRPr="00CE5D9A">
        <w:rPr>
          <w:rFonts w:ascii="Times New Roman" w:hAnsi="Times New Roman"/>
        </w:rPr>
        <w:t>i</w:t>
      </w:r>
      <w:r w:rsidR="00B95DAC" w:rsidRPr="00CE5D9A">
        <w:rPr>
          <w:rFonts w:ascii="Times New Roman" w:hAnsi="Times New Roman"/>
        </w:rPr>
        <w:t> </w:t>
      </w:r>
      <w:r w:rsidRPr="00CE5D9A">
        <w:rPr>
          <w:rFonts w:ascii="Times New Roman" w:hAnsi="Times New Roman"/>
        </w:rPr>
        <w:t>był znacznie niższy niż w latach poprzednich, co może oznaczać, że w przyszłości negatywna tendencja będzie się utrzymywać. Taki stan przekłada się na kształtowanie</w:t>
      </w:r>
      <w:r w:rsidR="00B95DAC" w:rsidRPr="00CE5D9A">
        <w:rPr>
          <w:rFonts w:ascii="Times New Roman" w:hAnsi="Times New Roman"/>
        </w:rPr>
        <w:t xml:space="preserve"> się piramidy płci i wieku, a w </w:t>
      </w:r>
      <w:r w:rsidRPr="00CE5D9A">
        <w:rPr>
          <w:rFonts w:ascii="Times New Roman" w:hAnsi="Times New Roman"/>
        </w:rPr>
        <w:t>konsekwencji w przyszłości może doprowadzić do pogłębienia się wskaźnik</w:t>
      </w:r>
      <w:r w:rsidR="00B95DAC" w:rsidRPr="00CE5D9A">
        <w:rPr>
          <w:rFonts w:ascii="Times New Roman" w:hAnsi="Times New Roman"/>
        </w:rPr>
        <w:t>ów obciążenia demograficznego w </w:t>
      </w:r>
      <w:r w:rsidRPr="00CE5D9A">
        <w:rPr>
          <w:rFonts w:ascii="Times New Roman" w:hAnsi="Times New Roman"/>
        </w:rPr>
        <w:t>gminach. Niemniej jednak aktualnie widoczna jest tendencja oznaczająca stały wzrost liczby ludności na obszarze LGD, co można również zauważyć obserwując wskaźnik wydan</w:t>
      </w:r>
      <w:r w:rsidR="00B95DAC" w:rsidRPr="00CE5D9A">
        <w:rPr>
          <w:rFonts w:ascii="Times New Roman" w:hAnsi="Times New Roman"/>
        </w:rPr>
        <w:t>ych pozwoleń na budowę, który w </w:t>
      </w:r>
      <w:r w:rsidRPr="00CE5D9A">
        <w:rPr>
          <w:rFonts w:ascii="Times New Roman" w:hAnsi="Times New Roman"/>
        </w:rPr>
        <w:t>ostatnim roku znacząco wzrósł (głównie dzięki gminom Wiśniowa, Raciechowice oraz Sułkowice). Wpływ na taki stan rzeczy może mieć stosunkowo niewielka odległość od aglomeracji krakowskiej, portu lotniczego, przy jednoczesnym występowaniu ewidentnych walorów krajobrazowo-przyrodniczych. Pomimo tego, że województwo małopolskie znajduje się w czołówce, jeśli chodzi o dostęp do szybkie</w:t>
      </w:r>
      <w:r w:rsidR="00B95DAC" w:rsidRPr="00CE5D9A">
        <w:rPr>
          <w:rFonts w:ascii="Times New Roman" w:hAnsi="Times New Roman"/>
        </w:rPr>
        <w:t>go Internetu, należy pamiętać o </w:t>
      </w:r>
      <w:r w:rsidRPr="00CE5D9A">
        <w:rPr>
          <w:rFonts w:ascii="Times New Roman" w:hAnsi="Times New Roman"/>
        </w:rPr>
        <w:t>zróżnicowaniu w poziomie dostępu i jakości Internetu występującego na jego te</w:t>
      </w:r>
      <w:r w:rsidR="00B95DAC" w:rsidRPr="00CE5D9A">
        <w:rPr>
          <w:rFonts w:ascii="Times New Roman" w:hAnsi="Times New Roman"/>
        </w:rPr>
        <w:t>renie. Na jakość życia, pracy i </w:t>
      </w:r>
      <w:r w:rsidRPr="00CE5D9A">
        <w:rPr>
          <w:rFonts w:ascii="Times New Roman" w:hAnsi="Times New Roman"/>
        </w:rPr>
        <w:t>przebywania w danym miejscu duży wpływ ma jakość środowiska i czyste pow</w:t>
      </w:r>
      <w:r w:rsidR="00B95DAC" w:rsidRPr="00CE5D9A">
        <w:rPr>
          <w:rFonts w:ascii="Times New Roman" w:hAnsi="Times New Roman"/>
        </w:rPr>
        <w:t>ietrze. Zagrożenia wynikające z </w:t>
      </w:r>
      <w:r w:rsidRPr="00CE5D9A">
        <w:rPr>
          <w:rFonts w:ascii="Times New Roman" w:hAnsi="Times New Roman"/>
        </w:rPr>
        <w:t xml:space="preserve">zanieczyszczeń środowiska wywołanych poprzez niską emisję można niwelować. Należy zwiększać świadomość ekologiczną wśród mieszkańców. Dla miejsc takich jak gminy LGD bardzo ważne jest też dalsze wzmacnianie lokalnej tożsamości i budowanie więzi społecznych oraz zachęcanie do zawiązywania partnerstw i realizacji inicjatyw oddolnych. </w:t>
      </w:r>
    </w:p>
    <w:p w14:paraId="1059A4E4"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Rosnące wskaźniki gospodarcze pokazują, że poziom przedsiębiorczości wśród mieszkańców obszaru jest zadowalający, niemniej jednak na obszarze LGD w latach 2020–2021 nastąpił spadek liczby nowo powstających podmiotów, co dla kształtowania się poziomu bezrobocia oraz przedsiębiorczośc</w:t>
      </w:r>
      <w:r w:rsidR="00B95DAC" w:rsidRPr="00CE5D9A">
        <w:rPr>
          <w:rFonts w:ascii="Times New Roman" w:hAnsi="Times New Roman"/>
        </w:rPr>
        <w:t>i mieszkańców może przynieść w </w:t>
      </w:r>
      <w:r w:rsidRPr="00CE5D9A">
        <w:rPr>
          <w:rFonts w:ascii="Times New Roman" w:hAnsi="Times New Roman"/>
        </w:rPr>
        <w:t>przyszłości negatywne efekty. Należy podjąć działania niwelujące tę niekorzystn</w:t>
      </w:r>
      <w:r w:rsidR="00B95DAC" w:rsidRPr="00CE5D9A">
        <w:rPr>
          <w:rFonts w:ascii="Times New Roman" w:hAnsi="Times New Roman"/>
        </w:rPr>
        <w:t xml:space="preserve">ą sytuację poprzez aktywizację </w:t>
      </w:r>
      <w:r w:rsidRPr="00CE5D9A">
        <w:rPr>
          <w:rFonts w:ascii="Times New Roman" w:hAnsi="Times New Roman"/>
        </w:rPr>
        <w:t>i</w:t>
      </w:r>
      <w:r w:rsidR="00B95DAC" w:rsidRPr="00CE5D9A">
        <w:rPr>
          <w:rFonts w:ascii="Times New Roman" w:hAnsi="Times New Roman"/>
        </w:rPr>
        <w:t> </w:t>
      </w:r>
      <w:r w:rsidRPr="00CE5D9A">
        <w:rPr>
          <w:rFonts w:ascii="Times New Roman" w:hAnsi="Times New Roman"/>
        </w:rPr>
        <w:t xml:space="preserve">zachęcanie mieszkańców obszaru do rozpoczynania działalności gospodarczej i tworzenia miejsc pracy. </w:t>
      </w:r>
      <w:r w:rsidR="00B95DAC" w:rsidRPr="00CE5D9A">
        <w:rPr>
          <w:rFonts w:ascii="Times New Roman" w:hAnsi="Times New Roman"/>
        </w:rPr>
        <w:t>W </w:t>
      </w:r>
      <w:r w:rsidRPr="00CE5D9A">
        <w:rPr>
          <w:rFonts w:ascii="Times New Roman" w:hAnsi="Times New Roman"/>
        </w:rPr>
        <w:t>przypadku obszaru gmin LGD istotna jest aktywizacja bezrobotnych kobiet – pozytywną tendencją jest tworzenie podmiotów świadczących usług opieki nad dziećmi do 3 lat, jednak na te</w:t>
      </w:r>
      <w:r w:rsidR="00B95DAC" w:rsidRPr="00CE5D9A">
        <w:rPr>
          <w:rFonts w:ascii="Times New Roman" w:hAnsi="Times New Roman"/>
        </w:rPr>
        <w:t>renie obszaru nadal są gminy, w </w:t>
      </w:r>
      <w:r w:rsidRPr="00CE5D9A">
        <w:rPr>
          <w:rFonts w:ascii="Times New Roman" w:hAnsi="Times New Roman"/>
        </w:rPr>
        <w:t xml:space="preserve">których nie funkcjonuje żaden podmiot świadczący tego typu usługi, co może negatywnie wpływać na aktywność zawodową kobiet, ponieważ w przeważającej części to kobiety dbają o dzieci i rodzinę. Istotne jest zatem takie kierunkowanie rozwoju, które pozwoli kobietom na podjęcie pracy – dostęp do opieki nad dziećmi czy podnoszenie kwalifikacji, co przyczyni się do wzrostu ich aktywności w tym zakresie. </w:t>
      </w:r>
    </w:p>
    <w:p w14:paraId="5A17668A" w14:textId="42F7C90D" w:rsidR="00686DFE" w:rsidRPr="00CE5D9A" w:rsidRDefault="00686DFE">
      <w:pPr>
        <w:spacing w:line="276" w:lineRule="auto"/>
        <w:ind w:firstLine="709"/>
        <w:jc w:val="both"/>
        <w:rPr>
          <w:rFonts w:ascii="Times New Roman" w:hAnsi="Times New Roman"/>
        </w:rPr>
      </w:pPr>
      <w:r w:rsidRPr="00CE5D9A">
        <w:rPr>
          <w:rFonts w:ascii="Times New Roman" w:hAnsi="Times New Roman"/>
        </w:rPr>
        <w:t>Niewątpliwą zaletą i głównym atutem regionu</w:t>
      </w:r>
      <w:r w:rsidR="00636B85">
        <w:rPr>
          <w:rFonts w:ascii="Times New Roman" w:hAnsi="Times New Roman"/>
        </w:rPr>
        <w:t xml:space="preserve"> </w:t>
      </w:r>
      <w:r w:rsidR="00636B85" w:rsidRPr="003D77F1">
        <w:rPr>
          <w:rFonts w:ascii="Times New Roman" w:hAnsi="Times New Roman"/>
          <w:color w:val="FF0000"/>
        </w:rPr>
        <w:t>LGD Regionu Myślenickiego</w:t>
      </w:r>
      <w:r w:rsidRPr="00CE5D9A">
        <w:rPr>
          <w:rFonts w:ascii="Times New Roman" w:hAnsi="Times New Roman"/>
        </w:rPr>
        <w:t xml:space="preserve"> </w:t>
      </w:r>
      <w:r w:rsidRPr="00636B85">
        <w:rPr>
          <w:rFonts w:ascii="Times New Roman" w:hAnsi="Times New Roman"/>
          <w:strike/>
          <w:color w:val="FF0000"/>
        </w:rPr>
        <w:t xml:space="preserve">LGD Między Dalinem i </w:t>
      </w:r>
      <w:r w:rsidR="00B95DAC" w:rsidRPr="00636B85">
        <w:rPr>
          <w:rFonts w:ascii="Times New Roman" w:hAnsi="Times New Roman"/>
          <w:strike/>
          <w:color w:val="FF0000"/>
        </w:rPr>
        <w:t>Gościbią</w:t>
      </w:r>
      <w:r w:rsidR="00B95DAC" w:rsidRPr="00CE5D9A">
        <w:rPr>
          <w:rFonts w:ascii="Times New Roman" w:hAnsi="Times New Roman"/>
        </w:rPr>
        <w:t xml:space="preserve"> jest jego położenie. W </w:t>
      </w:r>
      <w:r w:rsidRPr="00CE5D9A">
        <w:rPr>
          <w:rFonts w:ascii="Times New Roman" w:hAnsi="Times New Roman"/>
        </w:rPr>
        <w:t>obszarze środowiskowo-geograficznym atutami są niepowtarzalne zasoby przyrodnicze w postaci pasm Pogórza Zachodniobeskidzkiego oraz Beskidów Zachodnich, a także wszystkich form ochrony przyrody, które powodują, że gminy znajdujące się w obszarze LGD stają się atrakcyjnymi destynacjami dla turystów. Atutem jest również położenie w korzystnej odległości od Krakowa. Sąsiedztwo jednego z największych miast Polski może mieć istotny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w:t>
      </w:r>
      <w:r w:rsidR="00B95DAC" w:rsidRPr="00CE5D9A">
        <w:rPr>
          <w:rFonts w:ascii="Times New Roman" w:hAnsi="Times New Roman"/>
        </w:rPr>
        <w:t xml:space="preserve">ekazu np. organizowanie imprez </w:t>
      </w:r>
      <w:r w:rsidRPr="00CE5D9A">
        <w:rPr>
          <w:rFonts w:ascii="Times New Roman" w:hAnsi="Times New Roman"/>
        </w:rPr>
        <w:t>o</w:t>
      </w:r>
      <w:r w:rsidR="00B95DAC" w:rsidRPr="00CE5D9A">
        <w:rPr>
          <w:rFonts w:ascii="Times New Roman" w:hAnsi="Times New Roman"/>
        </w:rPr>
        <w:t> </w:t>
      </w:r>
      <w:r w:rsidRPr="00CE5D9A">
        <w:rPr>
          <w:rFonts w:ascii="Times New Roman" w:hAnsi="Times New Roman"/>
        </w:rPr>
        <w:t>charakterze lokalnym.</w:t>
      </w:r>
    </w:p>
    <w:p w14:paraId="4EC5A050" w14:textId="77777777" w:rsidR="00686DFE" w:rsidRPr="00CE5D9A" w:rsidRDefault="00686DFE">
      <w:pPr>
        <w:pStyle w:val="Akapitzlist"/>
        <w:numPr>
          <w:ilvl w:val="0"/>
          <w:numId w:val="14"/>
        </w:numPr>
        <w:spacing w:before="240" w:line="276" w:lineRule="auto"/>
        <w:ind w:left="1134" w:hanging="357"/>
        <w:contextualSpacing w:val="0"/>
        <w:jc w:val="both"/>
        <w:outlineLvl w:val="1"/>
        <w:rPr>
          <w:rFonts w:ascii="Times New Roman" w:hAnsi="Times New Roman"/>
          <w:b/>
          <w:bCs/>
        </w:rPr>
      </w:pPr>
      <w:bookmarkStart w:id="137" w:name="_Toc135647306"/>
      <w:bookmarkStart w:id="138" w:name="_Toc135994835"/>
      <w:r w:rsidRPr="00CE5D9A">
        <w:rPr>
          <w:rFonts w:ascii="Times New Roman" w:hAnsi="Times New Roman"/>
          <w:b/>
          <w:bCs/>
        </w:rPr>
        <w:t>Wnioski z diagnozy</w:t>
      </w:r>
      <w:bookmarkEnd w:id="137"/>
      <w:bookmarkEnd w:id="138"/>
      <w:r w:rsidRPr="00CE5D9A">
        <w:rPr>
          <w:rFonts w:ascii="Times New Roman" w:hAnsi="Times New Roman"/>
          <w:b/>
          <w:bCs/>
        </w:rPr>
        <w:t xml:space="preserve"> </w:t>
      </w:r>
    </w:p>
    <w:p w14:paraId="0EA3F14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426C374A" w14:textId="5B272365"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Niewątpliwie przy określaniu potrzeb rozwojowych obszaru należy szczególną uwagę zwrócić na strukturę wieku. Dane demograficzne wskazują, że na obszarze LGD społeczeństwo stopniowo się starzeje. Udział </w:t>
      </w:r>
      <w:r w:rsidRPr="00CE5D9A">
        <w:rPr>
          <w:rFonts w:ascii="Times New Roman" w:hAnsi="Times New Roman"/>
        </w:rPr>
        <w:lastRenderedPageBreak/>
        <w:t>najstarszych grup ludności wzrósł w badanym okresie, przy jednoczesnym spadku udziału ludności w wieku produkcyjnym i względnie niewielkiemu spadkowi liczby ludności w wieku przed</w:t>
      </w:r>
      <w:r w:rsidR="00B95DAC" w:rsidRPr="00CE5D9A">
        <w:rPr>
          <w:rFonts w:ascii="Times New Roman" w:hAnsi="Times New Roman"/>
        </w:rPr>
        <w:t xml:space="preserve">produkcyjnym (przy czym spadek </w:t>
      </w:r>
      <w:r w:rsidRPr="00CE5D9A">
        <w:rPr>
          <w:rFonts w:ascii="Times New Roman" w:hAnsi="Times New Roman"/>
        </w:rPr>
        <w:t>ten był nieznaczny, a udział osób w wieku przedprodukcyjnym zawsze był korzystniejszy niż średnio w województwie i kraju). Wysokość przyrostu naturalnego na obszarze</w:t>
      </w:r>
      <w:r w:rsidR="00636B85">
        <w:rPr>
          <w:rFonts w:ascii="Times New Roman" w:hAnsi="Times New Roman"/>
        </w:rPr>
        <w:t xml:space="preserve"> </w:t>
      </w:r>
      <w:r w:rsidR="00636B85" w:rsidRPr="003D77F1">
        <w:rPr>
          <w:rFonts w:ascii="Times New Roman" w:hAnsi="Times New Roman"/>
          <w:color w:val="FF0000"/>
        </w:rPr>
        <w:t>LGD Regionu Myślenickiego</w:t>
      </w:r>
      <w:r w:rsidRPr="00CE5D9A">
        <w:rPr>
          <w:rFonts w:ascii="Times New Roman" w:hAnsi="Times New Roman"/>
        </w:rPr>
        <w:t xml:space="preserve"> </w:t>
      </w:r>
      <w:r w:rsidRPr="00636B85">
        <w:rPr>
          <w:rFonts w:ascii="Times New Roman" w:hAnsi="Times New Roman"/>
          <w:strike/>
          <w:color w:val="FF0000"/>
        </w:rPr>
        <w:t>LGD Między Dalinem i Gościbią</w:t>
      </w:r>
      <w:r w:rsidRPr="00636B85">
        <w:rPr>
          <w:rFonts w:ascii="Times New Roman" w:hAnsi="Times New Roman"/>
          <w:color w:val="FF0000"/>
        </w:rPr>
        <w:t xml:space="preserve"> </w:t>
      </w:r>
      <w:r w:rsidRPr="00CE5D9A">
        <w:rPr>
          <w:rFonts w:ascii="Times New Roman" w:hAnsi="Times New Roman"/>
        </w:rPr>
        <w:t>w analizowanym okresie systematycznie spadała, a w 2021 r. osiągnęła wartość równą 0,0. Warto zwrócić uwagę, że znaczny spadek przyrostu naturalnego wystąpił w latach 2020–2021, które były szczególne pod względem zmian w sytuacji demograficznej, ponieważ w związku z pandemią COVID</w:t>
      </w:r>
      <w:r w:rsidR="00B95DAC" w:rsidRPr="00CE5D9A">
        <w:rPr>
          <w:rFonts w:ascii="Times New Roman" w:hAnsi="Times New Roman"/>
        </w:rPr>
        <w:t>-19 wzrosła liczba zgonów, co w </w:t>
      </w:r>
      <w:r w:rsidRPr="00CE5D9A">
        <w:rPr>
          <w:rFonts w:ascii="Times New Roman" w:hAnsi="Times New Roman"/>
        </w:rPr>
        <w:t>konsekwencji miało znaczący wpływ na kształtowanie się poziomu przyrostu naturalnego. Należy zauważyć, że w 2021 r. średnia dla obszaru LGD (0,0) była nadal korzystniejsza w porównaniu do średniej wojewódzkiej (-2,2) oraz średniej krajowej (-5,0). Zjawiskiem, które ma wpływ na kształtowanie się liczby ludności jest również saldo migracji, które obrazuje wskaźnik salda migracji na 1 000 mieszkańców. W przypadku średniej dla gmin obszaru LGD, poziom tego wskaźnika w całym analizowanym okresie wahał się, natomiast w każdym roku osiągał wartość dodatnią, a w latach 2017–2020 wyższą bądź równą średniej dla województwa i kraju. W 2021 r. wskaźnik salda migracji na obszarze zmalał w stosunku do roku poprzedniego, osiągając poziom 1,0 – była to wartość wyższa niż średnia krajowa</w:t>
      </w:r>
      <w:r w:rsidR="00F64B58" w:rsidRPr="00CE5D9A">
        <w:rPr>
          <w:rFonts w:ascii="Times New Roman" w:hAnsi="Times New Roman"/>
        </w:rPr>
        <w:t xml:space="preserve"> i średnia</w:t>
      </w:r>
      <w:r w:rsidRPr="00CE5D9A">
        <w:rPr>
          <w:rFonts w:ascii="Times New Roman" w:hAnsi="Times New Roman"/>
        </w:rPr>
        <w:t xml:space="preserve"> dla województwa.</w:t>
      </w:r>
    </w:p>
    <w:p w14:paraId="4C91ED7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co jest pozytywnym zjawiskiem, ponieważ oznacza, że obszar LGD systematycznie „goni” województwo i resztę kraju.  </w:t>
      </w:r>
      <w:r w:rsidR="00753244" w:rsidRPr="00CE5D9A">
        <w:rPr>
          <w:rFonts w:ascii="Times New Roman" w:hAnsi="Times New Roman"/>
        </w:rPr>
        <w:t>W celu podtrzymania tej tendencji wskazane jest kierowanie działań pobudzających przedsiębiorczość. Również w </w:t>
      </w:r>
      <w:r w:rsidRPr="00CE5D9A">
        <w:rPr>
          <w:rFonts w:ascii="Times New Roman" w:hAnsi="Times New Roman"/>
        </w:rPr>
        <w:t xml:space="preserve">ciągu ostatnich lat obserwuje się systematyczny spadek bezrobocia (wyjątek stanowił rok 2020, kiedy wystąpił nagły wzrost liczby bezrobotnych – wzrost wystąpił zarówno w województwie i kraju). Należy zwrócić uwagę na spadek poziomu bezrobocia długoterminowego – wartość wskaźnika </w:t>
      </w:r>
      <w:r w:rsidRPr="00CE5D9A">
        <w:rPr>
          <w:rFonts w:ascii="Times New Roman" w:hAnsi="Times New Roman"/>
          <w:i/>
          <w:iCs/>
        </w:rPr>
        <w:t>udział długotrwale bezro</w:t>
      </w:r>
      <w:r w:rsidR="00F64B58" w:rsidRPr="00CE5D9A">
        <w:rPr>
          <w:rFonts w:ascii="Times New Roman" w:hAnsi="Times New Roman"/>
          <w:i/>
          <w:iCs/>
        </w:rPr>
        <w:t>botnych w </w:t>
      </w:r>
      <w:r w:rsidRPr="00CE5D9A">
        <w:rPr>
          <w:rFonts w:ascii="Times New Roman" w:hAnsi="Times New Roman"/>
          <w:i/>
          <w:iCs/>
        </w:rPr>
        <w:t xml:space="preserve">liczbie bezrobotnych ogółem </w:t>
      </w:r>
      <w:r w:rsidRPr="00CE5D9A">
        <w:rPr>
          <w:rFonts w:ascii="Times New Roman" w:hAnsi="Times New Roman"/>
        </w:rPr>
        <w:t>w latach 2016–2021 wahała się, przy czym ostatecznie w 2021 roku w stosunku do roku 2016 nastąpił spadek wartości wskaźnika o 2,</w:t>
      </w:r>
      <w:r w:rsidR="00F64B58" w:rsidRPr="00CE5D9A">
        <w:rPr>
          <w:rFonts w:ascii="Times New Roman" w:hAnsi="Times New Roman"/>
        </w:rPr>
        <w:t>3</w:t>
      </w:r>
      <w:r w:rsidRPr="00CE5D9A">
        <w:rPr>
          <w:rFonts w:ascii="Times New Roman" w:hAnsi="Times New Roman"/>
        </w:rPr>
        <w:t xml:space="preserve"> pp., podczas gdy tendencja w województwie i kraju była odwrotna – nastąpił wzrost bezrobocia długoterminowego – odpowiednio o 1,7 pp. i 0,6 pp.</w:t>
      </w:r>
    </w:p>
    <w:p w14:paraId="154F06E8"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Aktywność lokalnej społeczności i liczba efektywnie działających formalnych grup mieszkańców stopniowo rosła na przestrzeni analizowanych lat, liczba zarejestrowan</w:t>
      </w:r>
      <w:r w:rsidR="00F64B58" w:rsidRPr="00CE5D9A">
        <w:rPr>
          <w:rFonts w:ascii="Times New Roman" w:hAnsi="Times New Roman"/>
        </w:rPr>
        <w:t>ych organizacji pozarządowych w </w:t>
      </w:r>
      <w:r w:rsidRPr="00CE5D9A">
        <w:rPr>
          <w:rFonts w:ascii="Times New Roman" w:hAnsi="Times New Roman"/>
        </w:rPr>
        <w:t xml:space="preserve">przeliczeniu na 10 tys. mieszkańców w 2021 r. i każdym poprzednim była dla LGD niższa niż średnia dla województwa małopolskiego i Polski. Ponadto mieszkańcy na spotkaniach </w:t>
      </w:r>
      <w:r w:rsidR="00F64B58" w:rsidRPr="00CE5D9A">
        <w:rPr>
          <w:rFonts w:ascii="Times New Roman" w:hAnsi="Times New Roman"/>
        </w:rPr>
        <w:t>zauważali, że występują braki w </w:t>
      </w:r>
      <w:r w:rsidRPr="00CE5D9A">
        <w:rPr>
          <w:rFonts w:ascii="Times New Roman" w:hAnsi="Times New Roman"/>
        </w:rPr>
        <w:t xml:space="preserve">aktywności społecznej oraz integracji różnych podmiotów. </w:t>
      </w:r>
    </w:p>
    <w:p w14:paraId="13C8B99E"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Obszar LGD posiada bogatą historię i dziedzictwo kulturowe, w tym znaczną ilość obiektów zabytkowych. Spójność kulturowa mająca swoje korzenie w historii obszaru znajduje wyraz w istniejących obiektach kultury materialnej, są to zarówno kościoły i cmentarze, jak również pomniki oraz parki. W rejestrze zabytków Narodowego Instytutu Dziedzictwa znajduje się wiele cennych zabytków zlokalizowanych na obszarze LGD.</w:t>
      </w:r>
    </w:p>
    <w:p w14:paraId="168592E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 zbudowanie tożsamości lokalnej. Działania ukierunkowane na dzieci i młodzież poprzez zapewnienie im opieki, rozwój ich pasji i talentów oraz wyrównanie szans edukacyjnych mogą przyczynić się również do zwiększenia zainteresowania obszarem jako miejscem do życia, z dostępem do usług na takim samym poziomie jak w większych miastach, szczególnie w zakresie edukacji dzieci. Działania będą też ukierunkowane na zwiększenie świadomości obywatelskiej młodzieży oraz aktywności w życiu lokalnej społeczności, tak aby z czasem zaczęli przejmować inicjatywę i sami kreować miejsce, w którym żyją. Niewątpliwie do rozwoju ludzi młodych przyczyni się wprowadzanie innowacyjnych rozwiązań związanych z zagospodarowaniem czasu wolnego.</w:t>
      </w:r>
    </w:p>
    <w:p w14:paraId="1D60893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Na rozwój obszaru ma również wpływ mocny kapitał społeczny i zaangażowanie mieszkańców w życie swoich społeczności. Na obszarze działają stowarzyszenia, które należy wspierać i umacniać do dalszego rozwoju. Dlatego bardzo ważne będzie skierowanie działań integrujących i wzmacniających tożsamość lokalną oraz kreujących lokalnych liderów życia społecznego i publicznego oraz wzmacniających działalność organizacji pozarządowych.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w:t>
      </w:r>
      <w:r w:rsidR="00F64B58" w:rsidRPr="00CE5D9A">
        <w:rPr>
          <w:rFonts w:ascii="Times New Roman" w:hAnsi="Times New Roman"/>
        </w:rPr>
        <w:t>dą już nie tylko partycypować w </w:t>
      </w:r>
      <w:r w:rsidRPr="00CE5D9A">
        <w:rPr>
          <w:rFonts w:ascii="Times New Roman" w:hAnsi="Times New Roman"/>
        </w:rPr>
        <w:t xml:space="preserve">podejmowaniu decyzji o obszarze, ale również zaczną sami go zmieniać. Zwiększenie integracji między społecznością lokalną przyczyni się także do współpracy zarówno organizacji pozarządowych jak i nieformalnych grup mieszkańców z innymi społecznościami w kraju, co wpłynie na promocję tradycji i kultury regionu poza granicami LGD i województwa, a także pozwoli na poznanie innych regionów oraz na wymianę dobrych praktyk. </w:t>
      </w:r>
    </w:p>
    <w:p w14:paraId="1B7D0E2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Istotną rolę pod względem rozwoju obszaru odgrywa środowisko przyrodnicze. W celu ochrony środowiska i ograniczania niskiej emisji, koniczne będzie wdrażanie działa</w:t>
      </w:r>
      <w:r w:rsidR="00F64B58" w:rsidRPr="00CE5D9A">
        <w:rPr>
          <w:rFonts w:ascii="Times New Roman" w:hAnsi="Times New Roman"/>
        </w:rPr>
        <w:t>ń mających na celu szanowanie i </w:t>
      </w:r>
      <w:r w:rsidRPr="00CE5D9A">
        <w:rPr>
          <w:rFonts w:ascii="Times New Roman" w:hAnsi="Times New Roman"/>
        </w:rPr>
        <w:t>racjonalne wykorzystywanie zasobów środowiskowych, a także udostępnianie ich mieszkańcom i przyjezdnym. Uświadamianie społeczeństwa w zakresie korzystania z technologii oszczędnych energetycznie powinno być jednym z wielu zadań realizowanych przez LGD. Istotne jest też, aby edukować społeczeństwo szerzej w zakresie ekologii, a także świadomej konsumpcji. Tego typu działania są istotne nie tylko ze środowiskowego punktu widzenia, ale też konieczne ze względu na mieszkańców, którym należy zapewnić dostęp do podstawowej infrastruktury i usług.</w:t>
      </w:r>
    </w:p>
    <w:p w14:paraId="2793A0DE" w14:textId="77777777" w:rsidR="00686DFE" w:rsidRPr="00CE5D9A" w:rsidRDefault="00686DFE">
      <w:pPr>
        <w:spacing w:after="0" w:line="276" w:lineRule="auto"/>
        <w:ind w:firstLine="708"/>
        <w:jc w:val="both"/>
        <w:rPr>
          <w:rFonts w:ascii="Times New Roman" w:hAnsi="Times New Roman"/>
          <w:i/>
          <w:iCs/>
        </w:rPr>
      </w:pPr>
      <w:r w:rsidRPr="00CE5D9A">
        <w:rPr>
          <w:rFonts w:ascii="Times New Roman" w:hAnsi="Times New Roman"/>
        </w:rPr>
        <w:t>Jako grupę osób w niekorzystnej sytuacji zdefiniowano osoby niepełnosprawne oraz ich opiekunów, ze względu na potrzeby zgłaszane na spotkaniach konsultacyjnych na etapie opracowania LSR oraz w badaniach ankietowych. Osoby te mierzą się z problem dostępności, która jest jednym z podstawowych warunków uczestnictwa osób niepełnosprawnych w życiu społecznym i zawodowym. Stanowi ona o możliwości wykonywania ról społecznych i prowadzenia niezależnego życia tej grupy osób. Uczestnicy spotkań zwrócili uwagę, że potrzeby osób z niepełnosprawnościami i ich opiekunów są duże i wymagają znacznych nakładów pieniężnych, jednak realizacja nawet niewielkich działań przyczyni się do popr</w:t>
      </w:r>
      <w:r w:rsidR="00F64B58" w:rsidRPr="00CE5D9A">
        <w:rPr>
          <w:rFonts w:ascii="Times New Roman" w:hAnsi="Times New Roman"/>
        </w:rPr>
        <w:t>awy jakości ich życia. Jednym z </w:t>
      </w:r>
      <w:r w:rsidRPr="00CE5D9A">
        <w:rPr>
          <w:rFonts w:ascii="Times New Roman" w:hAnsi="Times New Roman"/>
        </w:rPr>
        <w:t xml:space="preserve">wymienianych problemów osób z niepełnosprawnościami i ich opiekunów są przeszkody architektoniczne oraz niedostosowana do ich potrzeb infrastruktura. Szczególe braki zauważono w infrastrukturze dla dzieci. W związku z tym uznano, że w kolejnych latach działania będą kierowane na dostosowanie ogólnodostępnej infrastruktury publicznej dla osób z niepełnosprawnościami i ich opiekunów, co niewątpliwie będzie innowacją na obszarze. Również działania zwiększające dostęp do oferty edukacyjnej, kulturalnej i integracyjnej będą kierowane do osób z niepełnosprawnościami i ich opiekunów. Należy podejmować wszelkie działania, które przyczynią się do integracji i aktywizacji osób niepełnosprawnych oraz wzmocnią potencjał podmiotów działających na ich rzecz. Bardzo ważne będą działania w zakresie poprawy dostępu do małej infrastruktury publicznej z udogodnieniami dla osób z niepełnosprawnościami. Przedsięwzięcia, które będą skierowane do osób z niepełnosprawnościami i ich opiekunów wpisują się w założenia </w:t>
      </w:r>
      <w:r w:rsidRPr="00CE5D9A">
        <w:rPr>
          <w:rFonts w:ascii="Times New Roman" w:hAnsi="Times New Roman"/>
          <w:i/>
          <w:iCs/>
        </w:rPr>
        <w:t>Programu Działań Na Rzecz Osób Niepełnosprawnych w Powiecie Myślenickim na lata 2021–2026</w:t>
      </w:r>
      <w:r w:rsidRPr="00CE5D9A">
        <w:rPr>
          <w:rFonts w:ascii="Times New Roman" w:hAnsi="Times New Roman"/>
        </w:rPr>
        <w:t xml:space="preserve">, a w szczególności w cel strategiczny 2 </w:t>
      </w:r>
      <w:r w:rsidRPr="00CE5D9A">
        <w:rPr>
          <w:rFonts w:ascii="Times New Roman" w:hAnsi="Times New Roman"/>
          <w:i/>
          <w:iCs/>
        </w:rPr>
        <w:t>Zapewnienie wysokiej jakości życia osób z niepełnosprawnościami na terenie powiatu myślenickiego.</w:t>
      </w:r>
    </w:p>
    <w:p w14:paraId="658F23D0"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Zarówno dane GUS jak i rozmowy z mieszkańcami podczas konsultacji pokazały, iż obszar ma potencjał do rozwoju w kierunku rekreacji i aktywnego wypoczynku. Ponadto biorąc pod uwagę fakt, iż mieszkańcy narzekali na słabo rozwiniętą infrastrukturę rekreacyjną oraz niewystarczającą ofertę spędzania czasu wolnego, działania zostaną skierowane na rozwój zarówno ogólnodostępnej infrastruktury, która będzie dostosowana do osób z różnymi potrzebami, tak aby zarówno dzieci i młodzież, osoby w wieku</w:t>
      </w:r>
      <w:r w:rsidR="00F64B58" w:rsidRPr="00CE5D9A">
        <w:rPr>
          <w:rFonts w:ascii="Times New Roman" w:hAnsi="Times New Roman"/>
        </w:rPr>
        <w:t xml:space="preserve"> produkcyjnym jak i seniorzy, a </w:t>
      </w:r>
      <w:r w:rsidRPr="00CE5D9A">
        <w:rPr>
          <w:rFonts w:ascii="Times New Roman" w:hAnsi="Times New Roman"/>
        </w:rPr>
        <w:t>także osoby z niepełnosprawnościami mogły z niej korzystać i spędzać wspólnie czas. Istotne jest również zadbanie o przestrzeń i zwiększenie ilości miejsc do wypoczynku i rekreacji nie tylko dla mieszkańców, ale również dla osób odwiedzających obszar LGD oraz organizację wydarz</w:t>
      </w:r>
      <w:r w:rsidR="00F64B58" w:rsidRPr="00CE5D9A">
        <w:rPr>
          <w:rFonts w:ascii="Times New Roman" w:hAnsi="Times New Roman"/>
        </w:rPr>
        <w:t>eń edukacyjnych, kulturalnych i </w:t>
      </w:r>
      <w:r w:rsidRPr="00CE5D9A">
        <w:rPr>
          <w:rFonts w:ascii="Times New Roman" w:hAnsi="Times New Roman"/>
        </w:rPr>
        <w:t>integrujących społeczeństwo. W działania na rzecz lokalnego rozwoju oraz t</w:t>
      </w:r>
      <w:r w:rsidR="00F64B58" w:rsidRPr="00CE5D9A">
        <w:rPr>
          <w:rFonts w:ascii="Times New Roman" w:hAnsi="Times New Roman"/>
        </w:rPr>
        <w:t>worzenia miejsc do wypoczynku i </w:t>
      </w:r>
      <w:r w:rsidRPr="00CE5D9A">
        <w:rPr>
          <w:rFonts w:ascii="Times New Roman" w:hAnsi="Times New Roman"/>
        </w:rPr>
        <w:t xml:space="preserve">integracji będzie zaangażowana cała społeczność, która obejmuje mieszkańców, przedsiębiorców oraz samorządy lokalne. </w:t>
      </w:r>
    </w:p>
    <w:p w14:paraId="3F5DC11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 xml:space="preserve">Atutem obszaru jest spójność pod względem kulturowym. </w:t>
      </w:r>
      <w:r w:rsidRPr="00CE5D9A">
        <w:rPr>
          <w:rStyle w:val="Pogrubienie"/>
          <w:rFonts w:ascii="Times New Roman" w:hAnsi="Times New Roman"/>
          <w:b w:val="0"/>
          <w:bCs w:val="0"/>
          <w:shd w:val="clear" w:color="auto" w:fill="FFFFFF"/>
        </w:rPr>
        <w:t>Bardzo ważna dla obszaru LGD jest kultura ludowa, która charakteryzuje się dużą oryginalnością, na co wpływ miała wspólna historia. Specyfiką obszaru jest to, że występuje bardzo mocne przywiązanie do tradycji, które przetrwały i są nadal kultywowane. Charakterystycznym elementem dla obszaru LGD jest kowalstwo, kamieniarstwo i bednarstwo</w:t>
      </w:r>
      <w:r w:rsidRPr="00CE5D9A">
        <w:rPr>
          <w:rFonts w:ascii="Times New Roman" w:hAnsi="Times New Roman"/>
        </w:rPr>
        <w:t>. Ważnym elementem dla zamieszkującej obszar LGD ludności jest muzyka i folklor na niej oparty. Ponadto na terenie gmin obszaru funkcjonują podmioty tworzące bazę dla rozwoju turystyki i stanowią one podstawę rozwoju tego obszaru. Analiza mocnych i słabych stron obszaru wypracowana przez mieszkańców podczas spotkań warsztatowych oraz wyniki z ankiet na potrzeby opracowania niniejszej Strategii wskazują, że powinny zostać wykorzystane potencjały jakimi są: ciekawa historia i dziedzictwo kulturowe obszaru, które powinny stanowić fundament do działania na rzecz lokalnego rozwoju oraz tworzenia miejsc do wypoczynku i integracji.</w:t>
      </w:r>
    </w:p>
    <w:p w14:paraId="0AC6A4F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Wszystkie powyższe działania powinny również być skierowane do seniorów, którzy stanowią liczną grupę w lokalnej społeczności, co podkreślali sami mieszkańcy podczas spotkań gminnych. Przede wszystkim należy skierować do nich działania aktywizujące oraz włączające do życia w społeczeństwie, by jak najdłużej mogli brać aktywny udział w rozwoju gospodarczym obszaru oraz w życiu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w:t>
      </w:r>
      <w:r w:rsidR="00985E99" w:rsidRPr="00CE5D9A">
        <w:rPr>
          <w:rFonts w:ascii="Times New Roman" w:hAnsi="Times New Roman"/>
        </w:rPr>
        <w:t>ak i </w:t>
      </w:r>
      <w:r w:rsidRPr="00CE5D9A">
        <w:rPr>
          <w:rFonts w:ascii="Times New Roman" w:hAnsi="Times New Roman"/>
        </w:rPr>
        <w:t>różnego rodzaju zajęcia oraz promowanie zdrowego i aktywnego trybu życia. LGD powinno również promować rozwój wolontariatu oraz opieki nad osobami starszymi i dostosowanie usług lokalnych do ich potrzeb. Biorąc pod uwagę niską frekwencję seniorów w badaniach ankietowych,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01B293DC"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Ponieważ mieszkańcy zwracali uwagę na korzyści płynące z realizacji projektów w partnerstwie, w których LGD nabierała doświadczenia w poprzedniej perspektywie, będą też podejmowane działania w tym zakresie. LGD będzie aktywnie animowała mieszkańców do realizacji projektów w partnerstwie,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3ADF1E63" w14:textId="1546450E"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Powyższe działania będą zgodne z ideą rozwoju obszaru w kierunku</w:t>
      </w:r>
      <w:r w:rsidR="00F958B2" w:rsidRPr="00CE5D9A">
        <w:rPr>
          <w:rFonts w:ascii="Times New Roman" w:hAnsi="Times New Roman"/>
        </w:rPr>
        <w:t xml:space="preserve"> </w:t>
      </w:r>
      <w:r w:rsidRPr="00CE5D9A">
        <w:rPr>
          <w:rFonts w:ascii="Times New Roman" w:hAnsi="Times New Roman"/>
        </w:rPr>
        <w:t>inteligentnych wsi, gdzie różne podmioty współdziałając będą wykorzystywały zasoby lokalne do rozwoju. Istotne znaczenie w koncepcji Smart Village będzie pobudzenie aktywności społecznej mieszkańców, zwiększenie cyfryzacji obszaru oraz wprowadzanie innowacyjnych rozwiązań, które pomogą polepszyć warunki życia na obszarze LGD. Silne i zintegrowane społeczeństwo będzie wykorzystywało technologię, nabytą wiedzę oraz wykreowaną przestrzeń do ciągłego rozwoju obszaru, co niewątpliwie przełoży się również na rozwój gospodarczy mieszkańców.</w:t>
      </w:r>
    </w:p>
    <w:p w14:paraId="1C9D900A" w14:textId="77777777" w:rsidR="002402B7" w:rsidRPr="00CE5D9A" w:rsidRDefault="00686DFE" w:rsidP="002402B7">
      <w:pPr>
        <w:spacing w:after="0" w:line="276" w:lineRule="auto"/>
        <w:ind w:firstLine="708"/>
        <w:jc w:val="both"/>
        <w:rPr>
          <w:rFonts w:ascii="Times New Roman" w:hAnsi="Times New Roman"/>
        </w:rPr>
      </w:pPr>
      <w:r w:rsidRPr="00CE5D9A">
        <w:rPr>
          <w:rFonts w:ascii="Times New Roman" w:hAnsi="Times New Roman"/>
        </w:rPr>
        <w:t xml:space="preserve">Reasumując: rekomendacją dla LGD na najbliższe lata jest podjęcie szeregu działań pobudzających aktywność społeczną i gospodarczą mieszkańców, promujących zdrowy i aktywny styl życia oraz dbanie o środowisko naturalne, a także racjonalne wykorzystywanie przestrzeni. Ponadto zachęcanie mieszkańców do podejmowania wspólnych inicjatyw na rzecz włączenia społecznego seniorów oraz osób z niepełnosprawnościami, które są w niekorzystnej sytuacji, a także stworzenia odpowiednich warunków do rozwoju dzieci i ludzi młodych. Działania LGD przyczynią się do wzmocnienia pozycji obszaru i stworzenia wizerunku atrakcyjnego miejsca do zamieszkania i rozwoju. W najbliższych latach szczególny nacisk zostanie położony na zwiększenie aktywności lokalnej społeczności na rzecz polepszenia warunków do życia na obszarze poprzez animowanie mieszkańców do współpracy międzysektorowej. LGD przewiduje informowanie o swoich działaniach różnymi środkami komunikacji dostosowanymi do różnych grup wiekowych, aby dotrzeć do jak najszerszego grona odbiorców. Obszar LGD zapewniający szerokie wsparcie oraz tworzący przyjazną przestrzeń zatrzyma i przyciągnie </w:t>
      </w:r>
      <w:r w:rsidRPr="00CE5D9A">
        <w:rPr>
          <w:rFonts w:ascii="Times New Roman" w:hAnsi="Times New Roman"/>
        </w:rPr>
        <w:lastRenderedPageBreak/>
        <w:t>najzdolniejszych i najbardziej przedsiębiorczych mieszkańców, co wpłynie na wzmocnienie jego pozycji oraz rozwój.</w:t>
      </w:r>
    </w:p>
    <w:p w14:paraId="63AB9278" w14:textId="77777777" w:rsidR="002402B7" w:rsidRPr="00CE5D9A" w:rsidRDefault="002402B7" w:rsidP="002402B7">
      <w:pPr>
        <w:spacing w:line="276" w:lineRule="auto"/>
        <w:ind w:firstLine="708"/>
        <w:jc w:val="both"/>
        <w:rPr>
          <w:rFonts w:ascii="Times New Roman" w:hAnsi="Times New Roman"/>
        </w:rPr>
      </w:pPr>
      <w:r w:rsidRPr="00CE5D9A">
        <w:rPr>
          <w:rFonts w:ascii="Times New Roman" w:hAnsi="Times New Roman"/>
        </w:rPr>
        <w:t xml:space="preserve">Zdiagnozowane na obszarze zakresy problemowe będą mogły być rozwiązywane w formie wsparcia lokalnych i ponadlokalnych inicjatyw. Wsparcie to będzie mogło być bezpośrednio finansowane z funduszy EFSI w ramach operacji w partnerstwie jak i projektów partnerskich, szczególnie w zakresie usług, infrastruktury społecznej, infrastruktury rekreacyjnej oraz aktywizacji seniorów i ludzi młodych do 25. roku życia oraz osób z niepełnosprawnościami i ich opiekunów. Ponadto LGD może pozyskać dodatkowe środki, które będą przyczyniać się do rozwiązania problemów obszaru, nie tylko poprzez projekty własne LGD, ale także partnerstwo w projektach lokalnych i ponadlokalnych. LGD będzie mogło m.in. podejmować współpracę z lokalnymi samorządami w projektach, które będą realizowane w ramach Krakowskiego Obszaru Funkcjonalnego. </w:t>
      </w:r>
    </w:p>
    <w:p w14:paraId="481EE055" w14:textId="77777777" w:rsidR="00686DFE" w:rsidRPr="00CE5D9A" w:rsidRDefault="00686DFE">
      <w:pPr>
        <w:pStyle w:val="Akapitzlist"/>
        <w:numPr>
          <w:ilvl w:val="0"/>
          <w:numId w:val="29"/>
        </w:numPr>
        <w:spacing w:line="276" w:lineRule="auto"/>
        <w:ind w:left="993" w:hanging="426"/>
        <w:jc w:val="both"/>
        <w:rPr>
          <w:rFonts w:ascii="Times New Roman" w:hAnsi="Times New Roman"/>
          <w:b/>
          <w:bCs/>
        </w:rPr>
      </w:pPr>
      <w:r w:rsidRPr="00CE5D9A">
        <w:rPr>
          <w:rFonts w:ascii="Times New Roman" w:hAnsi="Times New Roman"/>
          <w:b/>
          <w:bCs/>
        </w:rPr>
        <w:t>Kluczowe problemy i potrzeby:</w:t>
      </w:r>
    </w:p>
    <w:p w14:paraId="6390F571"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niewystarczająco dostosowana infrastruktura i usługi publiczne do zachodzących zmian demograficznych;</w:t>
      </w:r>
    </w:p>
    <w:p w14:paraId="4B24E4B7"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 xml:space="preserve">braki w przedsiębiorczości i innowacyjności – niedostateczny rozwój lokalnej przedsiębiorczości; </w:t>
      </w:r>
    </w:p>
    <w:p w14:paraId="61671333"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niedostatecznie zagospodarowany potencjał kulturowy, przyrodniczy i turystyczny;</w:t>
      </w:r>
    </w:p>
    <w:p w14:paraId="4A5879BF"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niedostateczna aktywność społeczna mieszkańców;</w:t>
      </w:r>
    </w:p>
    <w:p w14:paraId="3F4375A5"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niewystarczająca dostępność mieszkańców do usług społecznych i zdrowotnych.</w:t>
      </w:r>
    </w:p>
    <w:p w14:paraId="1A050BF1" w14:textId="77777777" w:rsidR="00686DFE" w:rsidRPr="00CE5D9A" w:rsidRDefault="00686DFE">
      <w:pPr>
        <w:pStyle w:val="Akapitzlist"/>
        <w:numPr>
          <w:ilvl w:val="0"/>
          <w:numId w:val="29"/>
        </w:numPr>
        <w:spacing w:line="276" w:lineRule="auto"/>
        <w:ind w:left="993" w:hanging="426"/>
        <w:jc w:val="both"/>
        <w:rPr>
          <w:rFonts w:ascii="Times New Roman" w:hAnsi="Times New Roman"/>
          <w:b/>
          <w:bCs/>
        </w:rPr>
      </w:pPr>
      <w:r w:rsidRPr="00CE5D9A">
        <w:rPr>
          <w:rFonts w:ascii="Times New Roman" w:hAnsi="Times New Roman"/>
          <w:b/>
          <w:bCs/>
        </w:rPr>
        <w:t>Kluczowe zasoby i potencjały:</w:t>
      </w:r>
    </w:p>
    <w:p w14:paraId="4EA7DD97"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walory przyrodnicze i krajobrazowe;</w:t>
      </w:r>
    </w:p>
    <w:p w14:paraId="18ECB6CF"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bogata historia i dziedzictwo kulturowe, w tym cenne zabytki;</w:t>
      </w:r>
    </w:p>
    <w:p w14:paraId="4C2DEB94" w14:textId="77777777" w:rsidR="00686DFE" w:rsidRPr="00CE5D9A" w:rsidRDefault="00686DFE">
      <w:pPr>
        <w:pStyle w:val="Akapitzlist"/>
        <w:numPr>
          <w:ilvl w:val="0"/>
          <w:numId w:val="30"/>
        </w:numPr>
        <w:spacing w:line="276" w:lineRule="auto"/>
        <w:jc w:val="both"/>
        <w:rPr>
          <w:rFonts w:ascii="Times New Roman" w:hAnsi="Times New Roman"/>
        </w:rPr>
      </w:pPr>
      <w:r w:rsidRPr="00CE5D9A">
        <w:rPr>
          <w:rFonts w:ascii="Times New Roman" w:hAnsi="Times New Roman"/>
        </w:rPr>
        <w:t>warunki umożliwiające rozwój funkcji osiedleńczej obszaru;</w:t>
      </w:r>
    </w:p>
    <w:p w14:paraId="18B37871" w14:textId="495C5F3B" w:rsidR="00686DFE" w:rsidRPr="00CE5D9A" w:rsidRDefault="00686DFE">
      <w:pPr>
        <w:pStyle w:val="Akapitzlist"/>
        <w:numPr>
          <w:ilvl w:val="0"/>
          <w:numId w:val="30"/>
        </w:numPr>
        <w:spacing w:line="276" w:lineRule="auto"/>
        <w:ind w:left="1423" w:hanging="357"/>
        <w:contextualSpacing w:val="0"/>
        <w:jc w:val="both"/>
        <w:rPr>
          <w:rFonts w:ascii="Times New Roman" w:hAnsi="Times New Roman"/>
        </w:rPr>
      </w:pPr>
      <w:r w:rsidRPr="00CE5D9A">
        <w:rPr>
          <w:rFonts w:ascii="Times New Roman" w:hAnsi="Times New Roman"/>
        </w:rPr>
        <w:t>doświadczenie we współpracy wielosektorowej, w ty</w:t>
      </w:r>
      <w:r w:rsidR="00985E99" w:rsidRPr="00CE5D9A">
        <w:rPr>
          <w:rFonts w:ascii="Times New Roman" w:hAnsi="Times New Roman"/>
        </w:rPr>
        <w:t xml:space="preserve">m w ramach </w:t>
      </w:r>
      <w:r w:rsidR="00636B85" w:rsidRPr="003D77F1">
        <w:rPr>
          <w:rFonts w:ascii="Times New Roman" w:hAnsi="Times New Roman"/>
          <w:color w:val="FF0000"/>
        </w:rPr>
        <w:t xml:space="preserve">LGD Regionu Myślenickiego </w:t>
      </w:r>
      <w:r w:rsidR="00985E99" w:rsidRPr="00636B85">
        <w:rPr>
          <w:rFonts w:ascii="Times New Roman" w:hAnsi="Times New Roman"/>
          <w:strike/>
          <w:color w:val="FF0000"/>
        </w:rPr>
        <w:t>LGD Między Dalinem i </w:t>
      </w:r>
      <w:r w:rsidRPr="00636B85">
        <w:rPr>
          <w:rFonts w:ascii="Times New Roman" w:hAnsi="Times New Roman"/>
          <w:strike/>
          <w:color w:val="FF0000"/>
        </w:rPr>
        <w:t>Gościbią.</w:t>
      </w:r>
    </w:p>
    <w:p w14:paraId="38203B34" w14:textId="77777777" w:rsidR="00686DFE" w:rsidRPr="00CE5D9A" w:rsidRDefault="00686DFE">
      <w:pPr>
        <w:pStyle w:val="Akapitzlist"/>
        <w:numPr>
          <w:ilvl w:val="0"/>
          <w:numId w:val="14"/>
        </w:numPr>
        <w:spacing w:before="240" w:line="276" w:lineRule="auto"/>
        <w:ind w:left="1134" w:hanging="357"/>
        <w:contextualSpacing w:val="0"/>
        <w:jc w:val="both"/>
        <w:outlineLvl w:val="1"/>
        <w:rPr>
          <w:rFonts w:ascii="Times New Roman" w:hAnsi="Times New Roman"/>
          <w:b/>
          <w:bCs/>
        </w:rPr>
      </w:pPr>
      <w:bookmarkStart w:id="139" w:name="_Toc135647307"/>
      <w:bookmarkStart w:id="140" w:name="_Toc135994836"/>
      <w:r w:rsidRPr="00CE5D9A">
        <w:rPr>
          <w:rFonts w:ascii="Times New Roman" w:hAnsi="Times New Roman"/>
          <w:b/>
          <w:bCs/>
        </w:rPr>
        <w:t>Grupy docelowe</w:t>
      </w:r>
      <w:bookmarkEnd w:id="139"/>
      <w:bookmarkEnd w:id="140"/>
    </w:p>
    <w:p w14:paraId="478BFD8D" w14:textId="77777777" w:rsidR="00686DFE" w:rsidRPr="00CE5D9A" w:rsidRDefault="00686DFE">
      <w:pPr>
        <w:pStyle w:val="Akapitzlist"/>
        <w:spacing w:before="240" w:line="276" w:lineRule="auto"/>
        <w:ind w:left="0" w:firstLine="708"/>
        <w:jc w:val="both"/>
        <w:rPr>
          <w:rFonts w:ascii="Times New Roman" w:hAnsi="Times New Roman"/>
        </w:rPr>
      </w:pPr>
      <w:r w:rsidRPr="00CE5D9A">
        <w:rPr>
          <w:rFonts w:ascii="Times New Roman" w:hAnsi="Times New Roman"/>
        </w:rPr>
        <w:t>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osób w niekorzystnej sytuacji, która wymaga szczególnego wsparcia.</w:t>
      </w:r>
    </w:p>
    <w:p w14:paraId="608AE4E2" w14:textId="7E421CC9" w:rsidR="00686DFE" w:rsidRPr="00CE5D9A" w:rsidRDefault="00686DFE">
      <w:pPr>
        <w:pStyle w:val="Akapitzlist"/>
        <w:spacing w:before="240" w:line="276" w:lineRule="auto"/>
        <w:ind w:left="0" w:firstLine="708"/>
        <w:jc w:val="both"/>
        <w:rPr>
          <w:rFonts w:ascii="Times New Roman" w:hAnsi="Times New Roman"/>
        </w:rPr>
      </w:pPr>
      <w:r w:rsidRPr="00CE5D9A">
        <w:rPr>
          <w:rFonts w:ascii="Times New Roman" w:hAnsi="Times New Roman"/>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niewielka – średnia wartość wskaźnika </w:t>
      </w:r>
      <w:r w:rsidRPr="00CE5D9A">
        <w:rPr>
          <w:rFonts w:ascii="Times New Roman" w:hAnsi="Times New Roman"/>
          <w:i/>
          <w:iCs/>
        </w:rPr>
        <w:t xml:space="preserve">fundacje, stowarzyszenia, organizacje społeczne na 10 tys. mieszkańców </w:t>
      </w:r>
      <w:r w:rsidRPr="00CE5D9A">
        <w:rPr>
          <w:rFonts w:ascii="Times New Roman" w:hAnsi="Times New Roman"/>
        </w:rPr>
        <w:t xml:space="preserve">w 2021 r. i każdym poprzednim była dla LGD niższa niż średnia dla województwa małopolskiego i Polski. Wewnątrz obszaru najwyższy wynik w tym zakresie w 2021 r. wystąpił w Gminie Wiśniowa (40), przy czym nadal był mniej korzystny niż średnio w kraju i województwie. Ponadto z rekomendacji płynących z </w:t>
      </w:r>
      <w:bookmarkStart w:id="141" w:name="_Hlk134721007"/>
      <w:r w:rsidRPr="00CE5D9A">
        <w:rPr>
          <w:rFonts w:ascii="Times New Roman" w:hAnsi="Times New Roman"/>
          <w:i/>
          <w:iCs/>
        </w:rPr>
        <w:t xml:space="preserve">Ewaluacji zewnętrznej małopolskich lokalnych strategii rozwoju Lokalna Grupa Działania </w:t>
      </w:r>
      <w:bookmarkEnd w:id="141"/>
      <w:r w:rsidRPr="00CE5D9A">
        <w:rPr>
          <w:rFonts w:ascii="Times New Roman" w:hAnsi="Times New Roman"/>
          <w:i/>
          <w:iCs/>
        </w:rPr>
        <w:t>„Między Dalinem i Gościbią”</w:t>
      </w:r>
      <w:r w:rsidRPr="00CE5D9A">
        <w:rPr>
          <w:rFonts w:ascii="Times New Roman" w:hAnsi="Times New Roman"/>
        </w:rPr>
        <w:t xml:space="preserve"> wynika, iż:</w:t>
      </w:r>
      <w:r w:rsidRPr="00CE5D9A">
        <w:rPr>
          <w:rFonts w:ascii="Times New Roman" w:hAnsi="Times New Roman"/>
          <w:i/>
          <w:iCs/>
        </w:rPr>
        <w:t xml:space="preserve"> </w:t>
      </w:r>
      <w:r w:rsidRPr="00CE5D9A">
        <w:rPr>
          <w:rFonts w:ascii="Times New Roman" w:hAnsi="Times New Roman"/>
        </w:rPr>
        <w:t xml:space="preserve">„należy w przyszłości kontynuować działania mające na celu rozwój przedsiębiorczości, współpracy międzysektorowej i różnorodności, ale także działania mające na celu rozwój kapitału społecznego gmin </w:t>
      </w:r>
      <w:r w:rsidR="00D14B74" w:rsidRPr="003D77F1">
        <w:rPr>
          <w:rFonts w:ascii="Times New Roman" w:hAnsi="Times New Roman"/>
          <w:color w:val="FF0000"/>
        </w:rPr>
        <w:t xml:space="preserve">LGD Regionu Myślenickiego </w:t>
      </w:r>
      <w:r w:rsidRPr="00D14B74">
        <w:rPr>
          <w:rFonts w:ascii="Times New Roman" w:hAnsi="Times New Roman"/>
          <w:strike/>
          <w:color w:val="FF0000"/>
        </w:rPr>
        <w:t>LGD Między Dalinem i Gościbią”.</w:t>
      </w:r>
      <w:r w:rsidRPr="00D14B74">
        <w:rPr>
          <w:rFonts w:ascii="Times New Roman" w:hAnsi="Times New Roman"/>
          <w:color w:val="FF0000"/>
        </w:rPr>
        <w:t xml:space="preserve"> </w:t>
      </w:r>
      <w:r w:rsidRPr="00CE5D9A">
        <w:rPr>
          <w:rFonts w:ascii="Times New Roman" w:hAnsi="Times New Roman"/>
        </w:rPr>
        <w:t xml:space="preserve">Podczas spotkań z mieszkańcami pojawiały się głosy, że potencjał organizacji pozarządowych nie jest wystarczająco wykorzystywany. Pomocne będą przedsięwzięcia służące integracji społecznej i wzmacnianiu poczucia jedności i tożsamości, wspieraniu </w:t>
      </w:r>
      <w:r w:rsidR="00E91BE7" w:rsidRPr="00CE5D9A">
        <w:rPr>
          <w:rFonts w:ascii="Times New Roman" w:hAnsi="Times New Roman"/>
        </w:rPr>
        <w:t>lokalnych liderów i działaczy w </w:t>
      </w:r>
      <w:r w:rsidRPr="00CE5D9A">
        <w:rPr>
          <w:rFonts w:ascii="Times New Roman" w:hAnsi="Times New Roman"/>
        </w:rPr>
        <w:t>organizacjach pozarządowych czy aktywizacji społeczności lokalnej zgodnie z koncepcją Smart Village.</w:t>
      </w:r>
    </w:p>
    <w:p w14:paraId="4B7BAA10" w14:textId="77777777" w:rsidR="00686DFE" w:rsidRPr="00CE5D9A" w:rsidRDefault="00686DFE">
      <w:pPr>
        <w:pStyle w:val="Akapitzlist"/>
        <w:spacing w:after="0" w:line="276" w:lineRule="auto"/>
        <w:ind w:left="0" w:firstLine="708"/>
        <w:jc w:val="both"/>
        <w:rPr>
          <w:rFonts w:ascii="Times New Roman" w:hAnsi="Times New Roman"/>
        </w:rPr>
      </w:pPr>
      <w:r w:rsidRPr="00CE5D9A">
        <w:rPr>
          <w:rFonts w:ascii="Times New Roman" w:hAnsi="Times New Roman"/>
        </w:rPr>
        <w:t>Trzecią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młodzież (39% odpowiedzi) jako grupę, do której powinny być skierowane działania w ramach LSR.</w:t>
      </w:r>
    </w:p>
    <w:p w14:paraId="6237FA3B" w14:textId="77777777" w:rsidR="00686DFE" w:rsidRPr="00CE5D9A" w:rsidRDefault="00686DFE">
      <w:pPr>
        <w:spacing w:after="0" w:line="276" w:lineRule="auto"/>
        <w:ind w:firstLine="709"/>
        <w:jc w:val="both"/>
        <w:rPr>
          <w:rFonts w:ascii="Times New Roman" w:hAnsi="Times New Roman"/>
        </w:rPr>
      </w:pPr>
      <w:r w:rsidRPr="00CE5D9A">
        <w:rPr>
          <w:rFonts w:ascii="Times New Roman" w:hAnsi="Times New Roman"/>
        </w:rPr>
        <w:lastRenderedPageBreak/>
        <w:t xml:space="preserve">Czwartą grupę docelową stanowią osoby powyżej 60. roku życia. W ramach LSR nastąpi aktywizacja seniorów. Jak wynika z diagnozy, obszar objęty LSR charakteryzuje się zjawiskiem starzejącego się społeczeństwa. Osoby starsze często wykazują chęć aktywności, pragną się integrować, ale brakuje im nierzadko środków. W ramach analizy na potrzeby </w:t>
      </w:r>
      <w:r w:rsidRPr="00CE5D9A">
        <w:rPr>
          <w:rFonts w:ascii="Times New Roman" w:hAnsi="Times New Roman"/>
          <w:i/>
          <w:iCs/>
        </w:rPr>
        <w:t xml:space="preserve">Ewaluacji zewnętrznej małopolskich lokalnych strategii rozwoju Lokalna Grupa Działania „Między Dalinem i Gościbią” </w:t>
      </w:r>
      <w:r w:rsidRPr="00CE5D9A">
        <w:rPr>
          <w:rFonts w:ascii="Times New Roman" w:hAnsi="Times New Roman"/>
        </w:rPr>
        <w:t>wykazały, iż w przyszłości należy wzmocnić działania w obszarze aktywizacji osób starszych. Należy ponadto podkreślić, iż mieszkańcy gmin wchodzących w skład LGD wskazali na potrzebę kontynuacji działań m.in. w opiece nad osobami starszymi oraz rozwoju infrastruktury społecznej. W badaniu ankietowym na etapie planistycznym ankietowani wskazali na pierwszym miejscu seniorów (56% odpowiedzi) jako grupę, do której powinny być skierowane działania w ramach LSR. O niskiej aktywności seniorów świadczy m.in. niski udział osób powyżej 60. roku życia w badaniu ankietowym prowadzonym przez LGD na potrzeby opracowania LSR (w pierwszym badaniu ankietowym wynosił 6%, zaś w drugim 13%).</w:t>
      </w:r>
    </w:p>
    <w:p w14:paraId="1887A225" w14:textId="653300C3" w:rsidR="00686DFE" w:rsidRPr="00CE5D9A" w:rsidRDefault="00686DFE">
      <w:pPr>
        <w:pStyle w:val="Akapitzlist"/>
        <w:spacing w:line="276" w:lineRule="auto"/>
        <w:ind w:left="0" w:firstLine="708"/>
        <w:jc w:val="both"/>
        <w:rPr>
          <w:rFonts w:ascii="Times New Roman" w:hAnsi="Times New Roman"/>
        </w:rPr>
      </w:pPr>
      <w:r w:rsidRPr="00CE5D9A">
        <w:rPr>
          <w:rFonts w:ascii="Times New Roman" w:hAnsi="Times New Roman"/>
        </w:rPr>
        <w:t xml:space="preserve">Ponadto w ramach grup docelowych została wskazana również grupa osób w niekorzystnej sytuacji. Grupę taką w przypadku </w:t>
      </w:r>
      <w:r w:rsidR="00D14B74" w:rsidRPr="003D77F1">
        <w:rPr>
          <w:rFonts w:ascii="Times New Roman" w:hAnsi="Times New Roman"/>
          <w:color w:val="FF0000"/>
        </w:rPr>
        <w:t xml:space="preserve">LGD Regionu Myślenickiego </w:t>
      </w:r>
      <w:r w:rsidRPr="00D14B74">
        <w:rPr>
          <w:rFonts w:ascii="Times New Roman" w:hAnsi="Times New Roman"/>
          <w:strike/>
          <w:color w:val="FF0000"/>
        </w:rPr>
        <w:t>LGD Między Dalinem i Gościbią</w:t>
      </w:r>
      <w:r w:rsidRPr="00D14B74">
        <w:rPr>
          <w:rFonts w:ascii="Times New Roman" w:hAnsi="Times New Roman"/>
          <w:color w:val="FF0000"/>
        </w:rPr>
        <w:t xml:space="preserve"> </w:t>
      </w:r>
      <w:r w:rsidRPr="00CE5D9A">
        <w:rPr>
          <w:rFonts w:ascii="Times New Roman" w:hAnsi="Times New Roman"/>
        </w:rPr>
        <w:t>stanowią osoby z niepełnosprawnościami i ich opiekunowie, ze względu na niedostosowaną do ich potrzeb infrastrukturę rekreacyjną. W badaniu ankietowych na etapie planistycznym 38% ankietowanych wskazało osoby z niepełnosprawnością jako grupę osób wymagającą szczególnego wsparcia. Grupa ta została również wskazana podczas konsultacji z mieszkańcami.</w:t>
      </w:r>
    </w:p>
    <w:p w14:paraId="266430D2" w14:textId="77777777" w:rsidR="00686DFE" w:rsidRPr="00CE5D9A" w:rsidRDefault="00686DFE">
      <w:pPr>
        <w:pStyle w:val="Akapitzlist"/>
        <w:numPr>
          <w:ilvl w:val="0"/>
          <w:numId w:val="2"/>
        </w:numPr>
        <w:outlineLvl w:val="0"/>
        <w:rPr>
          <w:rFonts w:ascii="Times New Roman" w:hAnsi="Times New Roman"/>
          <w:b/>
          <w:bCs/>
        </w:rPr>
      </w:pPr>
      <w:r w:rsidRPr="00CE5D9A">
        <w:rPr>
          <w:rFonts w:ascii="Times New Roman" w:hAnsi="Times New Roman"/>
          <w:i/>
          <w:iCs/>
        </w:rPr>
        <w:br w:type="page"/>
      </w:r>
      <w:bookmarkStart w:id="142" w:name="_Toc135994837"/>
      <w:bookmarkStart w:id="143" w:name="_Toc135647308"/>
      <w:r w:rsidRPr="00CE5D9A">
        <w:rPr>
          <w:rFonts w:ascii="Times New Roman" w:hAnsi="Times New Roman"/>
          <w:b/>
          <w:bCs/>
        </w:rPr>
        <w:lastRenderedPageBreak/>
        <w:t>SPÓJNOŚĆ, KOMPLEMENTARNOŚĆ I SYNERGIA</w:t>
      </w:r>
      <w:bookmarkEnd w:id="142"/>
      <w:bookmarkEnd w:id="143"/>
    </w:p>
    <w:p w14:paraId="6CB1B7C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Zgodnie ze specyfiką podejścia RLKS, LSR ma charakter zintegrowany. Zintegrowane podejście dla przedsięwzięć planowanych do realizacji w ramach jej wdrażania dotyczy dwóch aspektów. Pierwszy z nich odnosi się do zintegrowania celów i przedsięwzięć zaplanowanych w ramach LSR, zapewniających spójne i kompleksowe rozwiązanie zidentyfikowanych problemów i zaspokajanie zgłaszanych potrzeb przy wykorzystaniu istniejących zasobów, zachowując przy tym odpowiednią kolejność realizacji przedsięwzięć oraz współpracę różnych podmiotów. Drugie podejście związane jest z zapewnieniem zgodności celów LSR z innymi dokumentami planistycznymi / strategiami, w szczególności strategiami rozwoju województwa/województw, regionalnymi strategiami / programami regionalnymi lub tematycznymi czy strategiami ponadlokalnymi i terytorialnymi (ZIT/IIT) dotyczącymi obszaru działania LGD. </w:t>
      </w:r>
    </w:p>
    <w:p w14:paraId="78E48F81"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Lokalna Strategia Rozwoju w odpowiedzi na zidentyfikowane problemy obszaru określiła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zaplanowanego w LSR celu, zawarto kompleksowe podejście do rozwiązania kluczowych problemów i potrzeb, jakimi są: niewystarczająco dostosowana infrastruktura i usługi publiczne do zachodzących zmian demograficznych, braki w przedsiębiorczości i innowacyjności – niedostateczny rozwój lokalnej przedsiębiorczości, niedostatecznie zagospodarowany potencjał kulturowy, przyrodniczy i turystyczny, niedostateczna aktywność społeczna mieszkańców i braki w ofercie zagospodarowania czasu wolnego. </w:t>
      </w:r>
      <w:bookmarkStart w:id="144" w:name="_Hlk131510467"/>
      <w:r w:rsidRPr="00CE5D9A">
        <w:rPr>
          <w:rFonts w:ascii="Times New Roman" w:hAnsi="Times New Roman"/>
        </w:rPr>
        <w:t>Cel będzie realizowany przez przedsięwzięcia,</w:t>
      </w:r>
      <w:bookmarkEnd w:id="144"/>
      <w:r w:rsidRPr="00CE5D9A">
        <w:rPr>
          <w:rFonts w:ascii="Times New Roman" w:hAnsi="Times New Roman"/>
        </w:rPr>
        <w:t xml:space="preserve"> </w:t>
      </w:r>
      <w:r w:rsidRPr="00CE5D9A">
        <w:rPr>
          <w:rFonts w:ascii="Times New Roman" w:hAnsi="Times New Roman"/>
        </w:rPr>
        <w:br/>
        <w:t>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Realizacja przedsięwzięć, a szczególnie wdrożenie koncepcji Smart Village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w:t>
      </w:r>
      <w:r w:rsidR="00E91BE7" w:rsidRPr="00CE5D9A">
        <w:rPr>
          <w:rFonts w:ascii="Times New Roman" w:hAnsi="Times New Roman"/>
        </w:rPr>
        <w:t>tuacji oraz na ludzi młodych i </w:t>
      </w:r>
      <w:r w:rsidRPr="00CE5D9A">
        <w:rPr>
          <w:rFonts w:ascii="Times New Roman" w:hAnsi="Times New Roman"/>
        </w:rPr>
        <w:t xml:space="preserve">seniorów. W realizację przedsięwzięć będą zaangażowane różne podmioty, zarówno organizacje pozarządowe, podmioty z sektora gospodarczego, indywidualni mieszkańcy, a także jednostki samorządowe, co dodatkowo wzmocni integrację obszaru. Przedsięwzięcia zaplanowane do realizacji w ramach LSR będą wpływać na osiągnięcie wskaźników rezultatu określonych w </w:t>
      </w:r>
      <w:r w:rsidRPr="00CE5D9A">
        <w:rPr>
          <w:rFonts w:ascii="Times New Roman" w:hAnsi="Times New Roman"/>
          <w:i/>
          <w:iCs/>
        </w:rPr>
        <w:t>Planie Strategicznym dla Wspólnej Polityki Rolnej na lata 2023–2027</w:t>
      </w:r>
      <w:r w:rsidRPr="00CE5D9A">
        <w:rPr>
          <w:rFonts w:ascii="Times New Roman" w:hAnsi="Times New Roman"/>
        </w:rPr>
        <w:t>, a</w:t>
      </w:r>
      <w:r w:rsidRPr="00CE5D9A">
        <w:rPr>
          <w:rFonts w:ascii="Times New Roman" w:hAnsi="Times New Roman"/>
          <w:i/>
          <w:iCs/>
        </w:rPr>
        <w:t> </w:t>
      </w:r>
      <w:r w:rsidRPr="00CE5D9A">
        <w:rPr>
          <w:rFonts w:ascii="Times New Roman" w:hAnsi="Times New Roman"/>
        </w:rPr>
        <w:t>zapewnienie ich realizacji będzie się odbywać poprzez kryteria dostępu oraz kryteria punktowe przyznawane wnioskodawcom w trakcie oceny operacji.</w:t>
      </w:r>
    </w:p>
    <w:p w14:paraId="736240DF"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Zgodność celu LSR w odniesieniu do dokumentów strategicznych przedstawiono w tabeli 20. </w:t>
      </w:r>
    </w:p>
    <w:p w14:paraId="1B5F9257" w14:textId="2E897CA6" w:rsidR="00686DFE" w:rsidRPr="00CE5D9A" w:rsidRDefault="00686DFE">
      <w:pPr>
        <w:pStyle w:val="Legenda"/>
        <w:spacing w:after="0"/>
        <w:jc w:val="center"/>
        <w:rPr>
          <w:rFonts w:ascii="Times New Roman" w:hAnsi="Times New Roman"/>
          <w:b/>
          <w:bCs/>
          <w:i w:val="0"/>
          <w:iCs w:val="0"/>
          <w:color w:val="auto"/>
          <w:sz w:val="20"/>
          <w:szCs w:val="20"/>
        </w:rPr>
      </w:pPr>
      <w:bookmarkStart w:id="145" w:name="_Toc194581445"/>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21</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Zgodność celu </w:t>
      </w:r>
      <w:r w:rsidR="00E555B5" w:rsidRPr="00CE5D9A">
        <w:rPr>
          <w:rFonts w:ascii="Times New Roman" w:hAnsi="Times New Roman"/>
          <w:b/>
          <w:bCs/>
          <w:i w:val="0"/>
          <w:iCs w:val="0"/>
          <w:color w:val="auto"/>
          <w:sz w:val="20"/>
          <w:szCs w:val="20"/>
        </w:rPr>
        <w:t xml:space="preserve">i przedsięwzięć </w:t>
      </w:r>
      <w:r w:rsidRPr="00CE5D9A">
        <w:rPr>
          <w:rFonts w:ascii="Times New Roman" w:hAnsi="Times New Roman"/>
          <w:b/>
          <w:bCs/>
          <w:i w:val="0"/>
          <w:iCs w:val="0"/>
          <w:color w:val="auto"/>
          <w:sz w:val="20"/>
          <w:szCs w:val="20"/>
        </w:rPr>
        <w:t>LSR z innymi dokumentami strategicznymi</w:t>
      </w:r>
      <w:bookmarkEnd w:id="145"/>
    </w:p>
    <w:tbl>
      <w:tblPr>
        <w:tblW w:w="5000" w:type="pct"/>
        <w:jc w:val="center"/>
        <w:tblCellMar>
          <w:left w:w="10" w:type="dxa"/>
          <w:right w:w="10" w:type="dxa"/>
        </w:tblCellMar>
        <w:tblLook w:val="0000" w:firstRow="0" w:lastRow="0" w:firstColumn="0" w:lastColumn="0" w:noHBand="0" w:noVBand="0"/>
      </w:tblPr>
      <w:tblGrid>
        <w:gridCol w:w="756"/>
        <w:gridCol w:w="2282"/>
        <w:gridCol w:w="7382"/>
      </w:tblGrid>
      <w:tr w:rsidR="00686DFE" w:rsidRPr="00CE5D9A" w14:paraId="6F0DED5A" w14:textId="77777777">
        <w:trPr>
          <w:trHeight w:val="539"/>
          <w:jc w:val="center"/>
        </w:trPr>
        <w:tc>
          <w:tcPr>
            <w:tcW w:w="363"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7DD9AA" w14:textId="77777777" w:rsidR="00686DFE" w:rsidRPr="00CE5D9A" w:rsidRDefault="00686DFE">
            <w:pPr>
              <w:suppressAutoHyphens/>
              <w:autoSpaceDN w:val="0"/>
              <w:spacing w:after="0" w:line="276" w:lineRule="auto"/>
              <w:textAlignment w:val="baseline"/>
              <w:rPr>
                <w:rFonts w:ascii="Times New Roman" w:hAnsi="Times New Roman"/>
                <w:b/>
                <w:bCs/>
                <w:sz w:val="20"/>
                <w:szCs w:val="20"/>
              </w:rPr>
            </w:pPr>
            <w:bookmarkStart w:id="146" w:name="_Hlk135594251"/>
            <w:r w:rsidRPr="00CE5D9A">
              <w:rPr>
                <w:rFonts w:ascii="Times New Roman" w:hAnsi="Times New Roman"/>
                <w:b/>
                <w:bCs/>
                <w:sz w:val="20"/>
                <w:szCs w:val="20"/>
              </w:rPr>
              <w:t>Lp.</w:t>
            </w:r>
          </w:p>
        </w:tc>
        <w:tc>
          <w:tcPr>
            <w:tcW w:w="1095" w:type="pct"/>
            <w:tcBorders>
              <w:top w:val="single" w:sz="4" w:space="0" w:color="000000"/>
              <w:left w:val="single" w:sz="4" w:space="0" w:color="000000"/>
              <w:right w:val="single" w:sz="4" w:space="0" w:color="000000"/>
            </w:tcBorders>
            <w:tcMar>
              <w:top w:w="0" w:type="dxa"/>
              <w:left w:w="108" w:type="dxa"/>
              <w:bottom w:w="0" w:type="dxa"/>
              <w:right w:w="108" w:type="dxa"/>
            </w:tcMar>
          </w:tcPr>
          <w:p w14:paraId="4314223A" w14:textId="77777777" w:rsidR="00686DFE" w:rsidRPr="00CE5D9A" w:rsidRDefault="00686DFE">
            <w:pPr>
              <w:suppressAutoHyphens/>
              <w:autoSpaceDN w:val="0"/>
              <w:spacing w:after="0" w:line="276" w:lineRule="auto"/>
              <w:jc w:val="center"/>
              <w:textAlignment w:val="baseline"/>
              <w:rPr>
                <w:rFonts w:ascii="Times New Roman" w:hAnsi="Times New Roman"/>
                <w:b/>
                <w:bCs/>
                <w:sz w:val="20"/>
                <w:szCs w:val="20"/>
              </w:rPr>
            </w:pPr>
            <w:r w:rsidRPr="00CE5D9A">
              <w:rPr>
                <w:rFonts w:ascii="Times New Roman" w:hAnsi="Times New Roman"/>
                <w:b/>
                <w:bCs/>
                <w:sz w:val="20"/>
                <w:szCs w:val="20"/>
              </w:rPr>
              <w:t xml:space="preserve">Nazwa dokumentu strategicznego / planistycznego </w:t>
            </w:r>
          </w:p>
        </w:tc>
        <w:tc>
          <w:tcPr>
            <w:tcW w:w="3542"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671F23E" w14:textId="77777777" w:rsidR="00686DFE" w:rsidRPr="00CE5D9A" w:rsidRDefault="00686DFE">
            <w:pPr>
              <w:suppressAutoHyphens/>
              <w:autoSpaceDN w:val="0"/>
              <w:spacing w:after="0" w:line="276" w:lineRule="auto"/>
              <w:jc w:val="center"/>
              <w:textAlignment w:val="baseline"/>
              <w:rPr>
                <w:rFonts w:ascii="Times New Roman" w:hAnsi="Times New Roman"/>
                <w:sz w:val="20"/>
                <w:szCs w:val="20"/>
              </w:rPr>
            </w:pPr>
            <w:r w:rsidRPr="00CE5D9A">
              <w:rPr>
                <w:rFonts w:ascii="Times New Roman" w:hAnsi="Times New Roman"/>
                <w:b/>
                <w:bCs/>
                <w:sz w:val="20"/>
                <w:szCs w:val="20"/>
              </w:rPr>
              <w:t>Cel LSR:</w:t>
            </w:r>
          </w:p>
          <w:p w14:paraId="0C67394D" w14:textId="2421A9BC" w:rsidR="00686DFE" w:rsidRPr="00CE5D9A" w:rsidRDefault="00686DFE" w:rsidP="00782172">
            <w:pPr>
              <w:suppressAutoHyphens/>
              <w:autoSpaceDN w:val="0"/>
              <w:spacing w:after="0" w:line="276" w:lineRule="auto"/>
              <w:jc w:val="center"/>
              <w:textAlignment w:val="baseline"/>
              <w:rPr>
                <w:rFonts w:ascii="Times New Roman" w:hAnsi="Times New Roman"/>
                <w:b/>
                <w:bCs/>
                <w:i/>
                <w:iCs/>
                <w:sz w:val="20"/>
                <w:szCs w:val="20"/>
              </w:rPr>
            </w:pPr>
            <w:r w:rsidRPr="00CE5D9A">
              <w:rPr>
                <w:rFonts w:ascii="Times New Roman" w:hAnsi="Times New Roman"/>
                <w:b/>
                <w:bCs/>
                <w:i/>
                <w:iCs/>
              </w:rPr>
              <w:t>Utworzenie Myślenickiej Strefy Przemysłu Czasu Wolnego</w:t>
            </w:r>
            <w:r w:rsidR="004A11DE" w:rsidRPr="00CE5D9A">
              <w:rPr>
                <w:rFonts w:ascii="Times New Roman" w:hAnsi="Times New Roman"/>
                <w:b/>
                <w:bCs/>
                <w:i/>
                <w:iCs/>
              </w:rPr>
              <w:t xml:space="preserve"> </w:t>
            </w:r>
            <w:r w:rsidR="00782172" w:rsidRPr="00CE5D9A">
              <w:rPr>
                <w:rFonts w:ascii="Times New Roman" w:hAnsi="Times New Roman"/>
                <w:b/>
                <w:bCs/>
                <w:i/>
                <w:iCs/>
              </w:rPr>
              <w:t>i rozwoju przedsiębiorczości</w:t>
            </w:r>
          </w:p>
        </w:tc>
      </w:tr>
      <w:bookmarkEnd w:id="146"/>
      <w:tr w:rsidR="00686DFE" w:rsidRPr="00CE5D9A" w14:paraId="3CF4EBB3" w14:textId="77777777">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7803F" w14:textId="77777777" w:rsidR="00686DFE" w:rsidRPr="00CE5D9A" w:rsidRDefault="00686DFE">
            <w:pPr>
              <w:suppressAutoHyphens/>
              <w:autoSpaceDN w:val="0"/>
              <w:spacing w:after="0" w:line="276" w:lineRule="auto"/>
              <w:ind w:left="-112"/>
              <w:jc w:val="center"/>
              <w:textAlignment w:val="baseline"/>
              <w:rPr>
                <w:rFonts w:ascii="Times New Roman" w:hAnsi="Times New Roman"/>
                <w:sz w:val="20"/>
                <w:szCs w:val="20"/>
              </w:rPr>
            </w:pPr>
            <w:r w:rsidRPr="00CE5D9A">
              <w:rPr>
                <w:rFonts w:ascii="Times New Roman" w:hAnsi="Times New Roman"/>
                <w:sz w:val="20"/>
                <w:szCs w:val="20"/>
              </w:rPr>
              <w:t>1.</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FAFC1" w14:textId="77777777" w:rsidR="00686DFE" w:rsidRPr="00CE5D9A" w:rsidRDefault="00686DFE">
            <w:pPr>
              <w:suppressAutoHyphens/>
              <w:autoSpaceDN w:val="0"/>
              <w:spacing w:after="0" w:line="276" w:lineRule="auto"/>
              <w:jc w:val="center"/>
              <w:textAlignment w:val="baseline"/>
              <w:rPr>
                <w:rFonts w:ascii="Times New Roman" w:hAnsi="Times New Roman"/>
                <w:sz w:val="20"/>
                <w:szCs w:val="20"/>
              </w:rPr>
            </w:pPr>
            <w:r w:rsidRPr="00CE5D9A">
              <w:rPr>
                <w:rFonts w:ascii="Times New Roman" w:hAnsi="Times New Roman"/>
                <w:i/>
                <w:iCs/>
                <w:sz w:val="20"/>
                <w:szCs w:val="20"/>
              </w:rPr>
              <w:t xml:space="preserve">Strategia Rozwoju Województwa „Małopolska 2030” </w:t>
            </w:r>
            <w:r w:rsidRPr="00CE5D9A">
              <w:rPr>
                <w:rFonts w:ascii="Times New Roman" w:hAnsi="Times New Roman"/>
                <w:sz w:val="20"/>
                <w:szCs w:val="20"/>
              </w:rPr>
              <w:t>(SRWM 2030)</w:t>
            </w:r>
          </w:p>
        </w:tc>
        <w:tc>
          <w:tcPr>
            <w:tcW w:w="3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641CD"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 xml:space="preserve">W </w:t>
            </w:r>
            <w:r w:rsidRPr="00CE5D9A">
              <w:rPr>
                <w:rFonts w:ascii="Times New Roman" w:hAnsi="Times New Roman"/>
                <w:i/>
                <w:iCs/>
                <w:sz w:val="20"/>
                <w:szCs w:val="20"/>
              </w:rPr>
              <w:t xml:space="preserve">Strategii Rozwoju Województwa „Małopolska 2030” </w:t>
            </w:r>
            <w:r w:rsidRPr="00CE5D9A">
              <w:rPr>
                <w:rFonts w:ascii="Times New Roman" w:hAnsi="Times New Roman"/>
                <w:sz w:val="20"/>
                <w:szCs w:val="20"/>
              </w:rPr>
              <w:t xml:space="preserve">została określona wizja rozwoju województwa: </w:t>
            </w:r>
            <w:r w:rsidRPr="00CE5D9A">
              <w:rPr>
                <w:rFonts w:ascii="Times New Roman" w:hAnsi="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w:t>
            </w:r>
            <w:r w:rsidRPr="00CE5D9A">
              <w:rPr>
                <w:rFonts w:ascii="Times New Roman" w:hAnsi="Times New Roman"/>
                <w:i/>
                <w:iCs/>
                <w:sz w:val="20"/>
                <w:szCs w:val="20"/>
              </w:rPr>
              <w:br/>
              <w:t xml:space="preserve">z dziedzictwa przeszłości, zachowującym swoją tożsamość i aktywnie działającym na rzecz integracji europejskiej. </w:t>
            </w:r>
            <w:r w:rsidRPr="00CE5D9A">
              <w:rPr>
                <w:rFonts w:ascii="Times New Roman" w:hAnsi="Times New Roman"/>
                <w:sz w:val="20"/>
                <w:szCs w:val="20"/>
              </w:rPr>
              <w:t>Wizja ta zostanie osiągnięta poprzez realizację następujących obszarów tematycznych oraz przypisanych do nich celów szczegółowych:</w:t>
            </w:r>
          </w:p>
          <w:p w14:paraId="50F72246" w14:textId="77777777"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OBSZAR TEMATYCZNY I: MAŁOPOLANIE</w:t>
            </w:r>
          </w:p>
          <w:p w14:paraId="33EAB83D" w14:textId="77777777" w:rsidR="00686DFE" w:rsidRPr="00CE5D9A" w:rsidRDefault="00686DFE">
            <w:pPr>
              <w:spacing w:after="0" w:line="276" w:lineRule="auto"/>
              <w:jc w:val="both"/>
              <w:rPr>
                <w:rFonts w:ascii="Times New Roman" w:eastAsia="Times New Roman" w:hAnsi="Times New Roman"/>
                <w:i/>
                <w:iCs/>
                <w:sz w:val="20"/>
                <w:szCs w:val="20"/>
                <w:lang w:eastAsia="pl-PL"/>
              </w:rPr>
            </w:pPr>
            <w:r w:rsidRPr="00CE5D9A">
              <w:rPr>
                <w:rFonts w:ascii="Times New Roman" w:eastAsia="Times New Roman" w:hAnsi="Times New Roman"/>
                <w:sz w:val="20"/>
                <w:szCs w:val="20"/>
                <w:lang w:eastAsia="pl-PL"/>
              </w:rPr>
              <w:t xml:space="preserve">Cel szczegółowy: </w:t>
            </w:r>
            <w:r w:rsidRPr="00CE5D9A">
              <w:rPr>
                <w:rFonts w:ascii="Times New Roman" w:eastAsia="Times New Roman" w:hAnsi="Times New Roman"/>
                <w:i/>
                <w:iCs/>
                <w:sz w:val="20"/>
                <w:szCs w:val="20"/>
                <w:lang w:eastAsia="pl-PL"/>
              </w:rPr>
              <w:t>Rozwój społecznie wrażliwy, sprzyjający rodzinie</w:t>
            </w:r>
          </w:p>
          <w:p w14:paraId="4EAAC9B6" w14:textId="77777777"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OBSZAR TEMATYCZNY II: GOSPODARKA</w:t>
            </w:r>
          </w:p>
          <w:p w14:paraId="090924E3" w14:textId="77777777" w:rsidR="00686DFE" w:rsidRPr="00CE5D9A" w:rsidRDefault="00686DFE">
            <w:pPr>
              <w:spacing w:after="0" w:line="276" w:lineRule="auto"/>
              <w:jc w:val="both"/>
              <w:rPr>
                <w:rFonts w:ascii="Times New Roman" w:eastAsia="Times New Roman" w:hAnsi="Times New Roman"/>
                <w:i/>
                <w:iCs/>
                <w:sz w:val="20"/>
                <w:szCs w:val="20"/>
                <w:lang w:eastAsia="pl-PL"/>
              </w:rPr>
            </w:pPr>
            <w:r w:rsidRPr="00CE5D9A">
              <w:rPr>
                <w:rFonts w:ascii="Times New Roman" w:eastAsia="Times New Roman" w:hAnsi="Times New Roman"/>
                <w:sz w:val="20"/>
                <w:szCs w:val="20"/>
                <w:lang w:eastAsia="pl-PL"/>
              </w:rPr>
              <w:t xml:space="preserve">Cel szczegółowy: </w:t>
            </w:r>
            <w:r w:rsidRPr="00CE5D9A">
              <w:rPr>
                <w:rFonts w:ascii="Times New Roman" w:eastAsia="Times New Roman" w:hAnsi="Times New Roman"/>
                <w:i/>
                <w:iCs/>
                <w:sz w:val="20"/>
                <w:szCs w:val="20"/>
                <w:lang w:eastAsia="pl-PL"/>
              </w:rPr>
              <w:t>Innowacyjna i konkurencyjna gospodarka</w:t>
            </w:r>
          </w:p>
          <w:p w14:paraId="3ED8BCCE" w14:textId="77777777"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lastRenderedPageBreak/>
              <w:t>OBSZAR TEMATYCZNY III: KLIMAT I ŚRODOWISKO</w:t>
            </w:r>
          </w:p>
          <w:p w14:paraId="1BD00859" w14:textId="77777777" w:rsidR="00686DFE" w:rsidRPr="00CE5D9A" w:rsidRDefault="00686DFE">
            <w:pPr>
              <w:spacing w:after="0" w:line="276" w:lineRule="auto"/>
              <w:jc w:val="both"/>
              <w:rPr>
                <w:rFonts w:ascii="Times New Roman" w:eastAsia="Times New Roman" w:hAnsi="Times New Roman"/>
                <w:i/>
                <w:iCs/>
                <w:sz w:val="20"/>
                <w:szCs w:val="20"/>
                <w:lang w:eastAsia="pl-PL"/>
              </w:rPr>
            </w:pPr>
            <w:r w:rsidRPr="00CE5D9A">
              <w:rPr>
                <w:rFonts w:ascii="Times New Roman" w:eastAsia="Times New Roman" w:hAnsi="Times New Roman"/>
                <w:sz w:val="20"/>
                <w:szCs w:val="20"/>
                <w:lang w:eastAsia="pl-PL"/>
              </w:rPr>
              <w:t xml:space="preserve">Cel szczegółowy: </w:t>
            </w:r>
            <w:r w:rsidRPr="00CE5D9A">
              <w:rPr>
                <w:rFonts w:ascii="Times New Roman" w:eastAsia="Times New Roman" w:hAnsi="Times New Roman"/>
                <w:i/>
                <w:iCs/>
                <w:sz w:val="20"/>
                <w:szCs w:val="20"/>
                <w:lang w:eastAsia="pl-PL"/>
              </w:rPr>
              <w:t xml:space="preserve">Wysoka jakość środowiska i dążenie do neutralności klimatycznej </w:t>
            </w:r>
          </w:p>
          <w:p w14:paraId="16DD0C2F" w14:textId="77777777"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OBSZAR TEMATYCZNY IV: ZARZĄDZANIE STRATEGICZNE ROZWOJEM</w:t>
            </w:r>
          </w:p>
          <w:p w14:paraId="39293659" w14:textId="77777777" w:rsidR="00686DFE" w:rsidRPr="00CE5D9A" w:rsidRDefault="00686DFE">
            <w:pPr>
              <w:spacing w:after="0" w:line="276" w:lineRule="auto"/>
              <w:jc w:val="both"/>
              <w:rPr>
                <w:rFonts w:ascii="Times New Roman" w:eastAsia="Times New Roman" w:hAnsi="Times New Roman"/>
                <w:i/>
                <w:iCs/>
                <w:sz w:val="20"/>
                <w:szCs w:val="20"/>
                <w:lang w:eastAsia="pl-PL"/>
              </w:rPr>
            </w:pPr>
            <w:r w:rsidRPr="00CE5D9A">
              <w:rPr>
                <w:rFonts w:ascii="Times New Roman" w:eastAsia="Times New Roman" w:hAnsi="Times New Roman"/>
                <w:sz w:val="20"/>
                <w:szCs w:val="20"/>
                <w:lang w:eastAsia="pl-PL"/>
              </w:rPr>
              <w:t xml:space="preserve">Cel szczegółowy: </w:t>
            </w:r>
            <w:r w:rsidRPr="00CE5D9A">
              <w:rPr>
                <w:rFonts w:ascii="Times New Roman" w:eastAsia="Times New Roman" w:hAnsi="Times New Roman"/>
                <w:i/>
                <w:iCs/>
                <w:sz w:val="20"/>
                <w:szCs w:val="20"/>
                <w:lang w:eastAsia="pl-PL"/>
              </w:rPr>
              <w:t>System zarządzania strategicznego rozwojem dostosowanym do wyzwań dekady 2020–2030</w:t>
            </w:r>
          </w:p>
          <w:p w14:paraId="7D16D4E9" w14:textId="77777777"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OBSZAR TEMATYCZNY V: ROZWÓJ ZRÓWNOWAŻONY TERYTORIALNIE</w:t>
            </w:r>
          </w:p>
          <w:p w14:paraId="6FF2F404" w14:textId="77777777" w:rsidR="00686DFE" w:rsidRPr="00CE5D9A" w:rsidRDefault="00686DFE">
            <w:pPr>
              <w:spacing w:after="0" w:line="276" w:lineRule="auto"/>
              <w:jc w:val="both"/>
              <w:rPr>
                <w:rFonts w:ascii="Times New Roman" w:eastAsia="Times New Roman" w:hAnsi="Times New Roman"/>
                <w:i/>
                <w:iCs/>
                <w:sz w:val="20"/>
                <w:szCs w:val="20"/>
                <w:lang w:eastAsia="pl-PL"/>
              </w:rPr>
            </w:pPr>
            <w:r w:rsidRPr="00CE5D9A">
              <w:rPr>
                <w:rFonts w:ascii="Times New Roman" w:eastAsia="Times New Roman" w:hAnsi="Times New Roman"/>
                <w:sz w:val="20"/>
                <w:szCs w:val="20"/>
                <w:lang w:eastAsia="pl-PL"/>
              </w:rPr>
              <w:t xml:space="preserve">Cel szczegółowy: </w:t>
            </w:r>
            <w:r w:rsidRPr="00CE5D9A">
              <w:rPr>
                <w:rFonts w:ascii="Times New Roman" w:eastAsia="Times New Roman" w:hAnsi="Times New Roman"/>
                <w:i/>
                <w:iCs/>
                <w:sz w:val="20"/>
                <w:szCs w:val="20"/>
                <w:lang w:eastAsia="pl-PL"/>
              </w:rPr>
              <w:t>Zrównoważony i trwały rozwój oparty na endogenicznych potencjałach</w:t>
            </w:r>
          </w:p>
          <w:p w14:paraId="56882394" w14:textId="70EFF35B" w:rsidR="00686DFE" w:rsidRPr="00CE5D9A" w:rsidRDefault="00686DFE">
            <w:pPr>
              <w:spacing w:after="0" w:line="276" w:lineRule="auto"/>
              <w:jc w:val="both"/>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w:t>
            </w:r>
            <w:r w:rsidR="009D5BF5" w:rsidRPr="00CE5D9A">
              <w:rPr>
                <w:rFonts w:ascii="Times New Roman" w:eastAsia="Times New Roman" w:hAnsi="Times New Roman"/>
                <w:sz w:val="20"/>
                <w:szCs w:val="20"/>
                <w:lang w:eastAsia="pl-PL"/>
              </w:rPr>
              <w:t xml:space="preserve"> (przedsięwzięcie 1.1, 1.2,</w:t>
            </w:r>
            <w:r w:rsidR="00826CF0" w:rsidRPr="00CE5D9A">
              <w:rPr>
                <w:rFonts w:ascii="Times New Roman" w:eastAsia="Times New Roman" w:hAnsi="Times New Roman"/>
                <w:sz w:val="20"/>
                <w:szCs w:val="20"/>
                <w:lang w:eastAsia="pl-PL"/>
              </w:rPr>
              <w:t xml:space="preserve"> 1.3,</w:t>
            </w:r>
            <w:r w:rsidR="009D5BF5" w:rsidRPr="00CE5D9A">
              <w:rPr>
                <w:rFonts w:ascii="Times New Roman" w:eastAsia="Times New Roman" w:hAnsi="Times New Roman"/>
                <w:sz w:val="20"/>
                <w:szCs w:val="20"/>
                <w:lang w:eastAsia="pl-PL"/>
              </w:rPr>
              <w:t xml:space="preserve"> 1.</w:t>
            </w:r>
            <w:r w:rsidR="00826CF0" w:rsidRPr="00CE5D9A">
              <w:rPr>
                <w:rFonts w:ascii="Times New Roman" w:eastAsia="Times New Roman" w:hAnsi="Times New Roman"/>
                <w:sz w:val="20"/>
                <w:szCs w:val="20"/>
                <w:lang w:eastAsia="pl-PL"/>
              </w:rPr>
              <w:t>7</w:t>
            </w:r>
            <w:r w:rsidR="009D5BF5" w:rsidRPr="00CE5D9A">
              <w:rPr>
                <w:rFonts w:ascii="Times New Roman" w:eastAsia="Times New Roman" w:hAnsi="Times New Roman"/>
                <w:sz w:val="20"/>
                <w:szCs w:val="20"/>
                <w:lang w:eastAsia="pl-PL"/>
              </w:rPr>
              <w:t>, 1.1</w:t>
            </w:r>
            <w:r w:rsidR="00826CF0" w:rsidRPr="00CE5D9A">
              <w:rPr>
                <w:rFonts w:ascii="Times New Roman" w:eastAsia="Times New Roman" w:hAnsi="Times New Roman"/>
                <w:sz w:val="20"/>
                <w:szCs w:val="20"/>
                <w:lang w:eastAsia="pl-PL"/>
              </w:rPr>
              <w:t>4</w:t>
            </w:r>
            <w:r w:rsidR="009D5BF5" w:rsidRPr="00CE5D9A">
              <w:rPr>
                <w:rFonts w:ascii="Times New Roman" w:eastAsia="Times New Roman" w:hAnsi="Times New Roman"/>
                <w:sz w:val="20"/>
                <w:szCs w:val="20"/>
                <w:lang w:eastAsia="pl-PL"/>
              </w:rPr>
              <w:t>)</w:t>
            </w:r>
            <w:r w:rsidRPr="00CE5D9A">
              <w:rPr>
                <w:rFonts w:ascii="Times New Roman" w:eastAsia="Times New Roman" w:hAnsi="Times New Roman"/>
                <w:sz w:val="20"/>
                <w:szCs w:val="20"/>
                <w:lang w:eastAsia="pl-PL"/>
              </w:rPr>
              <w:t>, cyfryzacja</w:t>
            </w:r>
            <w:r w:rsidR="009D5BF5" w:rsidRPr="00CE5D9A">
              <w:rPr>
                <w:rFonts w:ascii="Times New Roman" w:eastAsia="Times New Roman" w:hAnsi="Times New Roman"/>
                <w:sz w:val="20"/>
                <w:szCs w:val="20"/>
                <w:lang w:eastAsia="pl-PL"/>
              </w:rPr>
              <w:t xml:space="preserve"> (przedsięwzięcie 1.</w:t>
            </w:r>
            <w:r w:rsidR="00826CF0" w:rsidRPr="00CE5D9A">
              <w:rPr>
                <w:rFonts w:ascii="Times New Roman" w:eastAsia="Times New Roman" w:hAnsi="Times New Roman"/>
                <w:sz w:val="20"/>
                <w:szCs w:val="20"/>
                <w:lang w:eastAsia="pl-PL"/>
              </w:rPr>
              <w:t>6</w:t>
            </w:r>
            <w:r w:rsidR="009D5BF5" w:rsidRPr="00CE5D9A">
              <w:rPr>
                <w:rFonts w:ascii="Times New Roman" w:eastAsia="Times New Roman" w:hAnsi="Times New Roman"/>
                <w:sz w:val="20"/>
                <w:szCs w:val="20"/>
                <w:lang w:eastAsia="pl-PL"/>
              </w:rPr>
              <w:t>)</w:t>
            </w:r>
            <w:r w:rsidRPr="00CE5D9A">
              <w:rPr>
                <w:rFonts w:ascii="Times New Roman" w:eastAsia="Times New Roman" w:hAnsi="Times New Roman"/>
                <w:sz w:val="20"/>
                <w:szCs w:val="20"/>
                <w:lang w:eastAsia="pl-PL"/>
              </w:rPr>
              <w:t>, wzmacnianie oferty turystycznej</w:t>
            </w:r>
            <w:r w:rsidR="009D5BF5" w:rsidRPr="00CE5D9A">
              <w:rPr>
                <w:rFonts w:ascii="Times New Roman" w:eastAsia="Times New Roman" w:hAnsi="Times New Roman"/>
                <w:sz w:val="20"/>
                <w:szCs w:val="20"/>
                <w:lang w:eastAsia="pl-PL"/>
              </w:rPr>
              <w:t xml:space="preserve"> (przedsięwzięcie 1.</w:t>
            </w:r>
            <w:r w:rsidR="00826CF0" w:rsidRPr="00CE5D9A">
              <w:rPr>
                <w:rFonts w:ascii="Times New Roman" w:eastAsia="Times New Roman" w:hAnsi="Times New Roman"/>
                <w:sz w:val="20"/>
                <w:szCs w:val="20"/>
                <w:lang w:eastAsia="pl-PL"/>
              </w:rPr>
              <w:t>7</w:t>
            </w:r>
            <w:r w:rsidR="009D5BF5" w:rsidRPr="00CE5D9A">
              <w:rPr>
                <w:rFonts w:ascii="Times New Roman" w:eastAsia="Times New Roman" w:hAnsi="Times New Roman"/>
                <w:sz w:val="20"/>
                <w:szCs w:val="20"/>
                <w:lang w:eastAsia="pl-PL"/>
              </w:rPr>
              <w:t>, 1.1</w:t>
            </w:r>
            <w:r w:rsidR="00826CF0" w:rsidRPr="00CE5D9A">
              <w:rPr>
                <w:rFonts w:ascii="Times New Roman" w:eastAsia="Times New Roman" w:hAnsi="Times New Roman"/>
                <w:sz w:val="20"/>
                <w:szCs w:val="20"/>
                <w:lang w:eastAsia="pl-PL"/>
              </w:rPr>
              <w:t>4</w:t>
            </w:r>
            <w:r w:rsidR="009D5BF5" w:rsidRPr="00CE5D9A">
              <w:rPr>
                <w:rFonts w:ascii="Times New Roman" w:eastAsia="Times New Roman" w:hAnsi="Times New Roman"/>
                <w:sz w:val="20"/>
                <w:szCs w:val="20"/>
                <w:lang w:eastAsia="pl-PL"/>
              </w:rPr>
              <w:t>)</w:t>
            </w:r>
            <w:r w:rsidRPr="00CE5D9A">
              <w:rPr>
                <w:rFonts w:ascii="Times New Roman" w:eastAsia="Times New Roman" w:hAnsi="Times New Roman"/>
                <w:sz w:val="20"/>
                <w:szCs w:val="20"/>
                <w:lang w:eastAsia="pl-PL"/>
              </w:rPr>
              <w:t>, racjonalne gospodarowanie przestrzenią, a także wspieranie rozwoju miast i obszarów wiejskich</w:t>
            </w:r>
            <w:r w:rsidR="009D5BF5" w:rsidRPr="00CE5D9A">
              <w:rPr>
                <w:rFonts w:ascii="Times New Roman" w:eastAsia="Times New Roman" w:hAnsi="Times New Roman"/>
                <w:sz w:val="20"/>
                <w:szCs w:val="20"/>
                <w:lang w:eastAsia="pl-PL"/>
              </w:rPr>
              <w:t xml:space="preserve"> (przedsięwzięcie 1.1</w:t>
            </w:r>
            <w:r w:rsidR="00826CF0" w:rsidRPr="00CE5D9A">
              <w:rPr>
                <w:rFonts w:ascii="Times New Roman" w:eastAsia="Times New Roman" w:hAnsi="Times New Roman"/>
                <w:sz w:val="20"/>
                <w:szCs w:val="20"/>
                <w:lang w:eastAsia="pl-PL"/>
              </w:rPr>
              <w:t>2</w:t>
            </w:r>
            <w:r w:rsidR="009D5BF5" w:rsidRPr="00CE5D9A">
              <w:rPr>
                <w:rFonts w:ascii="Times New Roman" w:eastAsia="Times New Roman" w:hAnsi="Times New Roman"/>
                <w:sz w:val="20"/>
                <w:szCs w:val="20"/>
                <w:lang w:eastAsia="pl-PL"/>
              </w:rPr>
              <w:t>, 1.1</w:t>
            </w:r>
            <w:r w:rsidR="00826CF0" w:rsidRPr="00CE5D9A">
              <w:rPr>
                <w:rFonts w:ascii="Times New Roman" w:eastAsia="Times New Roman" w:hAnsi="Times New Roman"/>
                <w:sz w:val="20"/>
                <w:szCs w:val="20"/>
                <w:lang w:eastAsia="pl-PL"/>
              </w:rPr>
              <w:t>3</w:t>
            </w:r>
            <w:r w:rsidR="009D5BF5" w:rsidRPr="00CE5D9A">
              <w:rPr>
                <w:rFonts w:ascii="Times New Roman" w:eastAsia="Times New Roman" w:hAnsi="Times New Roman"/>
                <w:sz w:val="20"/>
                <w:szCs w:val="20"/>
                <w:lang w:eastAsia="pl-PL"/>
              </w:rPr>
              <w:t>)</w:t>
            </w:r>
            <w:r w:rsidRPr="00CE5D9A">
              <w:rPr>
                <w:rFonts w:ascii="Times New Roman" w:eastAsia="Times New Roman" w:hAnsi="Times New Roman"/>
                <w:sz w:val="20"/>
                <w:szCs w:val="20"/>
                <w:lang w:eastAsia="pl-PL"/>
              </w:rPr>
              <w:t xml:space="preserve"> oraz zachowywanie spójności i dostępności wewnątrzregionalnej. </w:t>
            </w:r>
          </w:p>
          <w:p w14:paraId="3FC9D4C9" w14:textId="058F4D19" w:rsidR="00686DFE" w:rsidRPr="00CE5D9A" w:rsidRDefault="00686DFE" w:rsidP="00826CF0">
            <w:pPr>
              <w:spacing w:after="0" w:line="276" w:lineRule="auto"/>
              <w:jc w:val="both"/>
              <w:rPr>
                <w:rFonts w:ascii="Times New Roman" w:eastAsia="Times New Roman" w:hAnsi="Times New Roman"/>
                <w:i/>
                <w:iCs/>
                <w:sz w:val="20"/>
                <w:szCs w:val="20"/>
                <w:lang w:eastAsia="pl-PL"/>
              </w:rPr>
            </w:pPr>
            <w:r w:rsidRPr="00CE5D9A">
              <w:rPr>
                <w:rFonts w:ascii="Times New Roman" w:hAnsi="Times New Roman"/>
                <w:sz w:val="20"/>
                <w:szCs w:val="20"/>
              </w:rPr>
              <w:t xml:space="preserve">Zaplanowane do realizacji w ramach LSR przedsięwzięcia wpisują się bezpośrednio lub pośrednio w ww. cele. Najmocniej skorelowanym z założeniami LSR celem SRWM 2030 jest cel szczegółowy </w:t>
            </w:r>
            <w:r w:rsidRPr="00CE5D9A">
              <w:rPr>
                <w:rFonts w:ascii="Times New Roman" w:hAnsi="Times New Roman"/>
                <w:i/>
                <w:iCs/>
                <w:sz w:val="20"/>
                <w:szCs w:val="20"/>
              </w:rPr>
              <w:t xml:space="preserve">Zrównoważony i trwały rozwój oparty na endogenicznych potencjałach, </w:t>
            </w:r>
            <w:r w:rsidRPr="00CE5D9A">
              <w:rPr>
                <w:rFonts w:ascii="Times New Roman" w:hAnsi="Times New Roman"/>
                <w:sz w:val="20"/>
                <w:szCs w:val="20"/>
              </w:rPr>
              <w:t xml:space="preserve">poprzez jeden z głównych kierunków polityki rozwoju jakim jest </w:t>
            </w:r>
            <w:r w:rsidRPr="00CE5D9A">
              <w:rPr>
                <w:rFonts w:ascii="Times New Roman" w:hAnsi="Times New Roman"/>
                <w:i/>
                <w:iCs/>
                <w:sz w:val="20"/>
                <w:szCs w:val="20"/>
              </w:rPr>
              <w:t xml:space="preserve">Rozwój obszarów wiejskich, </w:t>
            </w:r>
            <w:r w:rsidRPr="00CE5D9A">
              <w:rPr>
                <w:rFonts w:ascii="Times New Roman" w:hAnsi="Times New Roman"/>
                <w:sz w:val="20"/>
                <w:szCs w:val="20"/>
              </w:rPr>
              <w:t>który zakłada wspierania wszelkiej aktywności społecznej, obywatelskiej i działania lokalnych organizacji pozarządowych oraz włączanie mieszkańców w procesy decyzyjne co do kierunków i form rozwoju ich miejsca zamieszkania. Główny cel LSR odnosi się właśnie do się do zwiększenia poczucia tożsamości mieszkańców</w:t>
            </w:r>
            <w:r w:rsidR="009D5BF5" w:rsidRPr="00CE5D9A">
              <w:rPr>
                <w:rFonts w:ascii="Times New Roman" w:hAnsi="Times New Roman"/>
                <w:sz w:val="20"/>
                <w:szCs w:val="20"/>
              </w:rPr>
              <w:t xml:space="preserve">, </w:t>
            </w:r>
            <w:r w:rsidRPr="00CE5D9A">
              <w:rPr>
                <w:rFonts w:ascii="Times New Roman" w:hAnsi="Times New Roman"/>
                <w:sz w:val="20"/>
                <w:szCs w:val="20"/>
              </w:rPr>
              <w:t>a szczególnie osób młodych</w:t>
            </w:r>
            <w:r w:rsidR="00FD0A02" w:rsidRPr="00CE5D9A">
              <w:rPr>
                <w:rFonts w:ascii="Times New Roman" w:hAnsi="Times New Roman"/>
                <w:sz w:val="20"/>
                <w:szCs w:val="20"/>
              </w:rPr>
              <w:t xml:space="preserve"> </w:t>
            </w:r>
            <w:r w:rsidR="00826CF0" w:rsidRPr="00CE5D9A">
              <w:rPr>
                <w:rFonts w:ascii="Times New Roman" w:hAnsi="Times New Roman"/>
                <w:sz w:val="20"/>
                <w:szCs w:val="20"/>
              </w:rPr>
              <w:t>(przedsięwzięcie 1.6</w:t>
            </w:r>
            <w:r w:rsidR="00FD0A02" w:rsidRPr="00CE5D9A">
              <w:rPr>
                <w:rFonts w:ascii="Times New Roman" w:hAnsi="Times New Roman"/>
                <w:sz w:val="20"/>
                <w:szCs w:val="20"/>
              </w:rPr>
              <w:t>)</w:t>
            </w:r>
            <w:r w:rsidRPr="00CE5D9A">
              <w:rPr>
                <w:rFonts w:ascii="Times New Roman" w:hAnsi="Times New Roman"/>
                <w:sz w:val="20"/>
                <w:szCs w:val="20"/>
              </w:rPr>
              <w:t>, poprawy warunków dla zwiększenia aktywności społecznej mieszkańców</w:t>
            </w:r>
            <w:r w:rsidR="009D5BF5" w:rsidRPr="00CE5D9A">
              <w:rPr>
                <w:rFonts w:ascii="Times New Roman" w:hAnsi="Times New Roman"/>
                <w:sz w:val="20"/>
                <w:szCs w:val="20"/>
              </w:rPr>
              <w:t xml:space="preserve"> (przedsięwzięcia 1.</w:t>
            </w:r>
            <w:r w:rsidR="00826CF0" w:rsidRPr="00CE5D9A">
              <w:rPr>
                <w:rFonts w:ascii="Times New Roman" w:hAnsi="Times New Roman"/>
                <w:sz w:val="20"/>
                <w:szCs w:val="20"/>
              </w:rPr>
              <w:t>4</w:t>
            </w:r>
            <w:r w:rsidR="009D5BF5" w:rsidRPr="00CE5D9A">
              <w:rPr>
                <w:rFonts w:ascii="Times New Roman" w:hAnsi="Times New Roman"/>
                <w:sz w:val="20"/>
                <w:szCs w:val="20"/>
              </w:rPr>
              <w:t>, 1.</w:t>
            </w:r>
            <w:r w:rsidR="00826CF0" w:rsidRPr="00CE5D9A">
              <w:rPr>
                <w:rFonts w:ascii="Times New Roman" w:hAnsi="Times New Roman"/>
                <w:sz w:val="20"/>
                <w:szCs w:val="20"/>
              </w:rPr>
              <w:t>5</w:t>
            </w:r>
            <w:r w:rsidR="009D5BF5" w:rsidRPr="00CE5D9A">
              <w:rPr>
                <w:rFonts w:ascii="Times New Roman" w:hAnsi="Times New Roman"/>
                <w:sz w:val="20"/>
                <w:szCs w:val="20"/>
              </w:rPr>
              <w:t>, 1.1</w:t>
            </w:r>
            <w:r w:rsidR="00826CF0" w:rsidRPr="00CE5D9A">
              <w:rPr>
                <w:rFonts w:ascii="Times New Roman" w:hAnsi="Times New Roman"/>
                <w:sz w:val="20"/>
                <w:szCs w:val="20"/>
              </w:rPr>
              <w:t>5</w:t>
            </w:r>
            <w:r w:rsidR="009D5BF5" w:rsidRPr="00CE5D9A">
              <w:rPr>
                <w:rFonts w:ascii="Times New Roman" w:hAnsi="Times New Roman"/>
                <w:sz w:val="20"/>
                <w:szCs w:val="20"/>
              </w:rPr>
              <w:t>)</w:t>
            </w:r>
            <w:r w:rsidRPr="00CE5D9A">
              <w:rPr>
                <w:rFonts w:ascii="Times New Roman" w:hAnsi="Times New Roman"/>
                <w:sz w:val="20"/>
                <w:szCs w:val="20"/>
              </w:rPr>
              <w:t xml:space="preserve"> i rozwoju inicjatyw kulturalnych</w:t>
            </w:r>
            <w:r w:rsidR="009D5BF5" w:rsidRPr="00CE5D9A">
              <w:rPr>
                <w:rFonts w:ascii="Times New Roman" w:hAnsi="Times New Roman"/>
                <w:sz w:val="20"/>
                <w:szCs w:val="20"/>
              </w:rPr>
              <w:t xml:space="preserve"> (przedsięwzięcie 1.</w:t>
            </w:r>
            <w:r w:rsidR="00826CF0" w:rsidRPr="00CE5D9A">
              <w:rPr>
                <w:rFonts w:ascii="Times New Roman" w:hAnsi="Times New Roman"/>
                <w:sz w:val="20"/>
                <w:szCs w:val="20"/>
              </w:rPr>
              <w:t>5</w:t>
            </w:r>
            <w:r w:rsidR="009D5BF5" w:rsidRPr="00CE5D9A">
              <w:rPr>
                <w:rFonts w:ascii="Times New Roman" w:hAnsi="Times New Roman"/>
                <w:sz w:val="20"/>
                <w:szCs w:val="20"/>
              </w:rPr>
              <w:t>, 1.</w:t>
            </w:r>
            <w:r w:rsidR="00826CF0" w:rsidRPr="00CE5D9A">
              <w:rPr>
                <w:rFonts w:ascii="Times New Roman" w:hAnsi="Times New Roman"/>
                <w:sz w:val="20"/>
                <w:szCs w:val="20"/>
              </w:rPr>
              <w:t>7</w:t>
            </w:r>
            <w:r w:rsidR="009D5BF5" w:rsidRPr="00CE5D9A">
              <w:rPr>
                <w:rFonts w:ascii="Times New Roman" w:hAnsi="Times New Roman"/>
                <w:sz w:val="20"/>
                <w:szCs w:val="20"/>
              </w:rPr>
              <w:t>, 1.1</w:t>
            </w:r>
            <w:r w:rsidR="00826CF0" w:rsidRPr="00CE5D9A">
              <w:rPr>
                <w:rFonts w:ascii="Times New Roman" w:hAnsi="Times New Roman"/>
                <w:sz w:val="20"/>
                <w:szCs w:val="20"/>
              </w:rPr>
              <w:t>4</w:t>
            </w:r>
            <w:r w:rsidR="009D5BF5" w:rsidRPr="00CE5D9A">
              <w:rPr>
                <w:rFonts w:ascii="Times New Roman" w:hAnsi="Times New Roman"/>
                <w:sz w:val="20"/>
                <w:szCs w:val="20"/>
              </w:rPr>
              <w:t>)</w:t>
            </w:r>
            <w:r w:rsidRPr="00CE5D9A">
              <w:rPr>
                <w:rFonts w:ascii="Times New Roman" w:hAnsi="Times New Roman"/>
                <w:sz w:val="20"/>
                <w:szCs w:val="20"/>
              </w:rPr>
              <w:t>. Ponadto w ramach celu LSR przewiduje się premiowanie innowacyjnych rozwiązań, zaś sama idea podejścia LEADER oraz zaplanowane w LSR przedsięwzięcia, w tym związane z wdrożeniem koncepcji Smart Villages</w:t>
            </w:r>
            <w:r w:rsidR="00826CF0" w:rsidRPr="00CE5D9A">
              <w:rPr>
                <w:rFonts w:ascii="Times New Roman" w:hAnsi="Times New Roman"/>
                <w:sz w:val="20"/>
                <w:szCs w:val="20"/>
              </w:rPr>
              <w:t xml:space="preserve"> (przedsięwzięcie 1.9)</w:t>
            </w:r>
            <w:r w:rsidRPr="00CE5D9A">
              <w:rPr>
                <w:rFonts w:ascii="Times New Roman" w:hAnsi="Times New Roman"/>
                <w:sz w:val="20"/>
                <w:szCs w:val="20"/>
              </w:rPr>
              <w:t xml:space="preserve"> oraz animujące do realizacji projektów w partnerstwie </w:t>
            </w:r>
            <w:r w:rsidR="00FD0A02" w:rsidRPr="00CE5D9A">
              <w:rPr>
                <w:rFonts w:ascii="Times New Roman" w:hAnsi="Times New Roman"/>
                <w:sz w:val="20"/>
                <w:szCs w:val="20"/>
              </w:rPr>
              <w:t>(przedsięwzięcie 1.</w:t>
            </w:r>
            <w:r w:rsidR="00826CF0" w:rsidRPr="00CE5D9A">
              <w:rPr>
                <w:rFonts w:ascii="Times New Roman" w:hAnsi="Times New Roman"/>
                <w:sz w:val="20"/>
                <w:szCs w:val="20"/>
              </w:rPr>
              <w:t>8</w:t>
            </w:r>
            <w:r w:rsidR="00FD0A02" w:rsidRPr="00CE5D9A">
              <w:rPr>
                <w:rFonts w:ascii="Times New Roman" w:hAnsi="Times New Roman"/>
                <w:sz w:val="20"/>
                <w:szCs w:val="20"/>
              </w:rPr>
              <w:t xml:space="preserve">) </w:t>
            </w:r>
            <w:r w:rsidRPr="00CE5D9A">
              <w:rPr>
                <w:rFonts w:ascii="Times New Roman" w:hAnsi="Times New Roman"/>
                <w:sz w:val="20"/>
                <w:szCs w:val="20"/>
              </w:rPr>
              <w:t xml:space="preserve">są czynnikami pozwalającymi stwierdzić, że cel LSR jest spójny również z celem szczegółowym </w:t>
            </w:r>
            <w:r w:rsidRPr="00CE5D9A">
              <w:rPr>
                <w:rFonts w:ascii="Times New Roman" w:hAnsi="Times New Roman"/>
                <w:i/>
                <w:iCs/>
                <w:sz w:val="20"/>
                <w:szCs w:val="20"/>
              </w:rPr>
              <w:t>System zarządzania strategicznego rozwojem dostosowanym do wyzwań dekady 2020–2030</w:t>
            </w:r>
            <w:r w:rsidRPr="00CE5D9A">
              <w:rPr>
                <w:rFonts w:ascii="Times New Roman" w:hAnsi="Times New Roman"/>
                <w:sz w:val="20"/>
                <w:szCs w:val="20"/>
              </w:rPr>
              <w:t xml:space="preserve">, którego jednym z kierunków polityki rozwoju jest </w:t>
            </w:r>
            <w:r w:rsidRPr="00CE5D9A">
              <w:rPr>
                <w:rFonts w:ascii="Times New Roman" w:hAnsi="Times New Roman"/>
                <w:i/>
                <w:iCs/>
                <w:sz w:val="20"/>
                <w:szCs w:val="20"/>
              </w:rPr>
              <w:t>Współpraca i partnerstwo.</w:t>
            </w:r>
          </w:p>
        </w:tc>
      </w:tr>
      <w:tr w:rsidR="00686DFE" w:rsidRPr="00CE5D9A" w14:paraId="790B200F" w14:textId="77777777">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31336" w14:textId="77777777" w:rsidR="00686DFE" w:rsidRPr="00CE5D9A" w:rsidRDefault="00686DFE">
            <w:pPr>
              <w:suppressAutoHyphens/>
              <w:autoSpaceDN w:val="0"/>
              <w:spacing w:after="0" w:line="276" w:lineRule="auto"/>
              <w:ind w:left="-112"/>
              <w:jc w:val="center"/>
              <w:textAlignment w:val="baseline"/>
              <w:rPr>
                <w:rFonts w:ascii="Times New Roman" w:hAnsi="Times New Roman"/>
                <w:sz w:val="20"/>
                <w:szCs w:val="20"/>
              </w:rPr>
            </w:pPr>
            <w:r w:rsidRPr="00CE5D9A">
              <w:rPr>
                <w:rFonts w:ascii="Times New Roman" w:hAnsi="Times New Roman"/>
                <w:sz w:val="20"/>
                <w:szCs w:val="20"/>
              </w:rPr>
              <w:lastRenderedPageBreak/>
              <w:t>2.</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4C8A5" w14:textId="77777777" w:rsidR="00686DFE" w:rsidRPr="00CE5D9A" w:rsidRDefault="00686DFE">
            <w:pPr>
              <w:suppressAutoHyphens/>
              <w:autoSpaceDN w:val="0"/>
              <w:spacing w:after="0" w:line="276" w:lineRule="auto"/>
              <w:jc w:val="center"/>
              <w:textAlignment w:val="baseline"/>
              <w:rPr>
                <w:rFonts w:ascii="Times New Roman" w:hAnsi="Times New Roman"/>
                <w:i/>
                <w:iCs/>
                <w:sz w:val="20"/>
                <w:szCs w:val="20"/>
              </w:rPr>
            </w:pPr>
            <w:r w:rsidRPr="00CE5D9A">
              <w:rPr>
                <w:rFonts w:ascii="Times New Roman" w:hAnsi="Times New Roman"/>
                <w:i/>
                <w:iCs/>
                <w:sz w:val="20"/>
                <w:szCs w:val="20"/>
              </w:rPr>
              <w:t>Plan Zagospodarowania</w:t>
            </w:r>
            <w:r w:rsidRPr="00CE5D9A">
              <w:rPr>
                <w:rFonts w:ascii="Times New Roman" w:hAnsi="Times New Roman"/>
                <w:i/>
                <w:iCs/>
                <w:sz w:val="20"/>
                <w:szCs w:val="20"/>
              </w:rPr>
              <w:br/>
              <w:t>Przestrzennego</w:t>
            </w:r>
            <w:r w:rsidRPr="00CE5D9A">
              <w:rPr>
                <w:rFonts w:ascii="Times New Roman" w:hAnsi="Times New Roman"/>
                <w:i/>
                <w:iCs/>
                <w:sz w:val="20"/>
                <w:szCs w:val="20"/>
              </w:rPr>
              <w:br/>
              <w:t>Województwa</w:t>
            </w:r>
            <w:r w:rsidRPr="00CE5D9A">
              <w:rPr>
                <w:rFonts w:ascii="Times New Roman" w:hAnsi="Times New Roman"/>
                <w:i/>
                <w:iCs/>
                <w:sz w:val="20"/>
                <w:szCs w:val="20"/>
              </w:rPr>
              <w:br/>
              <w:t>Małopolskiego</w:t>
            </w:r>
            <w:r w:rsidRPr="00CE5D9A">
              <w:rPr>
                <w:rStyle w:val="Odwoanieprzypisudolnego"/>
                <w:rFonts w:ascii="Times New Roman" w:hAnsi="Times New Roman"/>
                <w:i/>
                <w:iCs/>
                <w:sz w:val="20"/>
                <w:szCs w:val="20"/>
              </w:rPr>
              <w:footnoteReference w:id="41"/>
            </w:r>
            <w:r w:rsidRPr="00CE5D9A">
              <w:rPr>
                <w:rFonts w:ascii="Times New Roman" w:hAnsi="Times New Roman"/>
                <w:sz w:val="20"/>
                <w:szCs w:val="20"/>
              </w:rPr>
              <w:br/>
            </w:r>
            <w:r w:rsidRPr="00CE5D9A">
              <w:rPr>
                <w:rStyle w:val="markedcontent"/>
                <w:rFonts w:ascii="Times New Roman" w:hAnsi="Times New Roman"/>
                <w:sz w:val="20"/>
                <w:szCs w:val="20"/>
              </w:rPr>
              <w:t>(PZPWM)</w:t>
            </w:r>
          </w:p>
        </w:tc>
        <w:tc>
          <w:tcPr>
            <w:tcW w:w="3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24D77" w14:textId="77777777" w:rsidR="00686DFE" w:rsidRPr="00CE5D9A" w:rsidRDefault="00686DFE">
            <w:pPr>
              <w:suppressAutoHyphens/>
              <w:autoSpaceDN w:val="0"/>
              <w:spacing w:after="0" w:line="276" w:lineRule="auto"/>
              <w:jc w:val="both"/>
              <w:textAlignment w:val="baseline"/>
              <w:rPr>
                <w:rFonts w:ascii="Times New Roman" w:hAnsi="Times New Roman"/>
                <w:i/>
                <w:iCs/>
                <w:sz w:val="20"/>
                <w:szCs w:val="20"/>
              </w:rPr>
            </w:pPr>
            <w:r w:rsidRPr="00CE5D9A">
              <w:rPr>
                <w:rFonts w:ascii="Times New Roman" w:hAnsi="Times New Roman"/>
                <w:i/>
                <w:iCs/>
                <w:sz w:val="20"/>
                <w:szCs w:val="20"/>
              </w:rPr>
              <w:t xml:space="preserve">Plan Zagospodarowania Przestrzennego Województwa Małopolskiego </w:t>
            </w:r>
            <w:r w:rsidRPr="00CE5D9A">
              <w:rPr>
                <w:rFonts w:ascii="Times New Roman" w:hAnsi="Times New Roman"/>
                <w:sz w:val="20"/>
                <w:szCs w:val="20"/>
              </w:rPr>
              <w:t>o</w:t>
            </w:r>
            <w:r w:rsidRPr="00CE5D9A">
              <w:rPr>
                <w:rStyle w:val="markedcontent"/>
                <w:rFonts w:ascii="Times New Roman" w:hAnsi="Times New Roman"/>
                <w:sz w:val="20"/>
                <w:szCs w:val="20"/>
              </w:rPr>
              <w:t xml:space="preserve">bok </w:t>
            </w:r>
            <w:r w:rsidRPr="00CE5D9A">
              <w:rPr>
                <w:rFonts w:ascii="Times New Roman" w:hAnsi="Times New Roman"/>
                <w:i/>
                <w:iCs/>
                <w:sz w:val="20"/>
                <w:szCs w:val="20"/>
              </w:rPr>
              <w:t xml:space="preserve">Strategii Rozwoju Województwa „Małopolska 2030” </w:t>
            </w:r>
            <w:r w:rsidRPr="00CE5D9A">
              <w:rPr>
                <w:rStyle w:val="markedcontent"/>
                <w:rFonts w:ascii="Times New Roman" w:hAnsi="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sidRPr="00CE5D9A">
              <w:rPr>
                <w:rFonts w:ascii="Times New Roman" w:hAnsi="Times New Roman"/>
                <w:sz w:val="20"/>
                <w:szCs w:val="20"/>
              </w:rPr>
              <w:t xml:space="preserve">. W dokumencie został określony cel: </w:t>
            </w:r>
            <w:r w:rsidRPr="00CE5D9A">
              <w:rPr>
                <w:rFonts w:ascii="Times New Roman" w:hAnsi="Times New Roman"/>
                <w:i/>
                <w:iCs/>
                <w:sz w:val="20"/>
                <w:szCs w:val="20"/>
              </w:rPr>
              <w:t>C</w:t>
            </w:r>
            <w:r w:rsidRPr="00CE5D9A">
              <w:rPr>
                <w:rStyle w:val="markedcontent"/>
                <w:rFonts w:ascii="Times New Roman" w:hAnsi="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 podniesienia standardów jakości życia mieszkańców drogą bardziej efektywnej gospodarki przestrzennej</w:t>
            </w:r>
            <w:r w:rsidRPr="00CE5D9A">
              <w:rPr>
                <w:rFonts w:ascii="Times New Roman" w:hAnsi="Times New Roman"/>
                <w:i/>
                <w:iCs/>
                <w:sz w:val="20"/>
                <w:szCs w:val="20"/>
              </w:rPr>
              <w:t xml:space="preserve">. </w:t>
            </w:r>
          </w:p>
          <w:p w14:paraId="31B29ACF" w14:textId="77777777" w:rsidR="00686DFE" w:rsidRPr="00CE5D9A" w:rsidRDefault="00686DFE">
            <w:pPr>
              <w:suppressAutoHyphens/>
              <w:autoSpaceDN w:val="0"/>
              <w:spacing w:after="0" w:line="276" w:lineRule="auto"/>
              <w:jc w:val="both"/>
              <w:textAlignment w:val="baseline"/>
              <w:rPr>
                <w:rFonts w:ascii="Times New Roman" w:hAnsi="Times New Roman"/>
                <w:i/>
                <w:iCs/>
                <w:sz w:val="20"/>
                <w:szCs w:val="20"/>
              </w:rPr>
            </w:pPr>
            <w:r w:rsidRPr="00CE5D9A">
              <w:rPr>
                <w:rFonts w:ascii="Times New Roman" w:hAnsi="Times New Roman"/>
                <w:sz w:val="20"/>
                <w:szCs w:val="20"/>
              </w:rPr>
              <w:t xml:space="preserve">Realizacja powyższego celu będzie możliwa poprzez 5 kluczowych zasad polityki przestrzennej, których realizacja wymaga skoordynowanych działań na poziomie regionalnym i lokalnym. Te, z którymi najbardziej powiązane są założenia LSR to: </w:t>
            </w:r>
            <w:r w:rsidRPr="00CE5D9A">
              <w:rPr>
                <w:rFonts w:ascii="Times New Roman" w:hAnsi="Times New Roman"/>
                <w:i/>
                <w:iCs/>
                <w:sz w:val="20"/>
                <w:szCs w:val="20"/>
              </w:rPr>
              <w:t>4</w:t>
            </w:r>
            <w:r w:rsidRPr="00CE5D9A">
              <w:rPr>
                <w:rFonts w:ascii="Times New Roman" w:hAnsi="Times New Roman"/>
                <w:sz w:val="20"/>
                <w:szCs w:val="20"/>
              </w:rPr>
              <w:t xml:space="preserve">. </w:t>
            </w:r>
            <w:r w:rsidRPr="00CE5D9A">
              <w:rPr>
                <w:rFonts w:ascii="Times New Roman" w:hAnsi="Times New Roman"/>
                <w:i/>
                <w:iCs/>
                <w:sz w:val="20"/>
                <w:szCs w:val="20"/>
              </w:rPr>
              <w:t>Ochrona dziedzictwa przyrodniczo-kulturowego i krajobrazu: 4c. rozwój różnych form turystyki zachowującej potencjał i wartości środowiska przyrodniczo-kulturowego i krajobrazu.</w:t>
            </w:r>
          </w:p>
          <w:p w14:paraId="2BE9C31A"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 xml:space="preserve">Ponadto PZPWM wyznacza 12 obszarów funkcjonalnych oraz tyle samo subregionów, </w:t>
            </w:r>
            <w:r w:rsidRPr="00CE5D9A">
              <w:rPr>
                <w:rFonts w:ascii="Times New Roman" w:hAnsi="Times New Roman"/>
                <w:sz w:val="20"/>
                <w:szCs w:val="20"/>
              </w:rPr>
              <w:lastRenderedPageBreak/>
              <w:t xml:space="preserve">gminy LGD znalazły się w obszarze Park – P2, w subregionie podhalańskim, sądeckim. </w:t>
            </w:r>
          </w:p>
          <w:p w14:paraId="41EE965C" w14:textId="075BAFF0" w:rsidR="00686DFE" w:rsidRPr="00CE5D9A" w:rsidRDefault="00686DFE" w:rsidP="00826CF0">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LSR nastawiona jest na wdrażanie rozwiązań innowacyjnych (operacje dedykowane innowacyjnym rozwiązaniom i premiowanie innowacyjnych rozwiązań)</w:t>
            </w:r>
            <w:r w:rsidR="009D5BF5" w:rsidRPr="00CE5D9A">
              <w:rPr>
                <w:rFonts w:ascii="Times New Roman" w:hAnsi="Times New Roman"/>
                <w:sz w:val="20"/>
                <w:szCs w:val="20"/>
              </w:rPr>
              <w:t xml:space="preserve"> (przedsięwzięcia 1</w:t>
            </w:r>
            <w:r w:rsidRPr="00CE5D9A">
              <w:rPr>
                <w:rFonts w:ascii="Times New Roman" w:hAnsi="Times New Roman"/>
                <w:sz w:val="20"/>
                <w:szCs w:val="20"/>
              </w:rPr>
              <w:t>.</w:t>
            </w:r>
            <w:r w:rsidR="00826CF0" w:rsidRPr="00CE5D9A">
              <w:rPr>
                <w:rFonts w:ascii="Times New Roman" w:hAnsi="Times New Roman"/>
                <w:sz w:val="20"/>
                <w:szCs w:val="20"/>
              </w:rPr>
              <w:t>10</w:t>
            </w:r>
            <w:r w:rsidR="009D5BF5" w:rsidRPr="00CE5D9A">
              <w:rPr>
                <w:rFonts w:ascii="Times New Roman" w:hAnsi="Times New Roman"/>
                <w:sz w:val="20"/>
                <w:szCs w:val="20"/>
              </w:rPr>
              <w:t xml:space="preserve"> i 1.</w:t>
            </w:r>
            <w:r w:rsidR="00826CF0" w:rsidRPr="00CE5D9A">
              <w:rPr>
                <w:rFonts w:ascii="Times New Roman" w:hAnsi="Times New Roman"/>
                <w:sz w:val="20"/>
                <w:szCs w:val="20"/>
              </w:rPr>
              <w:t>11</w:t>
            </w:r>
            <w:r w:rsidR="009D5BF5" w:rsidRPr="00CE5D9A">
              <w:rPr>
                <w:rFonts w:ascii="Times New Roman" w:hAnsi="Times New Roman"/>
                <w:sz w:val="20"/>
                <w:szCs w:val="20"/>
              </w:rPr>
              <w:t>).</w:t>
            </w:r>
            <w:r w:rsidRPr="00CE5D9A">
              <w:rPr>
                <w:rFonts w:ascii="Times New Roman" w:hAnsi="Times New Roman"/>
                <w:sz w:val="20"/>
                <w:szCs w:val="20"/>
              </w:rPr>
              <w:t xml:space="preserve"> Ponadto wszelkie zaplanowanie działania będą wykorzystywać lokalne potencjały rozwoju</w:t>
            </w:r>
            <w:r w:rsidR="009D5BF5" w:rsidRPr="00CE5D9A">
              <w:rPr>
                <w:rFonts w:ascii="Times New Roman" w:hAnsi="Times New Roman"/>
                <w:sz w:val="20"/>
                <w:szCs w:val="20"/>
              </w:rPr>
              <w:t xml:space="preserve"> </w:t>
            </w:r>
            <w:r w:rsidR="00826CF0" w:rsidRPr="00CE5D9A">
              <w:rPr>
                <w:rFonts w:ascii="Times New Roman" w:hAnsi="Times New Roman"/>
                <w:sz w:val="20"/>
                <w:szCs w:val="20"/>
              </w:rPr>
              <w:t>(poddziałanie 1.5, 1.7, 1,12</w:t>
            </w:r>
            <w:r w:rsidR="009D5BF5" w:rsidRPr="00CE5D9A">
              <w:rPr>
                <w:rFonts w:ascii="Times New Roman" w:hAnsi="Times New Roman"/>
                <w:sz w:val="20"/>
                <w:szCs w:val="20"/>
              </w:rPr>
              <w:t>, 1.1</w:t>
            </w:r>
            <w:r w:rsidR="00826CF0" w:rsidRPr="00CE5D9A">
              <w:rPr>
                <w:rFonts w:ascii="Times New Roman" w:hAnsi="Times New Roman"/>
                <w:sz w:val="20"/>
                <w:szCs w:val="20"/>
              </w:rPr>
              <w:t>3</w:t>
            </w:r>
            <w:r w:rsidR="009D5BF5" w:rsidRPr="00CE5D9A">
              <w:rPr>
                <w:rFonts w:ascii="Times New Roman" w:hAnsi="Times New Roman"/>
                <w:sz w:val="20"/>
                <w:szCs w:val="20"/>
              </w:rPr>
              <w:t>, 1.1</w:t>
            </w:r>
            <w:r w:rsidR="00826CF0" w:rsidRPr="00CE5D9A">
              <w:rPr>
                <w:rFonts w:ascii="Times New Roman" w:hAnsi="Times New Roman"/>
                <w:sz w:val="20"/>
                <w:szCs w:val="20"/>
              </w:rPr>
              <w:t>4</w:t>
            </w:r>
            <w:r w:rsidR="009D5BF5" w:rsidRPr="00CE5D9A">
              <w:rPr>
                <w:rFonts w:ascii="Times New Roman" w:hAnsi="Times New Roman"/>
                <w:sz w:val="20"/>
                <w:szCs w:val="20"/>
              </w:rPr>
              <w:t>)</w:t>
            </w:r>
            <w:r w:rsidRPr="00CE5D9A">
              <w:rPr>
                <w:rFonts w:ascii="Times New Roman" w:hAnsi="Times New Roman"/>
                <w:sz w:val="20"/>
                <w:szCs w:val="20"/>
              </w:rPr>
              <w:t>. W ramach realizacji LSR premiowane będą m.in. operacje zapewniające racjonalne gospodarowanie zasobami lub ograniczające presję na środowisko, co wpłynie pozytywnie na ograniczenie wpływu i skutków oddziaływania człowieka na środowisko.</w:t>
            </w:r>
          </w:p>
        </w:tc>
      </w:tr>
      <w:tr w:rsidR="00686DFE" w:rsidRPr="00CE5D9A" w14:paraId="5AE72A3A" w14:textId="77777777">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9DB15" w14:textId="77777777" w:rsidR="00686DFE" w:rsidRPr="00CE5D9A" w:rsidRDefault="00686DFE">
            <w:pPr>
              <w:suppressAutoHyphens/>
              <w:autoSpaceDN w:val="0"/>
              <w:spacing w:after="0" w:line="276" w:lineRule="auto"/>
              <w:ind w:left="-112"/>
              <w:jc w:val="center"/>
              <w:textAlignment w:val="baseline"/>
              <w:rPr>
                <w:rFonts w:ascii="Times New Roman" w:hAnsi="Times New Roman"/>
                <w:sz w:val="20"/>
                <w:szCs w:val="20"/>
              </w:rPr>
            </w:pPr>
            <w:r w:rsidRPr="00CE5D9A">
              <w:rPr>
                <w:rFonts w:ascii="Times New Roman" w:hAnsi="Times New Roman"/>
                <w:sz w:val="20"/>
                <w:szCs w:val="20"/>
              </w:rPr>
              <w:lastRenderedPageBreak/>
              <w:t>3.</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68361" w14:textId="77777777" w:rsidR="00686DFE" w:rsidRPr="00CE5D9A" w:rsidRDefault="00686DFE">
            <w:pPr>
              <w:suppressAutoHyphens/>
              <w:autoSpaceDN w:val="0"/>
              <w:spacing w:after="0" w:line="276" w:lineRule="auto"/>
              <w:jc w:val="center"/>
              <w:textAlignment w:val="baseline"/>
              <w:rPr>
                <w:rFonts w:ascii="Times New Roman" w:hAnsi="Times New Roman"/>
                <w:i/>
                <w:iCs/>
                <w:sz w:val="20"/>
                <w:szCs w:val="20"/>
              </w:rPr>
            </w:pPr>
            <w:r w:rsidRPr="00CE5D9A">
              <w:rPr>
                <w:rFonts w:ascii="Times New Roman" w:hAnsi="Times New Roman"/>
                <w:i/>
                <w:iCs/>
                <w:sz w:val="20"/>
                <w:szCs w:val="20"/>
              </w:rPr>
              <w:t>Strategia Rozwoju Powiatu Myślenickiego na lata 2021–2030</w:t>
            </w:r>
            <w:r w:rsidRPr="00CE5D9A">
              <w:rPr>
                <w:rStyle w:val="Odwoanieprzypisudolnego"/>
                <w:rFonts w:ascii="Times New Roman" w:hAnsi="Times New Roman"/>
                <w:i/>
                <w:iCs/>
                <w:sz w:val="20"/>
                <w:szCs w:val="20"/>
              </w:rPr>
              <w:footnoteReference w:id="42"/>
            </w:r>
          </w:p>
        </w:tc>
        <w:tc>
          <w:tcPr>
            <w:tcW w:w="3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AF668"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Wszystkie gminy objęte LSR wchodzą w skład Powiatu Myślenickiego.</w:t>
            </w:r>
          </w:p>
          <w:p w14:paraId="712BC946"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 xml:space="preserve">Wizja Rozwoju Powiatu Myślenickiego – </w:t>
            </w:r>
            <w:r w:rsidRPr="00CE5D9A">
              <w:rPr>
                <w:rFonts w:ascii="Times New Roman" w:hAnsi="Times New Roman"/>
                <w:i/>
                <w:iCs/>
                <w:sz w:val="20"/>
                <w:szCs w:val="20"/>
              </w:rPr>
              <w:t>Powiat Myślenicki to</w:t>
            </w:r>
            <w:r w:rsidRPr="00CE5D9A">
              <w:rPr>
                <w:rFonts w:ascii="Times New Roman" w:hAnsi="Times New Roman"/>
                <w:sz w:val="20"/>
                <w:szCs w:val="20"/>
              </w:rPr>
              <w:t xml:space="preserve">: </w:t>
            </w:r>
          </w:p>
          <w:p w14:paraId="37D565EF" w14:textId="77777777" w:rsidR="00686DFE" w:rsidRPr="00CE5D9A" w:rsidRDefault="00686DFE">
            <w:pPr>
              <w:pStyle w:val="Akapitzlist"/>
              <w:numPr>
                <w:ilvl w:val="0"/>
                <w:numId w:val="31"/>
              </w:numPr>
              <w:suppressAutoHyphens/>
              <w:autoSpaceDN w:val="0"/>
              <w:spacing w:after="0" w:line="276" w:lineRule="auto"/>
              <w:ind w:left="313" w:hanging="313"/>
              <w:jc w:val="both"/>
              <w:textAlignment w:val="baseline"/>
              <w:rPr>
                <w:rFonts w:ascii="Times New Roman" w:hAnsi="Times New Roman"/>
                <w:i/>
                <w:iCs/>
                <w:sz w:val="20"/>
                <w:szCs w:val="20"/>
              </w:rPr>
            </w:pPr>
            <w:r w:rsidRPr="00CE5D9A">
              <w:rPr>
                <w:rFonts w:ascii="Times New Roman" w:hAnsi="Times New Roman"/>
                <w:i/>
                <w:iCs/>
                <w:sz w:val="20"/>
                <w:szCs w:val="20"/>
              </w:rPr>
              <w:t>powiat przyjazny, oferujący mieszkańcom wysoką jakość życia z dobrze zorganizowaną ofertą publiczną, terenami zieleni i efektywnym transportem publicznym,</w:t>
            </w:r>
          </w:p>
          <w:p w14:paraId="10B4640F" w14:textId="77777777" w:rsidR="00686DFE" w:rsidRPr="00CE5D9A" w:rsidRDefault="00686DFE">
            <w:pPr>
              <w:pStyle w:val="Akapitzlist"/>
              <w:numPr>
                <w:ilvl w:val="0"/>
                <w:numId w:val="31"/>
              </w:numPr>
              <w:suppressAutoHyphens/>
              <w:autoSpaceDN w:val="0"/>
              <w:spacing w:after="0" w:line="276" w:lineRule="auto"/>
              <w:ind w:left="313" w:hanging="313"/>
              <w:jc w:val="both"/>
              <w:textAlignment w:val="baseline"/>
              <w:rPr>
                <w:rFonts w:ascii="Times New Roman" w:hAnsi="Times New Roman"/>
                <w:i/>
                <w:iCs/>
                <w:sz w:val="20"/>
                <w:szCs w:val="20"/>
              </w:rPr>
            </w:pPr>
            <w:r w:rsidRPr="00CE5D9A">
              <w:rPr>
                <w:rFonts w:ascii="Times New Roman" w:hAnsi="Times New Roman"/>
                <w:i/>
                <w:iCs/>
                <w:sz w:val="20"/>
                <w:szCs w:val="20"/>
              </w:rPr>
              <w:t xml:space="preserve">powiat spójny – społecznie, ekonomicznie i przestrzennie, troszczący się o zachowanie dziedzictwa kulturowego i cennych przyrodniczo obszarów, </w:t>
            </w:r>
          </w:p>
          <w:p w14:paraId="736F4BF1" w14:textId="77777777" w:rsidR="00686DFE" w:rsidRPr="00CE5D9A" w:rsidRDefault="00686DFE">
            <w:pPr>
              <w:pStyle w:val="Akapitzlist"/>
              <w:numPr>
                <w:ilvl w:val="0"/>
                <w:numId w:val="31"/>
              </w:numPr>
              <w:suppressAutoHyphens/>
              <w:autoSpaceDN w:val="0"/>
              <w:spacing w:after="0" w:line="276" w:lineRule="auto"/>
              <w:ind w:left="313" w:hanging="313"/>
              <w:jc w:val="both"/>
              <w:textAlignment w:val="baseline"/>
              <w:rPr>
                <w:rFonts w:ascii="Times New Roman" w:hAnsi="Times New Roman"/>
                <w:i/>
                <w:iCs/>
                <w:sz w:val="20"/>
                <w:szCs w:val="20"/>
              </w:rPr>
            </w:pPr>
            <w:r w:rsidRPr="00CE5D9A">
              <w:rPr>
                <w:rFonts w:ascii="Times New Roman" w:hAnsi="Times New Roman"/>
                <w:i/>
                <w:iCs/>
                <w:sz w:val="20"/>
                <w:szCs w:val="20"/>
              </w:rPr>
              <w:t xml:space="preserve">powiat silny – posiadający mocną pozycję w regionie i wykorzystujący swój potencjał, </w:t>
            </w:r>
          </w:p>
          <w:p w14:paraId="0FC15B1C" w14:textId="77777777" w:rsidR="00686DFE" w:rsidRPr="00CE5D9A" w:rsidRDefault="00686DFE">
            <w:pPr>
              <w:pStyle w:val="Akapitzlist"/>
              <w:numPr>
                <w:ilvl w:val="0"/>
                <w:numId w:val="31"/>
              </w:numPr>
              <w:suppressAutoHyphens/>
              <w:autoSpaceDN w:val="0"/>
              <w:spacing w:after="0" w:line="276" w:lineRule="auto"/>
              <w:ind w:left="313" w:hanging="313"/>
              <w:jc w:val="both"/>
              <w:textAlignment w:val="baseline"/>
              <w:rPr>
                <w:rFonts w:ascii="Times New Roman" w:hAnsi="Times New Roman"/>
                <w:i/>
                <w:iCs/>
                <w:sz w:val="20"/>
                <w:szCs w:val="20"/>
              </w:rPr>
            </w:pPr>
            <w:r w:rsidRPr="00CE5D9A">
              <w:rPr>
                <w:rFonts w:ascii="Times New Roman" w:hAnsi="Times New Roman"/>
                <w:i/>
                <w:iCs/>
                <w:sz w:val="20"/>
                <w:szCs w:val="20"/>
              </w:rPr>
              <w:t xml:space="preserve">powiat konkurencyjny – przyjazny przedsiębiorcom, atrakcyjny do lokowania i prowadzenia innowacyjnego biznesu, oparty na gospodarce niskoemisyjnej, </w:t>
            </w:r>
          </w:p>
          <w:p w14:paraId="07D0ECB5" w14:textId="77777777" w:rsidR="00686DFE" w:rsidRPr="00CE5D9A" w:rsidRDefault="00686DFE">
            <w:pPr>
              <w:pStyle w:val="Akapitzlist"/>
              <w:numPr>
                <w:ilvl w:val="0"/>
                <w:numId w:val="31"/>
              </w:numPr>
              <w:suppressAutoHyphens/>
              <w:autoSpaceDN w:val="0"/>
              <w:spacing w:after="0" w:line="276" w:lineRule="auto"/>
              <w:ind w:left="313" w:hanging="313"/>
              <w:jc w:val="both"/>
              <w:textAlignment w:val="baseline"/>
              <w:rPr>
                <w:rFonts w:ascii="Times New Roman" w:hAnsi="Times New Roman"/>
                <w:i/>
                <w:iCs/>
                <w:sz w:val="20"/>
                <w:szCs w:val="20"/>
              </w:rPr>
            </w:pPr>
            <w:r w:rsidRPr="00CE5D9A">
              <w:rPr>
                <w:rFonts w:ascii="Times New Roman" w:hAnsi="Times New Roman"/>
                <w:i/>
                <w:iCs/>
                <w:sz w:val="20"/>
                <w:szCs w:val="20"/>
              </w:rPr>
              <w:t xml:space="preserve">powiat sprawny – sprawnie zarządzany poprzez skuteczne zintegrowane działania oddziałowujące na cały jego obszar i aktywną współpracę z Gminami oraz Mieszkańcami. </w:t>
            </w:r>
          </w:p>
          <w:p w14:paraId="7515A3AF" w14:textId="77777777" w:rsidR="00686DFE" w:rsidRPr="00CE5D9A" w:rsidRDefault="00686DFE">
            <w:pPr>
              <w:suppressAutoHyphens/>
              <w:autoSpaceDN w:val="0"/>
              <w:spacing w:after="0" w:line="276" w:lineRule="auto"/>
              <w:jc w:val="both"/>
              <w:textAlignment w:val="baseline"/>
              <w:rPr>
                <w:rFonts w:ascii="Times New Roman" w:hAnsi="Times New Roman"/>
                <w:i/>
                <w:iCs/>
                <w:sz w:val="20"/>
                <w:szCs w:val="20"/>
              </w:rPr>
            </w:pPr>
            <w:r w:rsidRPr="00CE5D9A">
              <w:rPr>
                <w:rFonts w:ascii="Times New Roman" w:hAnsi="Times New Roman"/>
                <w:sz w:val="20"/>
                <w:szCs w:val="20"/>
              </w:rPr>
              <w:t xml:space="preserve">Misja Powiatu Myślenickiego: </w:t>
            </w:r>
            <w:r w:rsidRPr="00CE5D9A">
              <w:rPr>
                <w:rFonts w:ascii="Times New Roman" w:hAnsi="Times New Roman"/>
                <w:i/>
                <w:iCs/>
                <w:sz w:val="20"/>
                <w:szCs w:val="20"/>
              </w:rPr>
              <w:t>Powiat Myślenicki w 2030 roku to atrakcyjne i bezpieczne miejsce zamieszkania – pracy, edukacji, inwestowania i wypoczynku w czystym środowisku naturalnym</w:t>
            </w:r>
          </w:p>
          <w:p w14:paraId="5A3558CC"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W ramach Strategii określono obszary strategiczne, cele strategiczne, cele operacyjne i kierunki działań realizowane przez samorząd Powiatu Myślenickiego – w największym stopniu z celem LSR korelują:</w:t>
            </w:r>
          </w:p>
          <w:p w14:paraId="4B9C7D6C"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Obszar Edukacja, kultura, sport, turystyka, promocja.</w:t>
            </w:r>
          </w:p>
          <w:p w14:paraId="4D8486FA" w14:textId="77777777" w:rsidR="00686DFE" w:rsidRPr="00CE5D9A" w:rsidRDefault="00686DFE">
            <w:pPr>
              <w:suppressAutoHyphens/>
              <w:autoSpaceDN w:val="0"/>
              <w:spacing w:after="0" w:line="276" w:lineRule="auto"/>
              <w:jc w:val="both"/>
              <w:textAlignment w:val="baseline"/>
              <w:rPr>
                <w:rFonts w:ascii="Times New Roman" w:hAnsi="Times New Roman"/>
                <w:i/>
                <w:iCs/>
                <w:sz w:val="20"/>
                <w:szCs w:val="20"/>
              </w:rPr>
            </w:pPr>
            <w:r w:rsidRPr="00CE5D9A">
              <w:rPr>
                <w:rFonts w:ascii="Times New Roman" w:hAnsi="Times New Roman"/>
                <w:i/>
                <w:iCs/>
                <w:sz w:val="20"/>
                <w:szCs w:val="20"/>
              </w:rPr>
              <w:t>Cel strategiczny Rozwój edukacji, kultury, turystyki oraz kapitału społecznego</w:t>
            </w:r>
          </w:p>
          <w:p w14:paraId="703B107D" w14:textId="5C215B68" w:rsidR="009D5BF5" w:rsidRPr="00CE5D9A" w:rsidRDefault="009D5BF5">
            <w:pPr>
              <w:suppressAutoHyphens/>
              <w:autoSpaceDN w:val="0"/>
              <w:spacing w:after="0" w:line="276" w:lineRule="auto"/>
              <w:jc w:val="both"/>
              <w:textAlignment w:val="baseline"/>
              <w:rPr>
                <w:rFonts w:ascii="Times New Roman" w:hAnsi="Times New Roman"/>
                <w:iCs/>
                <w:sz w:val="20"/>
                <w:szCs w:val="20"/>
              </w:rPr>
            </w:pPr>
            <w:r w:rsidRPr="00CE5D9A">
              <w:rPr>
                <w:rFonts w:ascii="Times New Roman" w:hAnsi="Times New Roman"/>
                <w:iCs/>
                <w:sz w:val="20"/>
                <w:szCs w:val="20"/>
              </w:rPr>
              <w:t xml:space="preserve">(przedsięwzięcia: 1.1, 1.2, </w:t>
            </w:r>
            <w:r w:rsidR="00826CF0" w:rsidRPr="00CE5D9A">
              <w:rPr>
                <w:rFonts w:ascii="Times New Roman" w:hAnsi="Times New Roman"/>
                <w:iCs/>
                <w:sz w:val="20"/>
                <w:szCs w:val="20"/>
              </w:rPr>
              <w:t>1.3, 1.7</w:t>
            </w:r>
            <w:r w:rsidRPr="00CE5D9A">
              <w:rPr>
                <w:rFonts w:ascii="Times New Roman" w:hAnsi="Times New Roman"/>
                <w:iCs/>
                <w:sz w:val="20"/>
                <w:szCs w:val="20"/>
              </w:rPr>
              <w:t>, 1.1</w:t>
            </w:r>
            <w:r w:rsidR="00826CF0" w:rsidRPr="00CE5D9A">
              <w:rPr>
                <w:rFonts w:ascii="Times New Roman" w:hAnsi="Times New Roman"/>
                <w:iCs/>
                <w:sz w:val="20"/>
                <w:szCs w:val="20"/>
              </w:rPr>
              <w:t>4</w:t>
            </w:r>
            <w:r w:rsidRPr="00CE5D9A">
              <w:rPr>
                <w:rFonts w:ascii="Times New Roman" w:hAnsi="Times New Roman"/>
                <w:iCs/>
                <w:sz w:val="20"/>
                <w:szCs w:val="20"/>
              </w:rPr>
              <w:t>)</w:t>
            </w:r>
          </w:p>
          <w:p w14:paraId="24F48C4A"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Obszar Zdrowie i pomoc społeczna.</w:t>
            </w:r>
          </w:p>
          <w:p w14:paraId="54B6B68B" w14:textId="1C1934CA" w:rsidR="00686DFE" w:rsidRPr="00CE5D9A" w:rsidRDefault="00686DFE">
            <w:pPr>
              <w:spacing w:after="0" w:line="276" w:lineRule="auto"/>
              <w:jc w:val="both"/>
              <w:rPr>
                <w:rFonts w:ascii="Times New Roman" w:hAnsi="Times New Roman"/>
                <w:sz w:val="20"/>
                <w:szCs w:val="20"/>
              </w:rPr>
            </w:pPr>
            <w:r w:rsidRPr="00CE5D9A">
              <w:rPr>
                <w:rFonts w:ascii="Times New Roman" w:hAnsi="Times New Roman"/>
                <w:i/>
                <w:iCs/>
                <w:sz w:val="20"/>
                <w:szCs w:val="20"/>
              </w:rPr>
              <w:t xml:space="preserve">Cel strategiczny Poprawa jakości życia mieszkańców, promocja zdrowego trybu życia </w:t>
            </w:r>
            <w:r w:rsidRPr="00CE5D9A">
              <w:rPr>
                <w:rFonts w:ascii="Times New Roman" w:hAnsi="Times New Roman"/>
                <w:sz w:val="20"/>
                <w:szCs w:val="20"/>
              </w:rPr>
              <w:t>(w LSR planuje się operacje zapewniające rozwój kompetencji społecznych mieszkańców, włączenie społeczne oraz integrację mieszkańców</w:t>
            </w:r>
            <w:r w:rsidR="009D5BF5" w:rsidRPr="00CE5D9A">
              <w:rPr>
                <w:rFonts w:ascii="Times New Roman" w:hAnsi="Times New Roman"/>
                <w:sz w:val="20"/>
                <w:szCs w:val="20"/>
              </w:rPr>
              <w:t xml:space="preserve"> – przed</w:t>
            </w:r>
            <w:r w:rsidR="00826CF0" w:rsidRPr="00CE5D9A">
              <w:rPr>
                <w:rFonts w:ascii="Times New Roman" w:hAnsi="Times New Roman"/>
                <w:sz w:val="20"/>
                <w:szCs w:val="20"/>
              </w:rPr>
              <w:t>sięwzięcia 1.4</w:t>
            </w:r>
            <w:r w:rsidR="009D5BF5" w:rsidRPr="00CE5D9A">
              <w:rPr>
                <w:rFonts w:ascii="Times New Roman" w:hAnsi="Times New Roman"/>
                <w:sz w:val="20"/>
                <w:szCs w:val="20"/>
              </w:rPr>
              <w:t>, 1.</w:t>
            </w:r>
            <w:r w:rsidR="00826CF0" w:rsidRPr="00CE5D9A">
              <w:rPr>
                <w:rFonts w:ascii="Times New Roman" w:hAnsi="Times New Roman"/>
                <w:sz w:val="20"/>
                <w:szCs w:val="20"/>
              </w:rPr>
              <w:t>5</w:t>
            </w:r>
            <w:r w:rsidR="009D5BF5" w:rsidRPr="00CE5D9A">
              <w:rPr>
                <w:rFonts w:ascii="Times New Roman" w:hAnsi="Times New Roman"/>
                <w:sz w:val="20"/>
                <w:szCs w:val="20"/>
              </w:rPr>
              <w:t>, 1.</w:t>
            </w:r>
            <w:r w:rsidR="00826CF0" w:rsidRPr="00CE5D9A">
              <w:rPr>
                <w:rFonts w:ascii="Times New Roman" w:hAnsi="Times New Roman"/>
                <w:sz w:val="20"/>
                <w:szCs w:val="20"/>
              </w:rPr>
              <w:t>6</w:t>
            </w:r>
            <w:r w:rsidR="009D5BF5" w:rsidRPr="00CE5D9A">
              <w:rPr>
                <w:rFonts w:ascii="Times New Roman" w:hAnsi="Times New Roman"/>
                <w:sz w:val="20"/>
                <w:szCs w:val="20"/>
              </w:rPr>
              <w:t>,</w:t>
            </w:r>
            <w:r w:rsidR="00826CF0" w:rsidRPr="00CE5D9A">
              <w:rPr>
                <w:rFonts w:ascii="Times New Roman" w:hAnsi="Times New Roman"/>
                <w:sz w:val="20"/>
                <w:szCs w:val="20"/>
              </w:rPr>
              <w:t xml:space="preserve"> 1.7,</w:t>
            </w:r>
            <w:r w:rsidR="009D5BF5" w:rsidRPr="00CE5D9A">
              <w:rPr>
                <w:rFonts w:ascii="Times New Roman" w:hAnsi="Times New Roman"/>
                <w:sz w:val="20"/>
                <w:szCs w:val="20"/>
              </w:rPr>
              <w:t xml:space="preserve"> 1.1</w:t>
            </w:r>
            <w:r w:rsidR="00826CF0" w:rsidRPr="00CE5D9A">
              <w:rPr>
                <w:rFonts w:ascii="Times New Roman" w:hAnsi="Times New Roman"/>
                <w:sz w:val="20"/>
                <w:szCs w:val="20"/>
              </w:rPr>
              <w:t>5</w:t>
            </w:r>
            <w:r w:rsidRPr="00CE5D9A">
              <w:rPr>
                <w:rFonts w:ascii="Times New Roman" w:hAnsi="Times New Roman"/>
                <w:sz w:val="20"/>
                <w:szCs w:val="20"/>
              </w:rPr>
              <w:t>);</w:t>
            </w:r>
          </w:p>
          <w:p w14:paraId="0085CD2A"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 xml:space="preserve">Obszar Rynek pracy, przedsiębiorczość. </w:t>
            </w:r>
          </w:p>
          <w:p w14:paraId="281C6F7E"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i/>
                <w:iCs/>
                <w:sz w:val="20"/>
                <w:szCs w:val="20"/>
              </w:rPr>
              <w:t xml:space="preserve">Cel strategiczny Wzrost zatrudnienia i utrzymanie aktywności zawodowej klientów PUP Myślenice oraz wsparcie rozwoju lokalnej przedsiębiorczości </w:t>
            </w:r>
            <w:r w:rsidRPr="00CE5D9A">
              <w:rPr>
                <w:rFonts w:ascii="Times New Roman" w:hAnsi="Times New Roman"/>
                <w:sz w:val="20"/>
                <w:szCs w:val="20"/>
              </w:rPr>
              <w:t>(przedsięwzięcia określone w LSR ukierunkowane są na rozwój przedsiębiorczości oraz kompetencji społecznych mieszkańców).</w:t>
            </w:r>
          </w:p>
          <w:p w14:paraId="65EE0732" w14:textId="48AA1176" w:rsidR="009D5BF5" w:rsidRPr="00CE5D9A" w:rsidRDefault="009D5BF5">
            <w:pPr>
              <w:suppressAutoHyphens/>
              <w:autoSpaceDN w:val="0"/>
              <w:spacing w:after="0" w:line="276" w:lineRule="auto"/>
              <w:jc w:val="both"/>
              <w:textAlignment w:val="baseline"/>
              <w:rPr>
                <w:rFonts w:ascii="Times New Roman" w:hAnsi="Times New Roman"/>
                <w:i/>
                <w:iCs/>
                <w:sz w:val="20"/>
                <w:szCs w:val="20"/>
              </w:rPr>
            </w:pPr>
            <w:r w:rsidRPr="00CE5D9A">
              <w:rPr>
                <w:rFonts w:ascii="Times New Roman" w:hAnsi="Times New Roman"/>
                <w:sz w:val="20"/>
                <w:szCs w:val="20"/>
              </w:rPr>
              <w:t xml:space="preserve">(przedsięwzięcia: </w:t>
            </w:r>
            <w:r w:rsidR="00826CF0" w:rsidRPr="00CE5D9A">
              <w:rPr>
                <w:rFonts w:ascii="Times New Roman" w:hAnsi="Times New Roman"/>
                <w:sz w:val="20"/>
                <w:szCs w:val="20"/>
              </w:rPr>
              <w:t>1.6</w:t>
            </w:r>
            <w:r w:rsidR="00F4534F" w:rsidRPr="00CE5D9A">
              <w:rPr>
                <w:rFonts w:ascii="Times New Roman" w:hAnsi="Times New Roman"/>
                <w:sz w:val="20"/>
                <w:szCs w:val="20"/>
              </w:rPr>
              <w:t xml:space="preserve">, </w:t>
            </w:r>
            <w:r w:rsidR="00826CF0" w:rsidRPr="00CE5D9A">
              <w:rPr>
                <w:rFonts w:ascii="Times New Roman" w:hAnsi="Times New Roman"/>
                <w:sz w:val="20"/>
                <w:szCs w:val="20"/>
              </w:rPr>
              <w:t>1.10, 1.11, 1.12, 1.13</w:t>
            </w:r>
            <w:r w:rsidRPr="00CE5D9A">
              <w:rPr>
                <w:rFonts w:ascii="Times New Roman" w:hAnsi="Times New Roman"/>
                <w:sz w:val="20"/>
                <w:szCs w:val="20"/>
              </w:rPr>
              <w:t>)</w:t>
            </w:r>
          </w:p>
          <w:p w14:paraId="7796E702" w14:textId="77777777" w:rsidR="00686DFE" w:rsidRPr="00CE5D9A" w:rsidRDefault="00686DFE">
            <w:pPr>
              <w:suppressAutoHyphens/>
              <w:autoSpaceDN w:val="0"/>
              <w:spacing w:after="0" w:line="276" w:lineRule="auto"/>
              <w:jc w:val="both"/>
              <w:textAlignment w:val="baseline"/>
              <w:rPr>
                <w:rFonts w:ascii="Times New Roman" w:hAnsi="Times New Roman"/>
                <w:sz w:val="20"/>
                <w:szCs w:val="20"/>
              </w:rPr>
            </w:pPr>
            <w:r w:rsidRPr="00CE5D9A">
              <w:rPr>
                <w:rFonts w:ascii="Times New Roman" w:hAnsi="Times New Roman"/>
                <w:sz w:val="20"/>
                <w:szCs w:val="20"/>
              </w:rPr>
              <w:t>Obszar Drogi i transport, ochrona środowiska, architektura, geodezja.</w:t>
            </w:r>
          </w:p>
          <w:p w14:paraId="73293827" w14:textId="77777777" w:rsidR="00686DFE" w:rsidRPr="00CE5D9A" w:rsidRDefault="00686DFE">
            <w:pPr>
              <w:spacing w:after="0" w:line="276" w:lineRule="auto"/>
              <w:jc w:val="both"/>
              <w:rPr>
                <w:rFonts w:ascii="Times New Roman" w:hAnsi="Times New Roman"/>
                <w:sz w:val="20"/>
                <w:szCs w:val="20"/>
              </w:rPr>
            </w:pPr>
            <w:r w:rsidRPr="00CE5D9A">
              <w:rPr>
                <w:rFonts w:ascii="Times New Roman" w:hAnsi="Times New Roman"/>
                <w:i/>
                <w:iCs/>
                <w:sz w:val="20"/>
                <w:szCs w:val="20"/>
              </w:rPr>
              <w:t xml:space="preserve">Cel strategiczny Zapewnienie wysokiej jakości środowiska naturalnego </w:t>
            </w:r>
            <w:r w:rsidRPr="00CE5D9A">
              <w:rPr>
                <w:rFonts w:ascii="Times New Roman" w:hAnsi="Times New Roman"/>
                <w:sz w:val="20"/>
                <w:szCs w:val="20"/>
              </w:rPr>
              <w:t>(w LSR premiowane będą m.in operacje zapewniające racjonalne gospodarowanie zasobami lub ograniczające presję na środowisko, ponadto przedsięwzięcia określone w LSR ukierunkowane są na rozwój rekreacji i oferty spędzania czasu wolnego, przewidziano również operacje, w których premiowane będzie wykorzystanie dziedzictwa kulturowego i naturalnego).</w:t>
            </w:r>
          </w:p>
          <w:p w14:paraId="0F5C16E6" w14:textId="3E1F5D2D" w:rsidR="00F4534F" w:rsidRPr="00CE5D9A" w:rsidRDefault="00F4534F" w:rsidP="00826CF0">
            <w:pPr>
              <w:suppressAutoHyphens/>
              <w:autoSpaceDN w:val="0"/>
              <w:spacing w:after="0" w:line="276" w:lineRule="auto"/>
              <w:jc w:val="both"/>
              <w:textAlignment w:val="baseline"/>
              <w:rPr>
                <w:rFonts w:ascii="Times New Roman" w:hAnsi="Times New Roman"/>
                <w:iCs/>
                <w:sz w:val="20"/>
                <w:szCs w:val="20"/>
              </w:rPr>
            </w:pPr>
            <w:r w:rsidRPr="00CE5D9A">
              <w:rPr>
                <w:rFonts w:ascii="Times New Roman" w:hAnsi="Times New Roman"/>
                <w:iCs/>
                <w:sz w:val="20"/>
                <w:szCs w:val="20"/>
              </w:rPr>
              <w:t>(przedsięwzięcia:1.</w:t>
            </w:r>
            <w:r w:rsidR="00826CF0" w:rsidRPr="00CE5D9A">
              <w:rPr>
                <w:rFonts w:ascii="Times New Roman" w:hAnsi="Times New Roman"/>
                <w:iCs/>
                <w:sz w:val="20"/>
                <w:szCs w:val="20"/>
              </w:rPr>
              <w:t>5</w:t>
            </w:r>
            <w:r w:rsidRPr="00CE5D9A">
              <w:rPr>
                <w:rFonts w:ascii="Times New Roman" w:hAnsi="Times New Roman"/>
                <w:iCs/>
                <w:sz w:val="20"/>
                <w:szCs w:val="20"/>
              </w:rPr>
              <w:t>,</w:t>
            </w:r>
            <w:r w:rsidR="00826CF0" w:rsidRPr="00CE5D9A">
              <w:rPr>
                <w:rFonts w:ascii="Times New Roman" w:hAnsi="Times New Roman"/>
                <w:iCs/>
                <w:sz w:val="20"/>
                <w:szCs w:val="20"/>
              </w:rPr>
              <w:t xml:space="preserve"> 1.7, 1.14</w:t>
            </w:r>
            <w:r w:rsidRPr="00CE5D9A">
              <w:rPr>
                <w:rFonts w:ascii="Times New Roman" w:hAnsi="Times New Roman"/>
                <w:iCs/>
                <w:sz w:val="20"/>
                <w:szCs w:val="20"/>
              </w:rPr>
              <w:t>)</w:t>
            </w:r>
          </w:p>
        </w:tc>
      </w:tr>
    </w:tbl>
    <w:p w14:paraId="714BE782"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 na podstawie dokumentów podanych w tabeli</w:t>
      </w:r>
    </w:p>
    <w:p w14:paraId="07FD4A69" w14:textId="77777777" w:rsidR="00F4534F" w:rsidRPr="00CE5D9A" w:rsidRDefault="00686DFE">
      <w:pPr>
        <w:spacing w:after="0" w:line="276" w:lineRule="auto"/>
        <w:ind w:firstLine="709"/>
        <w:jc w:val="both"/>
        <w:rPr>
          <w:rFonts w:ascii="Times New Roman" w:hAnsi="Times New Roman"/>
        </w:rPr>
      </w:pPr>
      <w:r w:rsidRPr="00CE5D9A">
        <w:rPr>
          <w:rFonts w:ascii="Times New Roman" w:hAnsi="Times New Roman"/>
        </w:rPr>
        <w:t xml:space="preserve">Oprócz wskazanej powyżej zgodności celów LSR z innymi dokumentami planistycznymi / strategiami, należy również zwrócić uwagę na zgodność LSR z celami określonymi w programach, z których będzie ona finansowana lub w ramach których możliwe jest wsparcie LGD w realizacji przedsięwzięć wynikających z LSR. </w:t>
      </w:r>
      <w:r w:rsidRPr="00CE5D9A">
        <w:rPr>
          <w:rFonts w:ascii="Times New Roman" w:hAnsi="Times New Roman"/>
        </w:rPr>
        <w:lastRenderedPageBreak/>
        <w:t xml:space="preserve">Analizę spójności przedstawiono w tabeli 21. Przedsięwzięcia zaplanowane w LSR będą głównie finansowane ze środków PS WPR na lata 2023–2027 w ramach EFRROW. Drugim źródłem finansowania z jakiego mogą być realizowane przedsięwzięcia to program </w:t>
      </w:r>
      <w:r w:rsidRPr="00CE5D9A">
        <w:rPr>
          <w:rFonts w:ascii="Times New Roman" w:hAnsi="Times New Roman"/>
          <w:i/>
          <w:iCs/>
        </w:rPr>
        <w:t>Fundusze Europejskie dla Małopolski 2021–2027</w:t>
      </w:r>
      <w:r w:rsidRPr="00CE5D9A">
        <w:rPr>
          <w:rFonts w:ascii="Times New Roman" w:hAnsi="Times New Roman"/>
        </w:rPr>
        <w:t>.</w:t>
      </w:r>
    </w:p>
    <w:p w14:paraId="1B1C4C14" w14:textId="77777777" w:rsidR="00686DFE" w:rsidRPr="00CE5D9A" w:rsidRDefault="00686DFE">
      <w:pPr>
        <w:spacing w:after="0" w:line="276" w:lineRule="auto"/>
        <w:ind w:firstLine="709"/>
        <w:jc w:val="both"/>
        <w:rPr>
          <w:rFonts w:ascii="Times New Roman" w:hAnsi="Times New Roman"/>
        </w:rPr>
      </w:pPr>
    </w:p>
    <w:p w14:paraId="279F5C01" w14:textId="48A47900" w:rsidR="00686DFE" w:rsidRPr="00CE5D9A" w:rsidRDefault="00686DFE">
      <w:pPr>
        <w:pStyle w:val="Legenda"/>
        <w:spacing w:after="0"/>
        <w:jc w:val="center"/>
        <w:rPr>
          <w:rFonts w:ascii="Times New Roman" w:hAnsi="Times New Roman"/>
          <w:b/>
          <w:bCs/>
          <w:i w:val="0"/>
          <w:iCs w:val="0"/>
          <w:color w:val="auto"/>
          <w:sz w:val="20"/>
          <w:szCs w:val="20"/>
        </w:rPr>
      </w:pPr>
      <w:bookmarkStart w:id="147" w:name="_Toc194581446"/>
      <w:r w:rsidRPr="00CE5D9A">
        <w:rPr>
          <w:rFonts w:ascii="Times New Roman" w:hAnsi="Times New Roman"/>
          <w:b/>
          <w:bCs/>
          <w:i w:val="0"/>
          <w:iCs w:val="0"/>
          <w:color w:val="auto"/>
          <w:sz w:val="20"/>
          <w:szCs w:val="20"/>
        </w:rPr>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22</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Zgodność LSR z celami programów, z których będzie ona finansowana</w:t>
      </w:r>
      <w:bookmarkEnd w:id="14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2411"/>
        <w:gridCol w:w="7229"/>
      </w:tblGrid>
      <w:tr w:rsidR="00686DFE" w:rsidRPr="00CE5D9A" w14:paraId="2E06F221" w14:textId="77777777" w:rsidTr="00ED6C99">
        <w:trPr>
          <w:trHeight w:val="328"/>
        </w:trPr>
        <w:tc>
          <w:tcPr>
            <w:tcW w:w="561" w:type="dxa"/>
            <w:shd w:val="clear" w:color="auto" w:fill="auto"/>
          </w:tcPr>
          <w:p w14:paraId="279969CE" w14:textId="77777777" w:rsidR="00686DFE" w:rsidRPr="00CE5D9A" w:rsidRDefault="00686DFE" w:rsidP="00ED6C99">
            <w:pPr>
              <w:spacing w:after="0" w:line="276" w:lineRule="auto"/>
              <w:rPr>
                <w:rFonts w:ascii="Times New Roman" w:hAnsi="Times New Roman"/>
                <w:b/>
                <w:bCs/>
                <w:sz w:val="20"/>
                <w:szCs w:val="20"/>
              </w:rPr>
            </w:pPr>
            <w:r w:rsidRPr="00CE5D9A">
              <w:rPr>
                <w:rFonts w:ascii="Times New Roman" w:hAnsi="Times New Roman"/>
                <w:b/>
                <w:bCs/>
                <w:sz w:val="20"/>
                <w:szCs w:val="20"/>
              </w:rPr>
              <w:t>Lp.</w:t>
            </w:r>
          </w:p>
        </w:tc>
        <w:tc>
          <w:tcPr>
            <w:tcW w:w="2411" w:type="dxa"/>
            <w:shd w:val="clear" w:color="auto" w:fill="auto"/>
          </w:tcPr>
          <w:p w14:paraId="437CDCB3"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Nazwa programu</w:t>
            </w:r>
          </w:p>
        </w:tc>
        <w:tc>
          <w:tcPr>
            <w:tcW w:w="7229" w:type="dxa"/>
            <w:shd w:val="clear" w:color="auto" w:fill="auto"/>
          </w:tcPr>
          <w:p w14:paraId="282BA934" w14:textId="77777777" w:rsidR="00686DFE" w:rsidRPr="00CE5D9A" w:rsidRDefault="00686DFE" w:rsidP="00ED6C99">
            <w:pPr>
              <w:spacing w:after="0" w:line="276" w:lineRule="auto"/>
              <w:jc w:val="center"/>
              <w:rPr>
                <w:rFonts w:ascii="Times New Roman" w:hAnsi="Times New Roman"/>
                <w:b/>
                <w:bCs/>
                <w:sz w:val="20"/>
                <w:szCs w:val="20"/>
              </w:rPr>
            </w:pPr>
            <w:r w:rsidRPr="00CE5D9A">
              <w:rPr>
                <w:rFonts w:ascii="Times New Roman" w:hAnsi="Times New Roman"/>
                <w:b/>
                <w:bCs/>
                <w:sz w:val="20"/>
                <w:szCs w:val="20"/>
              </w:rPr>
              <w:t>Opis spójności z celem LSR</w:t>
            </w:r>
          </w:p>
        </w:tc>
      </w:tr>
      <w:tr w:rsidR="00686DFE" w:rsidRPr="00CE5D9A" w14:paraId="75F562D6" w14:textId="77777777" w:rsidTr="00ED6C99">
        <w:tc>
          <w:tcPr>
            <w:tcW w:w="561" w:type="dxa"/>
            <w:shd w:val="clear" w:color="auto" w:fill="auto"/>
            <w:vAlign w:val="center"/>
          </w:tcPr>
          <w:p w14:paraId="5B83A557" w14:textId="77777777" w:rsidR="00686DFE" w:rsidRPr="00CE5D9A" w:rsidRDefault="00686DFE" w:rsidP="00ED6C99">
            <w:pPr>
              <w:pStyle w:val="Akapitzlist"/>
              <w:numPr>
                <w:ilvl w:val="0"/>
                <w:numId w:val="32"/>
              </w:numPr>
              <w:spacing w:after="0" w:line="276" w:lineRule="auto"/>
              <w:ind w:left="447"/>
              <w:rPr>
                <w:rFonts w:ascii="Times New Roman" w:hAnsi="Times New Roman"/>
                <w:sz w:val="20"/>
                <w:szCs w:val="20"/>
              </w:rPr>
            </w:pPr>
          </w:p>
        </w:tc>
        <w:tc>
          <w:tcPr>
            <w:tcW w:w="2411" w:type="dxa"/>
            <w:shd w:val="clear" w:color="auto" w:fill="auto"/>
            <w:vAlign w:val="center"/>
          </w:tcPr>
          <w:p w14:paraId="646AF423" w14:textId="77777777" w:rsidR="00686DFE" w:rsidRPr="00CE5D9A" w:rsidRDefault="00686DFE" w:rsidP="00ED6C99">
            <w:pPr>
              <w:spacing w:after="0" w:line="276" w:lineRule="auto"/>
              <w:jc w:val="center"/>
              <w:rPr>
                <w:rFonts w:ascii="Times New Roman" w:hAnsi="Times New Roman"/>
                <w:i/>
                <w:iCs/>
                <w:sz w:val="20"/>
                <w:szCs w:val="20"/>
              </w:rPr>
            </w:pPr>
            <w:r w:rsidRPr="00CE5D9A">
              <w:rPr>
                <w:rFonts w:ascii="Times New Roman" w:hAnsi="Times New Roman"/>
                <w:i/>
                <w:iCs/>
                <w:sz w:val="20"/>
                <w:szCs w:val="20"/>
              </w:rPr>
              <w:t>Plan Strategiczny dla Wspólnej Polityki Rolnej na lata 2023–2027</w:t>
            </w:r>
          </w:p>
          <w:p w14:paraId="7624D461"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t>(PS WPR 2023–2027)</w:t>
            </w:r>
          </w:p>
        </w:tc>
        <w:tc>
          <w:tcPr>
            <w:tcW w:w="7229" w:type="dxa"/>
            <w:shd w:val="clear" w:color="auto" w:fill="auto"/>
          </w:tcPr>
          <w:p w14:paraId="7DF47C21"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i/>
                <w:iCs/>
                <w:sz w:val="20"/>
                <w:szCs w:val="20"/>
              </w:rPr>
              <w:t>Plan Strategiczny dla Wspólnej Polityki Rolnej na lata 2023–2027</w:t>
            </w:r>
            <w:r w:rsidRPr="00CE5D9A">
              <w:rPr>
                <w:rFonts w:ascii="Times New Roman" w:hAnsi="Times New Roman"/>
                <w:sz w:val="20"/>
                <w:szCs w:val="20"/>
              </w:rPr>
              <w:t xml:space="preserve"> jest następcą </w:t>
            </w:r>
            <w:r w:rsidRPr="00CE5D9A">
              <w:rPr>
                <w:rFonts w:ascii="Times New Roman" w:hAnsi="Times New Roman"/>
                <w:i/>
                <w:iCs/>
                <w:sz w:val="20"/>
                <w:szCs w:val="20"/>
              </w:rPr>
              <w:t>Programu Rozwoju Obszarów Wiejskich na lata 2014–2020</w:t>
            </w:r>
            <w:r w:rsidRPr="00CE5D9A">
              <w:rPr>
                <w:rFonts w:ascii="Times New Roman" w:hAnsi="Times New Roman"/>
                <w:sz w:val="20"/>
                <w:szCs w:val="20"/>
              </w:rPr>
              <w:t xml:space="preserve">. PS WPR zakłada wspieranie zrównoważonego rozwoju polskich gospodarstw, sektora przetwórstwa i poprawę warunków życia i pracy w małych miejscowościach wiejskich. </w:t>
            </w:r>
          </w:p>
          <w:p w14:paraId="274AF799"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Jedną ze wskazanych w PS WPR interwencji jest właśnie LEADER/Rozwój Lokalny Kierowany przez Społeczność. Cel LSR wpisuje się w ukierunkowanie interwencji na: </w:t>
            </w:r>
            <w:r w:rsidRPr="00CE5D9A">
              <w:rPr>
                <w:rFonts w:ascii="Times New Roman" w:hAnsi="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sidRPr="00CE5D9A">
              <w:rPr>
                <w:rFonts w:ascii="Times New Roman" w:hAnsi="Times New Roman"/>
                <w:sz w:val="20"/>
                <w:szCs w:val="20"/>
              </w:rPr>
              <w:t xml:space="preserve">. Zgodnie z zapisami PS WPR: </w:t>
            </w:r>
            <w:r w:rsidRPr="00CE5D9A">
              <w:rPr>
                <w:rFonts w:ascii="Times New Roman" w:hAnsi="Times New Roman"/>
                <w:i/>
                <w:iCs/>
                <w:sz w:val="20"/>
                <w:szCs w:val="20"/>
              </w:rPr>
              <w:t>oczekuje się od LGD ukierunkowania na rozwój obszaru w oparciu o przedsiębiorczość z jednoczesnym poszanowaniem warunków przyrodniczych (biogospodarka, GOZ) i dziedzictwa kulturowego oraz szczególnej wrażliwości na wymiar społeczny rozwoju lokalnego. Mając na uwadze rolę LGD we wspieraniu włączenia społecznego, szczególny nacisk zostanie położony na potrzeby zdiagnozowanych na obszarach objętych LSR grup osób w niekorzystnej sytuacji</w:t>
            </w:r>
            <w:r w:rsidRPr="00CE5D9A">
              <w:rPr>
                <w:rFonts w:ascii="Times New Roman" w:hAnsi="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społeczny, w tym integrację, włączenie społeczne, a szczególnie osób w niekorzystnej sytuacji. Wskazana w LSR grupa osób w niekorzystnej sytuacji – osoby z niepełnosprawnościami i ich opiekunowie, jest zgodna z katalogiem takich grup, wskazanym w PS WPR. </w:t>
            </w:r>
          </w:p>
          <w:p w14:paraId="02097AEF" w14:textId="1206CABE"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i/>
                <w:iCs/>
                <w:sz w:val="20"/>
                <w:szCs w:val="20"/>
              </w:rPr>
              <w:t>Z uwagi natomiast na specyfikę metody LEADER wymaga się, iż LSR zarówno na etapie jej przygotowania jak i wdrażania zakładały maksymalne zastosowanie podejścia partnerskiego</w:t>
            </w:r>
            <w:r w:rsidRPr="00CE5D9A">
              <w:rPr>
                <w:rFonts w:ascii="Times New Roman" w:hAnsi="Times New Roman"/>
                <w:sz w:val="20"/>
                <w:szCs w:val="20"/>
              </w:rPr>
              <w:t xml:space="preserve"> – cały proces opracowania LSR oparty był na partnerstwie, zarówno w</w:t>
            </w:r>
            <w:r w:rsidR="00CF7BE8" w:rsidRPr="00CE5D9A">
              <w:rPr>
                <w:rFonts w:ascii="Times New Roman" w:hAnsi="Times New Roman"/>
                <w:sz w:val="20"/>
                <w:szCs w:val="20"/>
              </w:rPr>
              <w:t> </w:t>
            </w:r>
            <w:r w:rsidRPr="00CE5D9A">
              <w:rPr>
                <w:rFonts w:ascii="Times New Roman" w:hAnsi="Times New Roman"/>
                <w:sz w:val="20"/>
                <w:szCs w:val="20"/>
              </w:rPr>
              <w:t>odniesieniu do partnerów skupionych w LGD, jak i z innymi partnerami z obszaru. Na etapie wdrażania zaplanowano działania zwiększające aktywność członków i ich zaangażowanie w realizację LSR, a także operacje polega</w:t>
            </w:r>
            <w:r w:rsidR="00CF7BE8" w:rsidRPr="00CE5D9A">
              <w:rPr>
                <w:rFonts w:ascii="Times New Roman" w:hAnsi="Times New Roman"/>
                <w:sz w:val="20"/>
                <w:szCs w:val="20"/>
              </w:rPr>
              <w:t>jące na kojarzeniu partnerów i </w:t>
            </w:r>
            <w:r w:rsidRPr="00CE5D9A">
              <w:rPr>
                <w:rFonts w:ascii="Times New Roman" w:hAnsi="Times New Roman"/>
                <w:sz w:val="20"/>
                <w:szCs w:val="20"/>
              </w:rPr>
              <w:t>animowaniu do realizacji proj</w:t>
            </w:r>
            <w:r w:rsidR="00CF7BE8" w:rsidRPr="00CE5D9A">
              <w:rPr>
                <w:rFonts w:ascii="Times New Roman" w:hAnsi="Times New Roman"/>
                <w:sz w:val="20"/>
                <w:szCs w:val="20"/>
              </w:rPr>
              <w:t>ektów w partnerstwie. Zgodnie z </w:t>
            </w:r>
            <w:r w:rsidRPr="00CE5D9A">
              <w:rPr>
                <w:rFonts w:ascii="Times New Roman" w:hAnsi="Times New Roman"/>
                <w:sz w:val="20"/>
                <w:szCs w:val="20"/>
              </w:rPr>
              <w:t>zalecaniem (</w:t>
            </w:r>
            <w:r w:rsidRPr="00CE5D9A">
              <w:rPr>
                <w:rFonts w:ascii="Times New Roman" w:hAnsi="Times New Roman"/>
                <w:i/>
                <w:iCs/>
                <w:sz w:val="20"/>
                <w:szCs w:val="20"/>
              </w:rPr>
              <w:t>dużą wagę przywiązuje się do innowacyjności projektowanych rozwiązań</w:t>
            </w:r>
            <w:r w:rsidRPr="00CE5D9A">
              <w:rPr>
                <w:rFonts w:ascii="Times New Roman" w:hAnsi="Times New Roman"/>
                <w:sz w:val="20"/>
                <w:szCs w:val="20"/>
              </w:rPr>
              <w:t xml:space="preserve">), w LSR określono też mechanizmy mające zwiększyć poziom innowacyjności na obszarze, m.in. poprzez wdrożenie koncepcji Smart Villages. Poza operacją dedykowaną, we wszystkich przedsięwzięciach będzie premiowana innowacyjność. Zaplanowane operacje będą realizować co najmniej </w:t>
            </w:r>
            <w:r w:rsidR="00D96ACB" w:rsidRPr="00CE5D9A">
              <w:rPr>
                <w:rFonts w:ascii="Times New Roman" w:hAnsi="Times New Roman"/>
                <w:sz w:val="20"/>
                <w:szCs w:val="20"/>
              </w:rPr>
              <w:t>7</w:t>
            </w:r>
            <w:r w:rsidRPr="00CE5D9A">
              <w:rPr>
                <w:rFonts w:ascii="Times New Roman" w:hAnsi="Times New Roman"/>
                <w:sz w:val="20"/>
                <w:szCs w:val="20"/>
              </w:rPr>
              <w:t xml:space="preserve"> z 9 celów interwencji PS WPR, tj.</w:t>
            </w:r>
          </w:p>
          <w:p w14:paraId="40BDC7D7"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1. </w:t>
            </w:r>
            <w:r w:rsidRPr="00CE5D9A">
              <w:rPr>
                <w:rFonts w:ascii="Times New Roman" w:hAnsi="Times New Roman"/>
                <w:i/>
                <w:iCs/>
                <w:sz w:val="20"/>
                <w:szCs w:val="20"/>
              </w:rPr>
              <w:t>Rozwój przedsiębiorczości, w tym rozwój biogospodarki lub zielonej gospodarki</w:t>
            </w:r>
            <w:r w:rsidRPr="00CE5D9A">
              <w:rPr>
                <w:rFonts w:ascii="Times New Roman" w:hAnsi="Times New Roman"/>
                <w:sz w:val="20"/>
                <w:szCs w:val="20"/>
              </w:rPr>
              <w:t>;</w:t>
            </w:r>
          </w:p>
          <w:p w14:paraId="4BA8529B"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2. </w:t>
            </w:r>
            <w:r w:rsidRPr="00CE5D9A">
              <w:rPr>
                <w:rFonts w:ascii="Times New Roman" w:hAnsi="Times New Roman"/>
                <w:i/>
                <w:iCs/>
                <w:sz w:val="20"/>
                <w:szCs w:val="20"/>
              </w:rPr>
              <w:t>Rozwój pozarolniczych funkcji małych gospodarstw rolnych w zakresie tworzenia i rozwijania</w:t>
            </w:r>
            <w:r w:rsidRPr="00CE5D9A">
              <w:rPr>
                <w:rFonts w:ascii="Times New Roman" w:hAnsi="Times New Roman"/>
                <w:sz w:val="20"/>
                <w:szCs w:val="20"/>
              </w:rPr>
              <w:t>;</w:t>
            </w:r>
          </w:p>
          <w:p w14:paraId="1375EA70"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4. </w:t>
            </w:r>
            <w:r w:rsidRPr="00CE5D9A">
              <w:rPr>
                <w:rFonts w:ascii="Times New Roman" w:hAnsi="Times New Roman"/>
                <w:i/>
                <w:iCs/>
                <w:sz w:val="20"/>
                <w:szCs w:val="20"/>
              </w:rPr>
              <w:t>Poprawa dostępu do usług dla lokalnych społeczności</w:t>
            </w:r>
            <w:r w:rsidRPr="00CE5D9A">
              <w:rPr>
                <w:rFonts w:ascii="Times New Roman" w:hAnsi="Times New Roman"/>
                <w:sz w:val="20"/>
                <w:szCs w:val="20"/>
              </w:rPr>
              <w:t>;</w:t>
            </w:r>
          </w:p>
          <w:p w14:paraId="2DAF9445"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5. </w:t>
            </w:r>
            <w:r w:rsidRPr="00CE5D9A">
              <w:rPr>
                <w:rFonts w:ascii="Times New Roman" w:hAnsi="Times New Roman"/>
                <w:i/>
                <w:iCs/>
                <w:sz w:val="20"/>
                <w:szCs w:val="20"/>
              </w:rPr>
              <w:t>Przygotowanie koncepcji inteligentnej wsi</w:t>
            </w:r>
            <w:r w:rsidRPr="00CE5D9A">
              <w:rPr>
                <w:rFonts w:ascii="Times New Roman" w:hAnsi="Times New Roman"/>
                <w:sz w:val="20"/>
                <w:szCs w:val="20"/>
              </w:rPr>
              <w:t xml:space="preserve">; </w:t>
            </w:r>
          </w:p>
          <w:p w14:paraId="43D7DCC7"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6. </w:t>
            </w:r>
            <w:r w:rsidRPr="00CE5D9A">
              <w:rPr>
                <w:rFonts w:ascii="Times New Roman" w:hAnsi="Times New Roman"/>
                <w:i/>
                <w:iCs/>
                <w:sz w:val="20"/>
                <w:szCs w:val="20"/>
              </w:rPr>
              <w:t>Poprawa dostępu do małej infrastruktury publicznej</w:t>
            </w:r>
            <w:r w:rsidRPr="00CE5D9A">
              <w:rPr>
                <w:rFonts w:ascii="Times New Roman" w:hAnsi="Times New Roman"/>
                <w:sz w:val="20"/>
                <w:szCs w:val="20"/>
              </w:rPr>
              <w:t>;</w:t>
            </w:r>
          </w:p>
          <w:p w14:paraId="4B3DA398"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7. </w:t>
            </w:r>
            <w:r w:rsidRPr="00CE5D9A">
              <w:rPr>
                <w:rFonts w:ascii="Times New Roman" w:hAnsi="Times New Roman"/>
                <w:i/>
                <w:iCs/>
                <w:sz w:val="20"/>
                <w:szCs w:val="20"/>
              </w:rPr>
              <w:t xml:space="preserve">Kształtowanie świadomości obywatelskiej o znaczeniu zrównoważonego rolnictwa, gospodarki rolno-spożywczej, zielonej gospodarki, biogospodarki, wsparcie rozwoju wiedzy i umiejętności w zakresie innowacyjności, cyfryzacji i przedsiębiorczości, a także wzmacnianie programów edukacji liderów życia publicznego i społecznego, </w:t>
            </w:r>
            <w:r w:rsidRPr="00CE5D9A">
              <w:rPr>
                <w:rFonts w:ascii="Times New Roman" w:hAnsi="Times New Roman"/>
                <w:i/>
                <w:iCs/>
                <w:sz w:val="20"/>
                <w:szCs w:val="20"/>
              </w:rPr>
              <w:br/>
              <w:t>z wyłączeniem inwestycji infrastrukturalnych</w:t>
            </w:r>
            <w:r w:rsidRPr="00CE5D9A">
              <w:rPr>
                <w:rFonts w:ascii="Times New Roman" w:hAnsi="Times New Roman"/>
                <w:sz w:val="20"/>
                <w:szCs w:val="20"/>
              </w:rPr>
              <w:t>;</w:t>
            </w:r>
          </w:p>
          <w:p w14:paraId="16B9EE3D"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8. </w:t>
            </w:r>
            <w:r w:rsidRPr="00CE5D9A">
              <w:rPr>
                <w:rFonts w:ascii="Times New Roman" w:hAnsi="Times New Roman"/>
                <w:i/>
                <w:iCs/>
                <w:sz w:val="20"/>
                <w:szCs w:val="20"/>
              </w:rPr>
              <w:t>Włączenie społeczne seniorów, ludzi młodych i osób w niekorzystnej sytuacji</w:t>
            </w:r>
            <w:r w:rsidRPr="00CE5D9A">
              <w:rPr>
                <w:rFonts w:ascii="Times New Roman" w:hAnsi="Times New Roman"/>
                <w:sz w:val="20"/>
                <w:szCs w:val="20"/>
              </w:rPr>
              <w:t>.</w:t>
            </w:r>
          </w:p>
        </w:tc>
      </w:tr>
      <w:tr w:rsidR="00686DFE" w:rsidRPr="00CE5D9A" w14:paraId="2483DF1D" w14:textId="77777777" w:rsidTr="00ED6C99">
        <w:tc>
          <w:tcPr>
            <w:tcW w:w="561" w:type="dxa"/>
            <w:shd w:val="clear" w:color="auto" w:fill="auto"/>
            <w:vAlign w:val="center"/>
          </w:tcPr>
          <w:p w14:paraId="61DDB349" w14:textId="77777777" w:rsidR="00686DFE" w:rsidRPr="00CE5D9A" w:rsidRDefault="00686DFE" w:rsidP="00ED6C99">
            <w:pPr>
              <w:pStyle w:val="Akapitzlist"/>
              <w:numPr>
                <w:ilvl w:val="0"/>
                <w:numId w:val="32"/>
              </w:numPr>
              <w:spacing w:after="0" w:line="276" w:lineRule="auto"/>
              <w:ind w:left="447"/>
              <w:rPr>
                <w:rFonts w:ascii="Times New Roman" w:hAnsi="Times New Roman"/>
                <w:sz w:val="20"/>
                <w:szCs w:val="20"/>
              </w:rPr>
            </w:pPr>
          </w:p>
        </w:tc>
        <w:tc>
          <w:tcPr>
            <w:tcW w:w="2411" w:type="dxa"/>
            <w:shd w:val="clear" w:color="auto" w:fill="auto"/>
            <w:vAlign w:val="center"/>
          </w:tcPr>
          <w:p w14:paraId="1133E7FD" w14:textId="77777777" w:rsidR="00686DFE" w:rsidRPr="00CE5D9A" w:rsidRDefault="00686DFE" w:rsidP="00ED6C99">
            <w:pPr>
              <w:spacing w:after="0" w:line="276" w:lineRule="auto"/>
              <w:jc w:val="center"/>
              <w:rPr>
                <w:rFonts w:ascii="Times New Roman" w:hAnsi="Times New Roman"/>
                <w:i/>
                <w:iCs/>
                <w:sz w:val="20"/>
                <w:szCs w:val="20"/>
              </w:rPr>
            </w:pPr>
            <w:r w:rsidRPr="00CE5D9A">
              <w:rPr>
                <w:rFonts w:ascii="Times New Roman" w:hAnsi="Times New Roman"/>
                <w:i/>
                <w:iCs/>
                <w:sz w:val="20"/>
                <w:szCs w:val="20"/>
              </w:rPr>
              <w:t>Fundusze Europejskie dla Małopolski 2021–2027</w:t>
            </w:r>
          </w:p>
          <w:p w14:paraId="0F57A10A" w14:textId="77777777" w:rsidR="00686DFE" w:rsidRPr="00CE5D9A" w:rsidRDefault="00686DFE" w:rsidP="00ED6C99">
            <w:pPr>
              <w:spacing w:after="0" w:line="276" w:lineRule="auto"/>
              <w:jc w:val="center"/>
              <w:rPr>
                <w:rFonts w:ascii="Times New Roman" w:hAnsi="Times New Roman"/>
                <w:sz w:val="20"/>
                <w:szCs w:val="20"/>
              </w:rPr>
            </w:pPr>
            <w:r w:rsidRPr="00CE5D9A">
              <w:rPr>
                <w:rFonts w:ascii="Times New Roman" w:hAnsi="Times New Roman"/>
                <w:sz w:val="20"/>
                <w:szCs w:val="20"/>
              </w:rPr>
              <w:lastRenderedPageBreak/>
              <w:t>(FEM)</w:t>
            </w:r>
          </w:p>
        </w:tc>
        <w:tc>
          <w:tcPr>
            <w:tcW w:w="7229" w:type="dxa"/>
            <w:shd w:val="clear" w:color="auto" w:fill="auto"/>
          </w:tcPr>
          <w:p w14:paraId="2FC9C517"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lastRenderedPageBreak/>
              <w:t>W Programie</w:t>
            </w:r>
            <w:r w:rsidRPr="00CE5D9A">
              <w:rPr>
                <w:sz w:val="20"/>
                <w:szCs w:val="20"/>
              </w:rPr>
              <w:t xml:space="preserve"> </w:t>
            </w:r>
            <w:r w:rsidRPr="00CE5D9A">
              <w:rPr>
                <w:rFonts w:ascii="Times New Roman" w:hAnsi="Times New Roman"/>
                <w:i/>
                <w:iCs/>
                <w:sz w:val="20"/>
                <w:szCs w:val="20"/>
              </w:rPr>
              <w:t>Fundusze Europejskie dla Małopolski 2021–2027</w:t>
            </w:r>
            <w:r w:rsidRPr="00CE5D9A">
              <w:rPr>
                <w:rFonts w:ascii="Times New Roman" w:hAnsi="Times New Roman"/>
                <w:sz w:val="20"/>
                <w:szCs w:val="20"/>
              </w:rPr>
              <w:t xml:space="preserve"> zostało określonych 11 priorytetów, które zostały podzielone z kolei na cele szczegółowe, w ramach których </w:t>
            </w:r>
            <w:r w:rsidRPr="00CE5D9A">
              <w:rPr>
                <w:rFonts w:ascii="Times New Roman" w:hAnsi="Times New Roman"/>
                <w:sz w:val="20"/>
                <w:szCs w:val="20"/>
              </w:rPr>
              <w:lastRenderedPageBreak/>
              <w:t>przewidziano finansowanie działań mających na celu rozwój województwa małopolskiego. W województwie małopolskim, w ramach programu regionalnego na obszarach wiejskich w formule instrumentu terytorialnego Rozwój Lokalny Kierowany przez Społeczność (RLKS), będą realizowane działania wynikające z Lokalnych Strategii Rozwoju. Instrument ten będzie zastosowany w ramach:</w:t>
            </w:r>
          </w:p>
          <w:p w14:paraId="6A9ACFA1" w14:textId="77777777" w:rsidR="00686DFE" w:rsidRPr="00CE5D9A" w:rsidRDefault="00686DFE" w:rsidP="00ED6C99">
            <w:pPr>
              <w:spacing w:after="0" w:line="276" w:lineRule="auto"/>
              <w:jc w:val="both"/>
              <w:rPr>
                <w:rFonts w:ascii="Times New Roman" w:hAnsi="Times New Roman"/>
                <w:sz w:val="20"/>
                <w:szCs w:val="20"/>
              </w:rPr>
            </w:pPr>
            <w:bookmarkStart w:id="148" w:name="_Hlk133077023"/>
            <w:bookmarkStart w:id="149" w:name="_Hlk134110744"/>
            <w:r w:rsidRPr="00CE5D9A">
              <w:rPr>
                <w:rFonts w:ascii="Times New Roman" w:hAnsi="Times New Roman"/>
                <w:sz w:val="20"/>
                <w:szCs w:val="20"/>
              </w:rPr>
              <w:t xml:space="preserve">Priorytetu 6. </w:t>
            </w:r>
            <w:r w:rsidRPr="00CE5D9A">
              <w:rPr>
                <w:rFonts w:ascii="Times New Roman" w:hAnsi="Times New Roman"/>
                <w:i/>
                <w:iCs/>
                <w:sz w:val="20"/>
                <w:szCs w:val="20"/>
              </w:rPr>
              <w:t>Fundusze Europejskie dla rynku pracy, edukacji i włączenia społecznego</w:t>
            </w:r>
          </w:p>
          <w:p w14:paraId="501C503E" w14:textId="77777777" w:rsidR="00686DFE" w:rsidRPr="00CE5D9A" w:rsidRDefault="00686DFE" w:rsidP="00ED6C99">
            <w:pPr>
              <w:spacing w:after="0" w:line="276" w:lineRule="auto"/>
              <w:jc w:val="both"/>
              <w:rPr>
                <w:rFonts w:ascii="Times New Roman" w:hAnsi="Times New Roman"/>
                <w:i/>
                <w:iCs/>
                <w:sz w:val="20"/>
                <w:szCs w:val="20"/>
              </w:rPr>
            </w:pPr>
            <w:r w:rsidRPr="00CE5D9A">
              <w:rPr>
                <w:rFonts w:ascii="Times New Roman" w:hAnsi="Times New Roman"/>
                <w:sz w:val="20"/>
                <w:szCs w:val="20"/>
              </w:rPr>
              <w:t>Celu szczegółowego polityki:</w:t>
            </w:r>
            <w:r w:rsidRPr="00CE5D9A">
              <w:rPr>
                <w:rFonts w:ascii="Times New Roman" w:hAnsi="Times New Roman"/>
                <w:i/>
                <w:iCs/>
                <w:sz w:val="20"/>
                <w:szCs w:val="20"/>
              </w:rPr>
              <w:t xml:space="preserve"> 4.</w:t>
            </w:r>
            <w:r w:rsidRPr="00CE5D9A">
              <w:rPr>
                <w:rFonts w:ascii="Times New Roman" w:hAnsi="Times New Roman"/>
                <w:sz w:val="20"/>
                <w:szCs w:val="20"/>
              </w:rPr>
              <w:t xml:space="preserve"> </w:t>
            </w:r>
            <w:r w:rsidRPr="00CE5D9A">
              <w:rPr>
                <w:rFonts w:ascii="Times New Roman" w:hAnsi="Times New Roman"/>
                <w:i/>
                <w:iCs/>
                <w:sz w:val="20"/>
                <w:szCs w:val="20"/>
              </w:rPr>
              <w:t>Europa o silniejszym wymiarze społecznym, bardziej sprzyjająca włączeniu społecznemu i wdrażająca Europejski filar praw socjalnych:</w:t>
            </w:r>
          </w:p>
          <w:p w14:paraId="693F44EB" w14:textId="77777777" w:rsidR="00686DFE" w:rsidRPr="00CE5D9A" w:rsidRDefault="00686DFE" w:rsidP="00ED6C99">
            <w:pPr>
              <w:pStyle w:val="Akapitzlist"/>
              <w:numPr>
                <w:ilvl w:val="0"/>
                <w:numId w:val="33"/>
              </w:numPr>
              <w:spacing w:after="0" w:line="276" w:lineRule="auto"/>
              <w:ind w:left="357" w:hanging="357"/>
              <w:jc w:val="both"/>
              <w:rPr>
                <w:rFonts w:ascii="Times New Roman" w:hAnsi="Times New Roman"/>
                <w:i/>
                <w:iCs/>
                <w:sz w:val="20"/>
                <w:szCs w:val="20"/>
              </w:rPr>
            </w:pPr>
            <w:r w:rsidRPr="00CE5D9A">
              <w:rPr>
                <w:rFonts w:ascii="Times New Roman" w:hAnsi="Times New Roman"/>
                <w:i/>
                <w:iCs/>
                <w:sz w:val="20"/>
                <w:szCs w:val="20"/>
              </w:rPr>
              <w:t>4(h) wspieranie aktywnego włączenia społecznego w celu promowania równości szans, niedyskryminacji i aktywnego uczestnictwa, oraz zwiększanie zdolności do zatrudnienia, w szczególności grup w niekorzystnej sytuacji.</w:t>
            </w:r>
          </w:p>
          <w:p w14:paraId="3B43E8E0"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W ramach celu możliwa będzie aktywizacja społeczna, zawodowa, edukacyjna, zdrowotna, kulturalna i mieszkaniowa osób zagrożonych ubóstwem i wykluczeniem społecznym oraz osób biernych zawodowo, mająca na celu poprawę ich sytuacji na rynku pracy oraz zwiększenia aktywności w wymiarze społecznym.</w:t>
            </w:r>
          </w:p>
          <w:p w14:paraId="3749BCBB" w14:textId="77777777" w:rsidR="00686DFE" w:rsidRPr="00CE5D9A" w:rsidRDefault="00686DFE" w:rsidP="00ED6C99">
            <w:pPr>
              <w:pStyle w:val="Akapitzlist"/>
              <w:numPr>
                <w:ilvl w:val="0"/>
                <w:numId w:val="33"/>
              </w:numPr>
              <w:spacing w:after="0" w:line="276" w:lineRule="auto"/>
              <w:ind w:left="357" w:hanging="357"/>
              <w:jc w:val="both"/>
              <w:rPr>
                <w:rFonts w:ascii="Times New Roman" w:hAnsi="Times New Roman"/>
                <w:i/>
                <w:iCs/>
                <w:sz w:val="20"/>
                <w:szCs w:val="20"/>
              </w:rPr>
            </w:pPr>
            <w:r w:rsidRPr="00CE5D9A">
              <w:rPr>
                <w:rStyle w:val="markedcontent"/>
                <w:rFonts w:ascii="Times New Roman" w:hAnsi="Times New Roman"/>
                <w:i/>
                <w:iCs/>
                <w:sz w:val="20"/>
                <w:szCs w:val="20"/>
              </w:rPr>
              <w:t>4</w:t>
            </w:r>
            <w:r w:rsidRPr="00CE5D9A">
              <w:rPr>
                <w:rFonts w:ascii="Times New Roman" w:hAnsi="Times New Roman"/>
                <w:i/>
                <w:iCs/>
                <w:sz w:val="20"/>
                <w:szCs w:val="20"/>
              </w:rPr>
              <w:t xml:space="preserve">(k) zwiększanie równego i szybkiego dostępu do dobrej jakości, trwałych </w:t>
            </w:r>
            <w:r w:rsidRPr="00CE5D9A">
              <w:rPr>
                <w:rFonts w:ascii="Times New Roman" w:hAnsi="Times New Roman"/>
                <w:i/>
                <w:iCs/>
                <w:sz w:val="20"/>
                <w:szCs w:val="20"/>
              </w:rPr>
              <w:b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2DA263B"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W ramach celu możliwe będzie:</w:t>
            </w:r>
          </w:p>
          <w:p w14:paraId="25F9662C" w14:textId="77777777" w:rsidR="00686DFE" w:rsidRPr="00CE5D9A" w:rsidRDefault="00686DFE" w:rsidP="00ED6C99">
            <w:pPr>
              <w:pStyle w:val="Default"/>
              <w:numPr>
                <w:ilvl w:val="0"/>
                <w:numId w:val="34"/>
              </w:numPr>
              <w:spacing w:line="276" w:lineRule="auto"/>
              <w:ind w:left="357" w:hanging="357"/>
              <w:jc w:val="both"/>
              <w:rPr>
                <w:color w:val="auto"/>
                <w:sz w:val="20"/>
                <w:szCs w:val="20"/>
              </w:rPr>
            </w:pPr>
            <w:r w:rsidRPr="00CE5D9A">
              <w:rPr>
                <w:color w:val="auto"/>
                <w:sz w:val="20"/>
                <w:szCs w:val="20"/>
              </w:rPr>
              <w:t>tworzenie nowych oraz rozwój już istniejących placówek wsparcia dziennego dla dzieci i młodzieży;</w:t>
            </w:r>
          </w:p>
          <w:p w14:paraId="6BD17D6C" w14:textId="77777777" w:rsidR="00686DFE" w:rsidRPr="00CE5D9A" w:rsidRDefault="00686DFE" w:rsidP="00ED6C99">
            <w:pPr>
              <w:pStyle w:val="Default"/>
              <w:numPr>
                <w:ilvl w:val="0"/>
                <w:numId w:val="34"/>
              </w:numPr>
              <w:spacing w:line="276" w:lineRule="auto"/>
              <w:ind w:left="357" w:hanging="357"/>
              <w:jc w:val="both"/>
              <w:rPr>
                <w:color w:val="auto"/>
                <w:sz w:val="20"/>
                <w:szCs w:val="20"/>
              </w:rPr>
            </w:pPr>
            <w:r w:rsidRPr="00CE5D9A">
              <w:rPr>
                <w:color w:val="auto"/>
                <w:sz w:val="20"/>
                <w:szCs w:val="20"/>
              </w:rPr>
              <w:t>usługi zgodne z zasadą deinstytucjonalizacji, w zakresie zapewnienia opieki osobom potrzebującym wsparcia w codziennym funkcjonowaniu, w tym ze względu na wiek oraz/lub usługi w zakresie wsparcia opiekunów nieformalnych;</w:t>
            </w:r>
          </w:p>
          <w:p w14:paraId="5EC59776" w14:textId="77777777" w:rsidR="00686DFE" w:rsidRPr="00CE5D9A" w:rsidRDefault="00686DFE" w:rsidP="00ED6C99">
            <w:pPr>
              <w:pStyle w:val="Default"/>
              <w:numPr>
                <w:ilvl w:val="0"/>
                <w:numId w:val="34"/>
              </w:numPr>
              <w:spacing w:line="276" w:lineRule="auto"/>
              <w:ind w:left="357" w:hanging="357"/>
              <w:jc w:val="both"/>
              <w:rPr>
                <w:color w:val="auto"/>
                <w:sz w:val="20"/>
                <w:szCs w:val="20"/>
              </w:rPr>
            </w:pPr>
            <w:r w:rsidRPr="00CE5D9A">
              <w:rPr>
                <w:color w:val="auto"/>
                <w:sz w:val="20"/>
                <w:szCs w:val="20"/>
              </w:rPr>
              <w:t>usługi w zakresie rozwoju mieszkalnictwa chronionego, wspomaganego i innych rodzajów mieszkań z usługami;</w:t>
            </w:r>
          </w:p>
          <w:p w14:paraId="5D507430" w14:textId="77777777" w:rsidR="00686DFE" w:rsidRPr="00CE5D9A" w:rsidRDefault="00686DFE" w:rsidP="00ED6C99">
            <w:pPr>
              <w:pStyle w:val="Default"/>
              <w:numPr>
                <w:ilvl w:val="0"/>
                <w:numId w:val="34"/>
              </w:numPr>
              <w:spacing w:line="276" w:lineRule="auto"/>
              <w:ind w:left="357" w:hanging="357"/>
              <w:jc w:val="both"/>
              <w:rPr>
                <w:color w:val="auto"/>
                <w:sz w:val="20"/>
                <w:szCs w:val="20"/>
              </w:rPr>
            </w:pPr>
            <w:r w:rsidRPr="00CE5D9A">
              <w:rPr>
                <w:color w:val="auto"/>
                <w:sz w:val="20"/>
                <w:szCs w:val="20"/>
              </w:rPr>
              <w:t xml:space="preserve">usługi domowej opieki długoterminowej zgodne z zasadą deinstytucjonalizacji, </w:t>
            </w:r>
            <w:r w:rsidRPr="00CE5D9A">
              <w:rPr>
                <w:color w:val="auto"/>
                <w:sz w:val="20"/>
                <w:szCs w:val="20"/>
              </w:rPr>
              <w:br/>
              <w:t>w tym wykorzystanie modelu DDOM;</w:t>
            </w:r>
          </w:p>
          <w:p w14:paraId="72864BF9" w14:textId="77777777" w:rsidR="00686DFE" w:rsidRPr="00CE5D9A" w:rsidRDefault="00686DFE" w:rsidP="00ED6C99">
            <w:pPr>
              <w:pStyle w:val="Akapitzlist"/>
              <w:numPr>
                <w:ilvl w:val="0"/>
                <w:numId w:val="35"/>
              </w:numPr>
              <w:spacing w:after="0" w:line="276" w:lineRule="auto"/>
              <w:ind w:left="357" w:hanging="357"/>
              <w:jc w:val="both"/>
              <w:rPr>
                <w:rFonts w:ascii="Times New Roman" w:hAnsi="Times New Roman"/>
                <w:sz w:val="20"/>
                <w:szCs w:val="20"/>
              </w:rPr>
            </w:pPr>
            <w:r w:rsidRPr="00CE5D9A">
              <w:rPr>
                <w:rFonts w:ascii="Times New Roman" w:hAnsi="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251D76EF"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 xml:space="preserve">Priorytetu 7. </w:t>
            </w:r>
            <w:r w:rsidRPr="00CE5D9A">
              <w:rPr>
                <w:rFonts w:ascii="Times New Roman" w:hAnsi="Times New Roman"/>
                <w:i/>
                <w:iCs/>
                <w:sz w:val="20"/>
                <w:szCs w:val="20"/>
              </w:rPr>
              <w:t>Fundusze Europejskie dla wspólnot lokalnych</w:t>
            </w:r>
          </w:p>
          <w:p w14:paraId="766882D1" w14:textId="77777777" w:rsidR="00686DFE" w:rsidRPr="00CE5D9A" w:rsidRDefault="00686DFE" w:rsidP="00ED6C99">
            <w:pPr>
              <w:spacing w:after="0" w:line="276" w:lineRule="auto"/>
              <w:jc w:val="both"/>
              <w:rPr>
                <w:rFonts w:ascii="Times New Roman" w:hAnsi="Times New Roman"/>
                <w:i/>
                <w:iCs/>
                <w:sz w:val="20"/>
                <w:szCs w:val="20"/>
              </w:rPr>
            </w:pPr>
            <w:r w:rsidRPr="00CE5D9A">
              <w:rPr>
                <w:rFonts w:ascii="Times New Roman" w:hAnsi="Times New Roman"/>
                <w:sz w:val="20"/>
                <w:szCs w:val="20"/>
              </w:rPr>
              <w:t>Celu szczegółowego polityki:</w:t>
            </w:r>
            <w:r w:rsidRPr="00CE5D9A">
              <w:rPr>
                <w:rFonts w:ascii="Times New Roman" w:hAnsi="Times New Roman"/>
                <w:i/>
                <w:iCs/>
                <w:sz w:val="20"/>
                <w:szCs w:val="20"/>
              </w:rPr>
              <w:t xml:space="preserve"> 5.</w:t>
            </w:r>
            <w:r w:rsidRPr="00CE5D9A">
              <w:rPr>
                <w:rFonts w:ascii="Times New Roman" w:hAnsi="Times New Roman"/>
                <w:sz w:val="20"/>
                <w:szCs w:val="20"/>
              </w:rPr>
              <w:t xml:space="preserve"> </w:t>
            </w:r>
            <w:r w:rsidRPr="00CE5D9A">
              <w:rPr>
                <w:rFonts w:ascii="Times New Roman" w:hAnsi="Times New Roman"/>
                <w:i/>
                <w:iCs/>
                <w:sz w:val="20"/>
                <w:szCs w:val="20"/>
              </w:rPr>
              <w:t>Europa bliższa obywatelom dzięki wspieraniu zrównoważonego i zintegrowanego rozwoju wszystkich rodzajów terytoriów i inicjatyw lokalnych:</w:t>
            </w:r>
          </w:p>
          <w:p w14:paraId="226F7D85" w14:textId="77777777" w:rsidR="00686DFE" w:rsidRPr="00CE5D9A" w:rsidRDefault="00686DFE" w:rsidP="00ED6C99">
            <w:pPr>
              <w:pStyle w:val="Akapitzlist"/>
              <w:numPr>
                <w:ilvl w:val="0"/>
                <w:numId w:val="33"/>
              </w:numPr>
              <w:spacing w:after="0" w:line="276" w:lineRule="auto"/>
              <w:ind w:left="357" w:hanging="357"/>
              <w:jc w:val="both"/>
              <w:rPr>
                <w:rFonts w:ascii="Times New Roman" w:hAnsi="Times New Roman"/>
                <w:i/>
                <w:iCs/>
                <w:sz w:val="20"/>
                <w:szCs w:val="20"/>
              </w:rPr>
            </w:pPr>
            <w:r w:rsidRPr="00CE5D9A">
              <w:rPr>
                <w:rFonts w:ascii="Times New Roman" w:hAnsi="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2A2F18E1" w14:textId="77777777" w:rsidR="00686DFE" w:rsidRPr="00CE5D9A" w:rsidRDefault="00686DFE" w:rsidP="00ED6C99">
            <w:pPr>
              <w:spacing w:after="0" w:line="276" w:lineRule="auto"/>
              <w:jc w:val="both"/>
              <w:rPr>
                <w:rFonts w:ascii="Times New Roman" w:hAnsi="Times New Roman"/>
                <w:sz w:val="20"/>
                <w:szCs w:val="20"/>
              </w:rPr>
            </w:pPr>
            <w:r w:rsidRPr="00CE5D9A">
              <w:rPr>
                <w:rFonts w:ascii="Times New Roman" w:hAnsi="Times New Roman"/>
                <w:sz w:val="20"/>
                <w:szCs w:val="20"/>
              </w:rPr>
              <w:t>W ramach celu możliwe będzie:</w:t>
            </w:r>
          </w:p>
          <w:p w14:paraId="6BDA471A" w14:textId="77777777" w:rsidR="00686DFE" w:rsidRPr="00CE5D9A" w:rsidRDefault="00686DFE" w:rsidP="00ED6C99">
            <w:pPr>
              <w:pStyle w:val="Default"/>
              <w:spacing w:line="276" w:lineRule="auto"/>
              <w:jc w:val="both"/>
              <w:rPr>
                <w:color w:val="auto"/>
                <w:sz w:val="20"/>
                <w:szCs w:val="20"/>
              </w:rPr>
            </w:pPr>
            <w:r w:rsidRPr="00CE5D9A">
              <w:rPr>
                <w:color w:val="auto"/>
                <w:sz w:val="20"/>
                <w:szCs w:val="20"/>
              </w:rPr>
              <w:t xml:space="preserve">Rozwój infrastruktury kultury: </w:t>
            </w:r>
          </w:p>
          <w:p w14:paraId="2FE6A8B5" w14:textId="77777777" w:rsidR="00686DFE" w:rsidRPr="00CE5D9A" w:rsidRDefault="00686DFE" w:rsidP="00ED6C99">
            <w:pPr>
              <w:pStyle w:val="Default"/>
              <w:numPr>
                <w:ilvl w:val="0"/>
                <w:numId w:val="35"/>
              </w:numPr>
              <w:spacing w:line="276" w:lineRule="auto"/>
              <w:ind w:left="357" w:hanging="357"/>
              <w:jc w:val="both"/>
              <w:rPr>
                <w:color w:val="auto"/>
                <w:sz w:val="20"/>
                <w:szCs w:val="20"/>
              </w:rPr>
            </w:pPr>
            <w:r w:rsidRPr="00CE5D9A">
              <w:rPr>
                <w:color w:val="auto"/>
                <w:sz w:val="20"/>
                <w:szCs w:val="20"/>
              </w:rPr>
              <w:t xml:space="preserve">rozwój m.in. domów kultury, bibliotek (mediatek), muzeów, w tym wyposażenie </w:t>
            </w:r>
            <w:r w:rsidRPr="00CE5D9A">
              <w:rPr>
                <w:color w:val="auto"/>
                <w:sz w:val="20"/>
                <w:szCs w:val="20"/>
              </w:rPr>
              <w:br/>
              <w:t>w nowe technologie wzmacniające ofertę kulturalną;</w:t>
            </w:r>
          </w:p>
          <w:p w14:paraId="3EE2EFC3" w14:textId="77777777" w:rsidR="00686DFE" w:rsidRPr="00CE5D9A" w:rsidRDefault="00686DFE" w:rsidP="00ED6C99">
            <w:pPr>
              <w:pStyle w:val="Default"/>
              <w:numPr>
                <w:ilvl w:val="0"/>
                <w:numId w:val="35"/>
              </w:numPr>
              <w:spacing w:line="276" w:lineRule="auto"/>
              <w:ind w:left="357" w:hanging="357"/>
              <w:jc w:val="both"/>
              <w:rPr>
                <w:color w:val="auto"/>
                <w:sz w:val="20"/>
                <w:szCs w:val="20"/>
              </w:rPr>
            </w:pPr>
            <w:r w:rsidRPr="00CE5D9A">
              <w:rPr>
                <w:color w:val="auto"/>
                <w:sz w:val="20"/>
                <w:szCs w:val="20"/>
              </w:rPr>
              <w:t xml:space="preserve">dokumentowanie, zachowanie i upowszechnianie dziedzictwa niematerialnego. </w:t>
            </w:r>
          </w:p>
          <w:p w14:paraId="2314D4AC" w14:textId="77777777" w:rsidR="00686DFE" w:rsidRPr="00CE5D9A" w:rsidRDefault="00686DFE" w:rsidP="00ED6C99">
            <w:pPr>
              <w:pStyle w:val="Default"/>
              <w:spacing w:line="276" w:lineRule="auto"/>
              <w:jc w:val="both"/>
              <w:rPr>
                <w:color w:val="auto"/>
                <w:sz w:val="20"/>
                <w:szCs w:val="20"/>
              </w:rPr>
            </w:pPr>
            <w:r w:rsidRPr="00CE5D9A">
              <w:rPr>
                <w:color w:val="auto"/>
                <w:sz w:val="20"/>
                <w:szCs w:val="20"/>
              </w:rPr>
              <w:t xml:space="preserve">Ochrona i opieka nad zabytkami: </w:t>
            </w:r>
          </w:p>
          <w:p w14:paraId="712F933D" w14:textId="77777777" w:rsidR="00686DFE" w:rsidRPr="00CE5D9A" w:rsidRDefault="00686DFE" w:rsidP="00ED6C99">
            <w:pPr>
              <w:pStyle w:val="Default"/>
              <w:numPr>
                <w:ilvl w:val="0"/>
                <w:numId w:val="36"/>
              </w:numPr>
              <w:spacing w:line="276" w:lineRule="auto"/>
              <w:ind w:left="357" w:hanging="357"/>
              <w:jc w:val="both"/>
              <w:rPr>
                <w:color w:val="auto"/>
                <w:sz w:val="20"/>
                <w:szCs w:val="20"/>
              </w:rPr>
            </w:pPr>
            <w:r w:rsidRPr="00CE5D9A">
              <w:rPr>
                <w:color w:val="auto"/>
                <w:sz w:val="20"/>
                <w:szCs w:val="20"/>
              </w:rPr>
              <w:t xml:space="preserve">wspieranie prac konserwatorskich, restauratorskich i zabezpieczających oraz robót budowalnych przy zabytkach nieruchomych wraz z ich otoczeniem, umożliwiających zachowanie dotychczasowych funkcji zabytków, a także służących nadaniu im nowych funkcji. Objęte wsparciem zabytki będą mogły pełnić funkcje użytkowe, w szczególności kulturalne, edukacyjne, służące lokalnej społeczności oraz turystom. </w:t>
            </w:r>
          </w:p>
          <w:p w14:paraId="4930734F" w14:textId="77777777" w:rsidR="00686DFE" w:rsidRPr="00CE5D9A" w:rsidRDefault="00686DFE" w:rsidP="00ED6C99">
            <w:pPr>
              <w:pStyle w:val="Default"/>
              <w:spacing w:line="276" w:lineRule="auto"/>
              <w:jc w:val="both"/>
              <w:rPr>
                <w:color w:val="auto"/>
                <w:sz w:val="20"/>
                <w:szCs w:val="20"/>
              </w:rPr>
            </w:pPr>
            <w:r w:rsidRPr="00CE5D9A">
              <w:rPr>
                <w:color w:val="auto"/>
                <w:sz w:val="20"/>
                <w:szCs w:val="20"/>
              </w:rPr>
              <w:lastRenderedPageBreak/>
              <w:t xml:space="preserve">Oferta turystyczna: </w:t>
            </w:r>
          </w:p>
          <w:p w14:paraId="62C48A1E" w14:textId="77777777" w:rsidR="00686DFE" w:rsidRPr="00CE5D9A" w:rsidRDefault="00686DFE" w:rsidP="00ED6C99">
            <w:pPr>
              <w:pStyle w:val="Default"/>
              <w:numPr>
                <w:ilvl w:val="0"/>
                <w:numId w:val="36"/>
              </w:numPr>
              <w:spacing w:line="276" w:lineRule="auto"/>
              <w:ind w:left="357" w:hanging="357"/>
              <w:jc w:val="both"/>
              <w:rPr>
                <w:color w:val="auto"/>
                <w:sz w:val="20"/>
                <w:szCs w:val="20"/>
              </w:rPr>
            </w:pPr>
            <w:r w:rsidRPr="00CE5D9A">
              <w:rPr>
                <w:color w:val="auto"/>
                <w:sz w:val="20"/>
                <w:szCs w:val="20"/>
              </w:rPr>
              <w:t xml:space="preserve">rozwój szlaków turystycznych oraz tworzenie produktów turystycznych bazujących na lokalnych potencjałach oraz walorach kulturowych i przyrodniczych, dzięki wsparciu infrastruktury do potrzeb zrównoważonej turystyki i stworzenia ponadlokalnej oferty turystycznej. </w:t>
            </w:r>
          </w:p>
          <w:bookmarkEnd w:id="148"/>
          <w:p w14:paraId="28F39ABC" w14:textId="16E87222" w:rsidR="00686DFE" w:rsidRPr="00CE5D9A" w:rsidRDefault="00686DFE" w:rsidP="00BE766B">
            <w:pPr>
              <w:spacing w:after="0" w:line="276" w:lineRule="auto"/>
              <w:jc w:val="both"/>
              <w:rPr>
                <w:rFonts w:ascii="Times New Roman" w:hAnsi="Times New Roman"/>
                <w:sz w:val="20"/>
                <w:szCs w:val="20"/>
              </w:rPr>
            </w:pPr>
            <w:r w:rsidRPr="00CE5D9A">
              <w:rPr>
                <w:rFonts w:ascii="Times New Roman" w:hAnsi="Times New Roman"/>
                <w:sz w:val="20"/>
                <w:szCs w:val="20"/>
              </w:rPr>
              <w:t>LGD planuje realizację projektów ze środków FEM w ramach wszystkich powyższych celów w zakresie przedsięwzięć: 1.1</w:t>
            </w:r>
            <w:r w:rsidR="00BE766B">
              <w:rPr>
                <w:rFonts w:ascii="Times New Roman" w:hAnsi="Times New Roman"/>
                <w:sz w:val="20"/>
                <w:szCs w:val="20"/>
              </w:rPr>
              <w:t>4</w:t>
            </w:r>
            <w:r w:rsidRPr="00CE5D9A">
              <w:rPr>
                <w:rFonts w:ascii="Times New Roman" w:hAnsi="Times New Roman"/>
                <w:sz w:val="20"/>
                <w:szCs w:val="20"/>
              </w:rPr>
              <w:t xml:space="preserve">. </w:t>
            </w:r>
            <w:r w:rsidRPr="00CE5D9A">
              <w:rPr>
                <w:rFonts w:ascii="Times New Roman" w:hAnsi="Times New Roman"/>
                <w:i/>
                <w:iCs/>
                <w:sz w:val="20"/>
                <w:szCs w:val="20"/>
              </w:rPr>
              <w:t>Rozwój kultury, dziedzictwa kulturowego</w:t>
            </w:r>
            <w:r w:rsidRPr="00CE5D9A">
              <w:rPr>
                <w:rFonts w:ascii="Times New Roman" w:hAnsi="Times New Roman"/>
                <w:sz w:val="20"/>
                <w:szCs w:val="20"/>
              </w:rPr>
              <w:t xml:space="preserve"> </w:t>
            </w:r>
            <w:r w:rsidRPr="00CE5D9A">
              <w:rPr>
                <w:rFonts w:ascii="Times New Roman" w:hAnsi="Times New Roman"/>
                <w:i/>
                <w:iCs/>
                <w:sz w:val="20"/>
                <w:szCs w:val="20"/>
              </w:rPr>
              <w:t>i turystyki</w:t>
            </w:r>
            <w:r w:rsidRPr="00CE5D9A">
              <w:rPr>
                <w:rFonts w:ascii="Times New Roman" w:hAnsi="Times New Roman"/>
                <w:sz w:val="20"/>
                <w:szCs w:val="20"/>
              </w:rPr>
              <w:t xml:space="preserve"> oraz 1.1</w:t>
            </w:r>
            <w:r w:rsidR="00BE766B">
              <w:rPr>
                <w:rFonts w:ascii="Times New Roman" w:hAnsi="Times New Roman"/>
                <w:sz w:val="20"/>
                <w:szCs w:val="20"/>
              </w:rPr>
              <w:t>5</w:t>
            </w:r>
            <w:r w:rsidRPr="00CE5D9A">
              <w:rPr>
                <w:rFonts w:ascii="Times New Roman" w:hAnsi="Times New Roman"/>
                <w:sz w:val="20"/>
                <w:szCs w:val="20"/>
              </w:rPr>
              <w:t xml:space="preserve">. </w:t>
            </w:r>
            <w:r w:rsidRPr="00CE5D9A">
              <w:rPr>
                <w:rFonts w:ascii="Times New Roman" w:hAnsi="Times New Roman"/>
                <w:i/>
                <w:iCs/>
                <w:sz w:val="20"/>
                <w:szCs w:val="20"/>
              </w:rPr>
              <w:t>Wspieranie oddolnych inicjatyw na rzecz aktywnego włączenia społecznego</w:t>
            </w:r>
            <w:bookmarkEnd w:id="149"/>
            <w:r w:rsidRPr="00CE5D9A">
              <w:rPr>
                <w:rFonts w:ascii="Times New Roman" w:hAnsi="Times New Roman"/>
                <w:i/>
                <w:iCs/>
                <w:sz w:val="20"/>
                <w:szCs w:val="20"/>
              </w:rPr>
              <w:t>.</w:t>
            </w:r>
          </w:p>
        </w:tc>
      </w:tr>
    </w:tbl>
    <w:p w14:paraId="72131394" w14:textId="77777777" w:rsidR="00686DFE" w:rsidRPr="00CE5D9A" w:rsidRDefault="00686DFE">
      <w:pPr>
        <w:jc w:val="center"/>
        <w:rPr>
          <w:rFonts w:ascii="Times New Roman" w:hAnsi="Times New Roman"/>
          <w:sz w:val="4"/>
          <w:szCs w:val="4"/>
        </w:rPr>
      </w:pPr>
      <w:r w:rsidRPr="00CE5D9A">
        <w:rPr>
          <w:rFonts w:ascii="Times New Roman" w:hAnsi="Times New Roman"/>
          <w:i/>
          <w:iCs/>
          <w:sz w:val="20"/>
          <w:szCs w:val="20"/>
        </w:rPr>
        <w:lastRenderedPageBreak/>
        <w:t>Źródło: opracowanie własne na podstawie dokumentów podanych w tabeli</w:t>
      </w:r>
      <w:r w:rsidRPr="00CE5D9A">
        <w:rPr>
          <w:rFonts w:ascii="Times New Roman" w:hAnsi="Times New Roman"/>
          <w:i/>
          <w:iCs/>
          <w:sz w:val="20"/>
          <w:szCs w:val="20"/>
        </w:rPr>
        <w:cr/>
      </w:r>
    </w:p>
    <w:p w14:paraId="60E30FDF" w14:textId="2CAA2F1F" w:rsidR="00686DFE" w:rsidRPr="00CE5D9A" w:rsidRDefault="00686DFE">
      <w:pPr>
        <w:spacing w:after="0"/>
        <w:ind w:firstLine="708"/>
        <w:jc w:val="both"/>
        <w:rPr>
          <w:rFonts w:ascii="Times New Roman" w:hAnsi="Times New Roman"/>
        </w:rPr>
      </w:pPr>
      <w:r w:rsidRPr="00CE5D9A">
        <w:rPr>
          <w:rFonts w:ascii="Times New Roman" w:hAnsi="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21. Ponadto wybrane przedsięwzięcia w ramach celu LSR </w:t>
      </w:r>
      <w:r w:rsidRPr="00CE5D9A">
        <w:rPr>
          <w:rFonts w:ascii="Times New Roman" w:hAnsi="Times New Roman"/>
          <w:i/>
          <w:iCs/>
        </w:rPr>
        <w:t>Utworzenie Myślenickiej Strefy Przemysłu Czasu Wolnego</w:t>
      </w:r>
      <w:r w:rsidR="00604B33" w:rsidRPr="00CE5D9A">
        <w:t xml:space="preserve"> </w:t>
      </w:r>
      <w:r w:rsidR="00604B33" w:rsidRPr="00CE5D9A">
        <w:rPr>
          <w:rFonts w:ascii="Times New Roman" w:hAnsi="Times New Roman"/>
          <w:i/>
          <w:iCs/>
        </w:rPr>
        <w:t>i rozwoju przedsiębiorczości</w:t>
      </w:r>
      <w:r w:rsidRPr="00CE5D9A">
        <w:rPr>
          <w:rFonts w:ascii="Times New Roman" w:hAnsi="Times New Roman"/>
          <w:i/>
          <w:iCs/>
        </w:rPr>
        <w:t xml:space="preserve"> </w:t>
      </w:r>
      <w:r w:rsidRPr="00CE5D9A">
        <w:rPr>
          <w:rFonts w:ascii="Times New Roman" w:hAnsi="Times New Roman"/>
        </w:rPr>
        <w:t>mogą być realizowane przez LGD oraz inne podmioty i partnerów, szczególnie z takich źródeł finansowania jak:</w:t>
      </w:r>
    </w:p>
    <w:p w14:paraId="01E4C8A4" w14:textId="282E4117" w:rsidR="00686DFE" w:rsidRPr="00CE5D9A" w:rsidRDefault="00686DFE">
      <w:pPr>
        <w:pStyle w:val="Akapitzlist"/>
        <w:numPr>
          <w:ilvl w:val="0"/>
          <w:numId w:val="37"/>
        </w:numPr>
        <w:spacing w:after="0"/>
        <w:ind w:left="851" w:hanging="425"/>
        <w:jc w:val="both"/>
        <w:rPr>
          <w:rFonts w:ascii="Times New Roman" w:hAnsi="Times New Roman"/>
        </w:rPr>
      </w:pPr>
      <w:r w:rsidRPr="00CE5D9A">
        <w:rPr>
          <w:rFonts w:ascii="Times New Roman" w:hAnsi="Times New Roman"/>
          <w:i/>
          <w:iCs/>
        </w:rPr>
        <w:t xml:space="preserve">Fundusze Europejskie na Infrastrukturę, Klimat, Środowisko 2021–2027 </w:t>
      </w:r>
      <w:r w:rsidRPr="00CE5D9A">
        <w:rPr>
          <w:rFonts w:ascii="Times New Roman" w:hAnsi="Times New Roman"/>
        </w:rPr>
        <w:t xml:space="preserve">w ramach priorytetu VII </w:t>
      </w:r>
      <w:r w:rsidRPr="00CE5D9A">
        <w:rPr>
          <w:rFonts w:ascii="Times New Roman" w:hAnsi="Times New Roman"/>
          <w:i/>
          <w:iCs/>
        </w:rPr>
        <w:t xml:space="preserve">Kultura </w:t>
      </w:r>
      <w:r w:rsidRPr="00CE5D9A">
        <w:rPr>
          <w:rFonts w:ascii="Times New Roman" w:hAnsi="Times New Roman"/>
        </w:rPr>
        <w:t xml:space="preserve">Cel szczegółowy 4.6 </w:t>
      </w:r>
      <w:r w:rsidRPr="00CE5D9A">
        <w:rPr>
          <w:rFonts w:ascii="Times New Roman" w:hAnsi="Times New Roman"/>
          <w:i/>
          <w:iCs/>
        </w:rPr>
        <w:t>Wzmacnianie roli kultury i zrównoważonej turystyki w rozwoju gospodarczym, włączeniu społecznym i innowacjach społecznych</w:t>
      </w:r>
      <w:r w:rsidRPr="00CE5D9A">
        <w:rPr>
          <w:rFonts w:ascii="Times New Roman" w:hAnsi="Times New Roman"/>
        </w:rPr>
        <w:t>. W zakres finansowania z tego programu wpisują się w szczególności operacje określone w LSR odnoszące się do ogólnodostępnej infrastruktury publicznej (1.1) i rozwoju kultury, dziedzict</w:t>
      </w:r>
      <w:r w:rsidR="00033B8D" w:rsidRPr="00CE5D9A">
        <w:rPr>
          <w:rFonts w:ascii="Times New Roman" w:hAnsi="Times New Roman"/>
        </w:rPr>
        <w:t>wa kulturowego i turystyki (1.1</w:t>
      </w:r>
      <w:r w:rsidR="00826CF0" w:rsidRPr="00CE5D9A">
        <w:rPr>
          <w:rFonts w:ascii="Times New Roman" w:hAnsi="Times New Roman"/>
        </w:rPr>
        <w:t>4</w:t>
      </w:r>
      <w:r w:rsidRPr="00CE5D9A">
        <w:rPr>
          <w:rFonts w:ascii="Times New Roman" w:hAnsi="Times New Roman"/>
        </w:rPr>
        <w:t xml:space="preserve">). </w:t>
      </w:r>
    </w:p>
    <w:p w14:paraId="40F1DAE6" w14:textId="43D74979" w:rsidR="00686DFE" w:rsidRPr="00CE5D9A" w:rsidRDefault="00686DFE">
      <w:pPr>
        <w:pStyle w:val="Akapitzlist"/>
        <w:numPr>
          <w:ilvl w:val="0"/>
          <w:numId w:val="37"/>
        </w:numPr>
        <w:spacing w:after="0"/>
        <w:ind w:left="851" w:hanging="425"/>
        <w:jc w:val="both"/>
        <w:rPr>
          <w:rFonts w:ascii="Times New Roman" w:hAnsi="Times New Roman"/>
        </w:rPr>
      </w:pPr>
      <w:r w:rsidRPr="00CE5D9A">
        <w:rPr>
          <w:rFonts w:ascii="Times New Roman" w:hAnsi="Times New Roman"/>
        </w:rPr>
        <w:t xml:space="preserve">Program </w:t>
      </w:r>
      <w:r w:rsidRPr="00CE5D9A">
        <w:rPr>
          <w:rFonts w:ascii="Times New Roman" w:hAnsi="Times New Roman"/>
          <w:i/>
          <w:iCs/>
        </w:rPr>
        <w:t>Fundusz Inicjatyw Obywatelskich NOWEFIO na lata 2021–2030</w:t>
      </w:r>
      <w:r w:rsidRPr="00CE5D9A">
        <w:rPr>
          <w:rFonts w:ascii="Times New Roman" w:hAnsi="Times New Roman"/>
        </w:rPr>
        <w:t xml:space="preserve"> – w ramach priorytetu I </w:t>
      </w:r>
      <w:r w:rsidRPr="00CE5D9A">
        <w:rPr>
          <w:rFonts w:ascii="Times New Roman" w:hAnsi="Times New Roman"/>
          <w:i/>
          <w:iCs/>
        </w:rPr>
        <w:t>Mikro-inicjatywy</w:t>
      </w:r>
      <w:r w:rsidRPr="00CE5D9A">
        <w:rPr>
          <w:rFonts w:ascii="Times New Roman" w:hAnsi="Times New Roman"/>
        </w:rPr>
        <w:t xml:space="preserve"> oraz w ramach priorytetu II </w:t>
      </w:r>
      <w:r w:rsidRPr="00CE5D9A">
        <w:rPr>
          <w:rFonts w:ascii="Times New Roman" w:hAnsi="Times New Roman"/>
          <w:i/>
          <w:iCs/>
        </w:rPr>
        <w:t>Organizacje obywatelskie na rzecz dobra wspólnego</w:t>
      </w:r>
      <w:r w:rsidRPr="00CE5D9A">
        <w:rPr>
          <w:rFonts w:ascii="Times New Roman" w:hAnsi="Times New Roman"/>
        </w:rPr>
        <w:t>. W zakres finansowania tego programu wpisuj</w:t>
      </w:r>
      <w:r w:rsidR="00826CF0" w:rsidRPr="00CE5D9A">
        <w:rPr>
          <w:rFonts w:ascii="Times New Roman" w:hAnsi="Times New Roman"/>
        </w:rPr>
        <w:t>ą</w:t>
      </w:r>
      <w:r w:rsidRPr="00CE5D9A">
        <w:rPr>
          <w:rFonts w:ascii="Times New Roman" w:hAnsi="Times New Roman"/>
        </w:rPr>
        <w:t xml:space="preserve"> się przedsięwzięcia (1.7, 1.8), które zakładają wykorzystanie potencjału organizacji pozarządowych do przygotowania, wdrażania i realizacji inicjatyw wynikających z koncepcji Smart Village oraz </w:t>
      </w:r>
      <w:r w:rsidR="00033B8D" w:rsidRPr="00CE5D9A">
        <w:rPr>
          <w:rFonts w:ascii="Times New Roman" w:hAnsi="Times New Roman"/>
        </w:rPr>
        <w:t>przedsięwzięcie (1.1</w:t>
      </w:r>
      <w:r w:rsidR="00CC4E99" w:rsidRPr="00CE5D9A">
        <w:rPr>
          <w:rFonts w:ascii="Times New Roman" w:hAnsi="Times New Roman"/>
        </w:rPr>
        <w:t>5</w:t>
      </w:r>
      <w:r w:rsidRPr="00CE5D9A">
        <w:rPr>
          <w:rFonts w:ascii="Times New Roman" w:hAnsi="Times New Roman"/>
        </w:rPr>
        <w:t>) odnoszące się do wspierania oddolnych inicjatyw na rzecz aktywnego włączenia społecznego.</w:t>
      </w:r>
    </w:p>
    <w:p w14:paraId="1967808D" w14:textId="19F667B2" w:rsidR="00686DFE" w:rsidRPr="00CE5D9A" w:rsidRDefault="00686DFE">
      <w:pPr>
        <w:pStyle w:val="Akapitzlist"/>
        <w:numPr>
          <w:ilvl w:val="0"/>
          <w:numId w:val="37"/>
        </w:numPr>
        <w:spacing w:after="0"/>
        <w:ind w:left="851" w:hanging="425"/>
        <w:jc w:val="both"/>
        <w:rPr>
          <w:rFonts w:ascii="Times New Roman" w:hAnsi="Times New Roman"/>
        </w:rPr>
      </w:pPr>
      <w:r w:rsidRPr="00CE5D9A">
        <w:rPr>
          <w:rFonts w:ascii="Times New Roman" w:hAnsi="Times New Roman"/>
          <w:i/>
          <w:iCs/>
        </w:rPr>
        <w:t xml:space="preserve">Fundusze Europejskie dla Rozwoju Społecznego 2021–2027 </w:t>
      </w:r>
      <w:r w:rsidRPr="00CE5D9A">
        <w:rPr>
          <w:rFonts w:ascii="Times New Roman" w:hAnsi="Times New Roman"/>
        </w:rPr>
        <w:t xml:space="preserve">w ramach celu szczegółowego ESO4.7. </w:t>
      </w:r>
      <w:r w:rsidRPr="00CE5D9A">
        <w:rPr>
          <w:rFonts w:ascii="Times New Roman" w:hAnsi="Times New Roman"/>
          <w:i/>
          <w:iCs/>
        </w:rPr>
        <w:t xml:space="preserve">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 </w:t>
      </w:r>
      <w:r w:rsidRPr="00CE5D9A">
        <w:rPr>
          <w:rFonts w:ascii="Times New Roman" w:hAnsi="Times New Roman"/>
        </w:rPr>
        <w:t>(EFS+).</w:t>
      </w:r>
      <w:r w:rsidRPr="00CE5D9A">
        <w:rPr>
          <w:rFonts w:ascii="Times New Roman" w:hAnsi="Times New Roman"/>
          <w:i/>
          <w:iCs/>
        </w:rPr>
        <w:t xml:space="preserve"> </w:t>
      </w:r>
      <w:r w:rsidRPr="00CE5D9A">
        <w:rPr>
          <w:rFonts w:ascii="Times New Roman" w:hAnsi="Times New Roman"/>
        </w:rPr>
        <w:t>W zakres finansowania tego programu wpisuje się przedsięwzięcie 1.</w:t>
      </w:r>
      <w:r w:rsidR="00CC4E99" w:rsidRPr="00CE5D9A">
        <w:rPr>
          <w:rFonts w:ascii="Times New Roman" w:hAnsi="Times New Roman"/>
        </w:rPr>
        <w:t>4</w:t>
      </w:r>
      <w:r w:rsidRPr="00CE5D9A">
        <w:rPr>
          <w:rFonts w:ascii="Times New Roman" w:hAnsi="Times New Roman"/>
        </w:rPr>
        <w:t>, które zakłada integrację i wzmacnianie aktywności osób w niekorzystnej sytuacji (osoby z niepełnosprawnościami i ich opiekunowie).</w:t>
      </w:r>
    </w:p>
    <w:p w14:paraId="32BB6748" w14:textId="77777777" w:rsidR="00686DFE" w:rsidRPr="00CE5D9A" w:rsidRDefault="00686DFE">
      <w:pPr>
        <w:pStyle w:val="Akapitzlist"/>
        <w:numPr>
          <w:ilvl w:val="0"/>
          <w:numId w:val="37"/>
        </w:numPr>
        <w:ind w:left="851" w:hanging="425"/>
        <w:jc w:val="both"/>
        <w:rPr>
          <w:rFonts w:ascii="Times New Roman" w:hAnsi="Times New Roman"/>
        </w:rPr>
      </w:pPr>
      <w:r w:rsidRPr="00CE5D9A">
        <w:rPr>
          <w:rFonts w:ascii="Times New Roman" w:hAnsi="Times New Roman"/>
          <w:i/>
          <w:iCs/>
        </w:rPr>
        <w:t>Program Interreg Polska-Słowacja 2021–2027</w:t>
      </w:r>
      <w:r w:rsidRPr="00CE5D9A">
        <w:rPr>
          <w:rFonts w:ascii="Times New Roman" w:hAnsi="Times New Roman"/>
        </w:rPr>
        <w:t xml:space="preserve"> w ramach priorytetu 3 </w:t>
      </w:r>
      <w:r w:rsidRPr="00CE5D9A">
        <w:rPr>
          <w:rFonts w:ascii="Times New Roman" w:hAnsi="Times New Roman"/>
          <w:i/>
          <w:iCs/>
        </w:rPr>
        <w:t>Twórcze i atrakcyjne turystycznie Pogranicze</w:t>
      </w:r>
      <w:r w:rsidRPr="00CE5D9A">
        <w:rPr>
          <w:rFonts w:ascii="Times New Roman" w:hAnsi="Times New Roman"/>
        </w:rPr>
        <w:t xml:space="preserve"> Cel szczegółowy: wzmacnianie roli kultury i zrównoważonej turystyki w rozwoju gospodarczym, włączeniu społecznym i innowacjach społecznych. W zakres finansowania z tego programu wpisują się w szczególności przedsięwzięcia określone w LSR odnoszące się do rozbudowy oferty infrastruktury publicznej (1.1).</w:t>
      </w:r>
    </w:p>
    <w:p w14:paraId="5A7608A0" w14:textId="0736FE22" w:rsidR="00686DFE" w:rsidRPr="00CE5D9A" w:rsidRDefault="00686DFE">
      <w:pPr>
        <w:spacing w:after="0"/>
        <w:ind w:firstLine="708"/>
        <w:jc w:val="both"/>
        <w:rPr>
          <w:rFonts w:ascii="Times New Roman" w:hAnsi="Times New Roman"/>
        </w:rPr>
      </w:pPr>
      <w:r w:rsidRPr="00CE5D9A">
        <w:rPr>
          <w:rFonts w:ascii="Times New Roman" w:hAnsi="Times New Roman"/>
        </w:rPr>
        <w:t xml:space="preserve">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założonego celu LSR jakim jest </w:t>
      </w:r>
      <w:r w:rsidRPr="00CE5D9A">
        <w:rPr>
          <w:rFonts w:ascii="Times New Roman" w:hAnsi="Times New Roman"/>
          <w:i/>
          <w:iCs/>
        </w:rPr>
        <w:t>Utworzenie Myślenickiej Strefy Przemysłu Czasu Wolnego</w:t>
      </w:r>
      <w:r w:rsidR="00604B33" w:rsidRPr="00CE5D9A">
        <w:rPr>
          <w:rFonts w:ascii="Times New Roman" w:hAnsi="Times New Roman"/>
          <w:i/>
          <w:iCs/>
        </w:rPr>
        <w:t xml:space="preserve"> i rozwoju przedsiębiorczości</w:t>
      </w:r>
      <w:r w:rsidRPr="00CE5D9A">
        <w:rPr>
          <w:rFonts w:ascii="Times New Roman" w:hAnsi="Times New Roman"/>
          <w:i/>
          <w:iCs/>
        </w:rPr>
        <w:t>.</w:t>
      </w:r>
    </w:p>
    <w:p w14:paraId="7D35C94C" w14:textId="2B746C30" w:rsidR="00686DFE" w:rsidRPr="00CE5D9A" w:rsidRDefault="00686DFE">
      <w:pPr>
        <w:spacing w:after="0" w:line="276" w:lineRule="auto"/>
        <w:ind w:firstLine="708"/>
        <w:jc w:val="both"/>
        <w:rPr>
          <w:rFonts w:ascii="Times New Roman" w:hAnsi="Times New Roman"/>
        </w:rPr>
      </w:pPr>
      <w:bookmarkStart w:id="150" w:name="_Hlk135726666"/>
      <w:r w:rsidRPr="00CE5D9A">
        <w:rPr>
          <w:rFonts w:ascii="Times New Roman" w:hAnsi="Times New Roman"/>
        </w:rPr>
        <w:t xml:space="preserve">Cel LSR </w:t>
      </w:r>
      <w:r w:rsidRPr="00CE5D9A">
        <w:rPr>
          <w:rFonts w:ascii="Times New Roman" w:hAnsi="Times New Roman"/>
          <w:i/>
          <w:iCs/>
        </w:rPr>
        <w:t>Utworzenie Myślenickiej Strefy Przemysłu Czasu Wolnego</w:t>
      </w:r>
      <w:r w:rsidR="00604B33" w:rsidRPr="00CE5D9A">
        <w:t xml:space="preserve"> </w:t>
      </w:r>
      <w:r w:rsidR="00604B33" w:rsidRPr="00CE5D9A">
        <w:rPr>
          <w:rFonts w:ascii="Times New Roman" w:hAnsi="Times New Roman"/>
          <w:i/>
          <w:iCs/>
        </w:rPr>
        <w:t>i rozwoju przedsiębiorczości</w:t>
      </w:r>
      <w:r w:rsidR="00BE7745" w:rsidRPr="00CE5D9A">
        <w:rPr>
          <w:rFonts w:ascii="Times New Roman" w:hAnsi="Times New Roman"/>
          <w:i/>
          <w:iCs/>
        </w:rPr>
        <w:t xml:space="preserve"> </w:t>
      </w:r>
      <w:r w:rsidRPr="00CE5D9A">
        <w:rPr>
          <w:rFonts w:ascii="Times New Roman" w:hAnsi="Times New Roman"/>
        </w:rPr>
        <w:t xml:space="preserve">wpłynie na wzmocnienie integracji mieszkańców obszaru oraz zwiększy ich aktywność w zakresie podejmowania inicjatyw na rzecz wspólnego dobra. Przedsięwzięcia zaplanowane w ramach celu zaspokoją potrzebę mieszkańców związaną ze zwiększeniem oferty spędzania czasu wolnego i rekreacji, a także przyczynią się do zwiększenia dostępności infrastruktury, która będzie wykorzystywana przez mieszkańców. Ponadto cel jest odpowiedzią na </w:t>
      </w:r>
      <w:r w:rsidRPr="00CE5D9A">
        <w:rPr>
          <w:rFonts w:ascii="Times New Roman" w:hAnsi="Times New Roman"/>
        </w:rPr>
        <w:lastRenderedPageBreak/>
        <w:t xml:space="preserve">potrzeby mieszkańców w zakresie zwiększenia możliwości rozwoju oraz podnoszenia kompetencji szczególnie w zakresie cyfryzacji, w tym skierowanych do osób w niekorzystnej sytuacji – osób z niepełnosprawnością i ich opiekunów. Działania skierowane do osób młodych oraz seniorów, a także osób w inny sposób zagrożonych wykluczeniem, pozwolą na wzmocnienie więzi społecznych, co zwiększy możliwości współdziałania na różnym poziomie. Przedsięwzięcia będą wspierały zarówno inicjatywy nieformalnych grup jak i organizacji pozarządowych, uzupełnieniem tych działań będzie kreowanie lokalnych liderów oraz aktywizacja seniorów oraz promowanie zdrowego trybu życia. Ważnym przedsięwzięciem w ramach tego celu będzie wdrożenie koncepcji Smart Village na obszarze, która będzie spajała wszystkie zaplanowane przedsięwzięcia, a tym samym zwiększy efekt ich synergii. Dla osiągnięcia mocniejszego efektu przedsięwzięcia będą realizowane w ramach środków z PS WPR oraz FEM. </w:t>
      </w:r>
    </w:p>
    <w:p w14:paraId="13786D63" w14:textId="7464F33C"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Jednym z kryteriów premiujących będzie kryterium o brzmieniu: „specyfika działalności</w:t>
      </w:r>
      <w:r w:rsidR="00215193" w:rsidRPr="00CE5D9A">
        <w:rPr>
          <w:rFonts w:ascii="Times New Roman" w:hAnsi="Times New Roman"/>
        </w:rPr>
        <w:t xml:space="preserve"> umożliwia jej świadczenie większości</w:t>
      </w:r>
      <w:r w:rsidRPr="00CE5D9A">
        <w:rPr>
          <w:rFonts w:ascii="Times New Roman" w:hAnsi="Times New Roman"/>
        </w:rPr>
        <w:t xml:space="preserve"> na obszarze LGD” – ma to na celu ograniczenie przypadków, kiedy wsparcie udzielone jest na realizację usług mobilnych, czy zakup mobilnego sprzętu, które ostatecznie świadczone/używane są poza obszarem i nie stanowi żadnej wartości dodanej dla mieszkańców. Ważne, aby powstające działalności miały na celu wzrost jakości i dostępności usług dla lokalnej społeczności. Co więcej, dokonano skoncentrowania wsparcia dotyczącego wspierania przedsiębiorczości, w celu jak najlepszego wykorzystania posiadanych zasobów finansowych. W związku z tym, w oparciu o lokalne zasoby oraz zgłaszane potrzeby i zdiagnozowane problemy, wsparcie przeznaczone będzie na gospodarkę czasu wolnego, a więc wszelkie działalności, które mają na celu wzrost dostępności i jakości usług dla lokalnej społeczności w zakresie rekreacji, sportu, spędzania czasu wolnego, w tym samorozwoju, rozwoju pasji i talentów mieszkańców. Przykładowo mogą to być wioski tematyczne bazujące na dziedzictwie naturalnym, wydarzenia na rzecz zdrowia i rekreacji, a także oferta edukacyjna, kulturalna i integracyjna, gospodarstwa agroturystyczne, zagrody edukacyjne itp. </w:t>
      </w:r>
    </w:p>
    <w:p w14:paraId="0E091D5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ramach LSR określono przedsięwzięcia, które będą real</w:t>
      </w:r>
      <w:r w:rsidR="00033B8D" w:rsidRPr="00CE5D9A">
        <w:rPr>
          <w:rFonts w:ascii="Times New Roman" w:hAnsi="Times New Roman"/>
        </w:rPr>
        <w:t>izowane przez różne podmioty, z </w:t>
      </w:r>
      <w:r w:rsidRPr="00CE5D9A">
        <w:rPr>
          <w:rFonts w:ascii="Times New Roman" w:hAnsi="Times New Roman"/>
        </w:rPr>
        <w:t>wykorzystaniem różnych metod wdrażania. Są one kompatybilne, a ponadto bezpośrednio wpływają na osiągnięcie celu LSR</w:t>
      </w:r>
      <w:r w:rsidRPr="00CE5D9A">
        <w:rPr>
          <w:rFonts w:ascii="Times New Roman" w:hAnsi="Times New Roman"/>
          <w:i/>
          <w:iCs/>
        </w:rPr>
        <w:t xml:space="preserve">, </w:t>
      </w:r>
      <w:r w:rsidRPr="00CE5D9A">
        <w:rPr>
          <w:rFonts w:ascii="Times New Roman" w:hAnsi="Times New Roman"/>
        </w:rPr>
        <w:t>który odnosi się do wzmocnienia zasobu jakim jest kapitał ludzki na obszarze poprzez jego aktywizację, ale też do zapewnienia lokalnej społeczności możliwości rozwoju, dostępu do usług, atrakc</w:t>
      </w:r>
      <w:r w:rsidR="00033B8D" w:rsidRPr="00CE5D9A">
        <w:rPr>
          <w:rFonts w:ascii="Times New Roman" w:hAnsi="Times New Roman"/>
        </w:rPr>
        <w:t xml:space="preserve">yjnych przestrzeni publicznych </w:t>
      </w:r>
      <w:r w:rsidRPr="00CE5D9A">
        <w:rPr>
          <w:rFonts w:ascii="Times New Roman" w:hAnsi="Times New Roman"/>
        </w:rPr>
        <w:t>i</w:t>
      </w:r>
      <w:r w:rsidR="00033B8D" w:rsidRPr="00CE5D9A">
        <w:rPr>
          <w:rFonts w:ascii="Times New Roman" w:hAnsi="Times New Roman"/>
        </w:rPr>
        <w:t> </w:t>
      </w:r>
      <w:r w:rsidRPr="00CE5D9A">
        <w:rPr>
          <w:rFonts w:ascii="Times New Roman" w:hAnsi="Times New Roman"/>
        </w:rPr>
        <w:t>wsparcia osób w niekorzystnej sytuacji. Działania zaplanowane do realizacji będą wspierały mieszkańców w celu stworzenia obszaru silnego społecznie, a co za tym idzie również gospodarczo, gdzie mieszkańcy będą mieli zapewnione usługi na wysokim poziomie, co zachęci ich do większej aktywności oraz ciągłego ulepszania miejsca, w którym żyją. Przedsięwzięcia wzajemnie się uzupełniają dając efekt synergii, umożliwiający realizację celu. Realizacja każdego pojedynczego przedsięwzięcia wpływa na drugie, a działania zaplanowane na kolejne lata wzajemnie się uzupełniają przynosząc większe korzyści niż realizacja pojedynczego działania.</w:t>
      </w:r>
      <w:r w:rsidR="00C84BC8" w:rsidRPr="00CE5D9A">
        <w:rPr>
          <w:rFonts w:ascii="Times New Roman" w:hAnsi="Times New Roman"/>
        </w:rPr>
        <w:t xml:space="preserve"> LGD w ramach projektów własnych będzie kładło nacisk na integrowanie partnerów – etap przygotowania potencjalnych beneficjentów.</w:t>
      </w:r>
    </w:p>
    <w:bookmarkEnd w:id="150"/>
    <w:p w14:paraId="0EB7A385" w14:textId="77777777" w:rsidR="00686DFE" w:rsidRPr="00CE5D9A" w:rsidRDefault="00686DFE">
      <w:pPr>
        <w:rPr>
          <w:rFonts w:ascii="Times New Roman" w:hAnsi="Times New Roman"/>
        </w:rPr>
      </w:pPr>
      <w:r w:rsidRPr="00CE5D9A">
        <w:rPr>
          <w:rFonts w:ascii="Times New Roman" w:hAnsi="Times New Roman"/>
          <w:b/>
          <w:bCs/>
        </w:rPr>
        <w:tab/>
      </w:r>
      <w:r w:rsidRPr="00CE5D9A">
        <w:rPr>
          <w:rFonts w:ascii="Times New Roman" w:hAnsi="Times New Roman"/>
        </w:rPr>
        <w:t>Poniżej wykazano wartość dodaną podejścia LEADER w realizacji LSR:</w:t>
      </w:r>
    </w:p>
    <w:p w14:paraId="3608E408" w14:textId="77777777" w:rsidR="00686DFE" w:rsidRPr="00CE5D9A" w:rsidRDefault="00686DFE">
      <w:pPr>
        <w:pStyle w:val="Akapitzlist"/>
        <w:numPr>
          <w:ilvl w:val="0"/>
          <w:numId w:val="38"/>
        </w:numPr>
        <w:ind w:left="714" w:hanging="357"/>
        <w:contextualSpacing w:val="0"/>
        <w:rPr>
          <w:rFonts w:ascii="Times New Roman" w:hAnsi="Times New Roman"/>
          <w:b/>
          <w:bCs/>
        </w:rPr>
      </w:pPr>
      <w:r w:rsidRPr="00CE5D9A">
        <w:rPr>
          <w:rFonts w:ascii="Times New Roman" w:hAnsi="Times New Roman"/>
          <w:b/>
          <w:bCs/>
        </w:rPr>
        <w:t>Korzyści planowane do osiągnięcia</w:t>
      </w:r>
    </w:p>
    <w:p w14:paraId="0E20E206" w14:textId="77777777" w:rsidR="00686DFE" w:rsidRPr="00CE5D9A" w:rsidRDefault="00BD0F0A">
      <w:pPr>
        <w:pStyle w:val="Akapitzlist"/>
        <w:spacing w:line="276" w:lineRule="auto"/>
        <w:ind w:left="0" w:firstLine="709"/>
        <w:contextualSpacing w:val="0"/>
        <w:jc w:val="both"/>
        <w:rPr>
          <w:rFonts w:ascii="Times New Roman" w:hAnsi="Times New Roman"/>
        </w:rPr>
      </w:pPr>
      <w:r w:rsidRPr="00CE5D9A">
        <w:rPr>
          <w:rFonts w:ascii="Times New Roman" w:hAnsi="Times New Roman"/>
        </w:rPr>
        <w:t>Dzięki realizacji założeń Strategii planowane jest zwiększenie zainteresowania oraz realizacji projektów w partnerstwie, które przyczynią się do zwiększenia umiejętności współpracy oraz wiedzy poprzez wymianę doświadczeń między partnerami biorącymi udział w projekcie</w:t>
      </w:r>
      <w:r w:rsidR="00686DFE" w:rsidRPr="00CE5D9A">
        <w:rPr>
          <w:rFonts w:ascii="Times New Roman" w:hAnsi="Times New Roman"/>
        </w:rPr>
        <w:t xml:space="preserve">. Ponadto w przypadku projektów z partnerami spoza obszaru dodatkową korzyścią będzie promocja obszaru LGD. Wdrażanie LSR opierać się będzie przede wszystkim na partnerstwie w ramach LGD oraz partnerstwie LGD z innymi podmiotami zarówno z obszaru objętego LSR (szczególnie władzami lokalnymi), jak i spoza obszaru, co w rezultacie spowoduje, iż bliska współpraca międzysektorowa oraz z innymi obszarami nie będzie tylko punktowa, ale stanie się długofalowa i będzie </w:t>
      </w:r>
      <w:r w:rsidR="00686DFE" w:rsidRPr="00CE5D9A">
        <w:rPr>
          <w:rFonts w:ascii="Times New Roman" w:hAnsi="Times New Roman"/>
        </w:rPr>
        <w:br/>
        <w:t xml:space="preserve">w przyszłości standardem. Aktywizacja lokalnych społeczności, w tym szczególnie osób młodych, przyczyni się do wzrostu poczucia tożsamości lokalnej oraz lepszej integracji społeczności. Objęcie szczególnym wsparciem osób z niepełnosprawnością zmniejszy nierówności w możliwościach rozwoju oraz zniweluje wykluczenie społeczne tych osób. Również wartością dodaną będzie zwiększenie innowacyjności obszaru, która będzie związana z wdrażaniem koncepcji Smart Village na obszarze. Innowacyjne działania na rzecz rozwoju kapitału społecznego z wykorzystaniem technologii oraz zasobów lokalnych przyczynią się do wzmocnienia całego obszaru. Różnorodne metody wdrażania operacji przyczynią się również do rozwoju społecznego, w tym wzrostu potencjału </w:t>
      </w:r>
      <w:r w:rsidR="00686DFE" w:rsidRPr="00CE5D9A">
        <w:rPr>
          <w:rFonts w:ascii="Times New Roman" w:hAnsi="Times New Roman"/>
        </w:rPr>
        <w:lastRenderedPageBreak/>
        <w:t>członków lokalnych społeczności. Oddolny charakter LSR, w tym udział społeczności zarówno na etapie jej tworzenia, jak i na etapie wdrażania, przyczyni się do maksymalnego dopasowania założeń dokumentu i wdrażanych operacji do lokalnych potrzeb. Partnerskie i oddolne podejście będzie prowadzić do integracji członków społeczności, aktywizacji do udziału w życiu społecznym, poczucia sprawczości, co w dalszej kolejności sprzyjać będzie dojrzałości obywatelskiej, podejmowaniu własnych inicjatyw, samostanowienia, a także kontroli społecznej nad działaniami władz. Nie bez znaczenia jest także właśnie brak dominacji sektora publicznego. Ważnym aspektem jest to, że LSR będzie wdrażana na spójnym obszarze, a przedsięwzięcia realizowane będą poza obszarem jednostek administracyjnych gmin. Istotny we wszystkich powyższych działaniach jest ich wpływ na budowanie zaufania poprzez zapraszanie do współpracy wszystkich grup i mieszkańców, nawet dotąd nieobecnych, zarówno tych o dużym potencjale, jak i deficytach.</w:t>
      </w:r>
    </w:p>
    <w:p w14:paraId="1E8BAEDD" w14:textId="77777777" w:rsidR="00686DFE" w:rsidRPr="00CE5D9A" w:rsidRDefault="00686DFE">
      <w:pPr>
        <w:pStyle w:val="Akapitzlist"/>
        <w:numPr>
          <w:ilvl w:val="0"/>
          <w:numId w:val="38"/>
        </w:numPr>
        <w:spacing w:before="240"/>
        <w:ind w:left="714" w:hanging="357"/>
        <w:contextualSpacing w:val="0"/>
        <w:rPr>
          <w:rFonts w:ascii="Times New Roman" w:hAnsi="Times New Roman"/>
          <w:b/>
          <w:bCs/>
        </w:rPr>
      </w:pPr>
      <w:r w:rsidRPr="00CE5D9A">
        <w:rPr>
          <w:rFonts w:ascii="Times New Roman" w:hAnsi="Times New Roman"/>
          <w:b/>
          <w:bCs/>
        </w:rPr>
        <w:t>Uzasadnienie wyboru zakresów wsparcia</w:t>
      </w:r>
    </w:p>
    <w:p w14:paraId="6FC00DFA" w14:textId="77777777" w:rsidR="00686DFE" w:rsidRPr="00CE5D9A" w:rsidRDefault="00686DFE">
      <w:pPr>
        <w:pStyle w:val="Akapitzlist"/>
        <w:spacing w:line="276" w:lineRule="auto"/>
        <w:ind w:left="0" w:firstLine="708"/>
        <w:jc w:val="both"/>
        <w:rPr>
          <w:rFonts w:ascii="Times New Roman" w:hAnsi="Times New Roman"/>
        </w:rPr>
      </w:pPr>
      <w:r w:rsidRPr="00CE5D9A">
        <w:rPr>
          <w:rFonts w:ascii="Times New Roman" w:hAnsi="Times New Roman"/>
        </w:rPr>
        <w:t>W oddolnym procesie tworzenia LSR dokonano wyboru następujących zakresów wsparcia:</w:t>
      </w:r>
    </w:p>
    <w:p w14:paraId="35E52AC7"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rozwój przedsiębiorczości, w tym rozwój biogospodarki lub zielonej gospodarki;</w:t>
      </w:r>
    </w:p>
    <w:p w14:paraId="33A6F0FB"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rozwój pozarolniczych funkcji małych gospodarstw rolnych w zakresie tworzenia i rozwijania;</w:t>
      </w:r>
    </w:p>
    <w:p w14:paraId="26779B1C"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poprawa dostępu do usług dla lokalnych społeczności;</w:t>
      </w:r>
    </w:p>
    <w:p w14:paraId="5586576A"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 xml:space="preserve">przygotowanie koncepcji inteligentnej wsi; </w:t>
      </w:r>
    </w:p>
    <w:p w14:paraId="1DD459F9"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poprawa dostępu do małej infrastruktury publicznej;</w:t>
      </w:r>
    </w:p>
    <w:p w14:paraId="768C5E79"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kształtowanie świadomości obywatelskiej o znaczeniu zrównoważonego rolnictwa, gospodarki rolno-spożywczej, zielonej gospodarki, biogospodarki, wsparcie rozwoju wiedzy i umiejętności w zakresie innowacyjności, cyfryzacji i przedsiębiorczości, a także wzmacnianie programów edukacji liderów życia publicznego i społecznego, z wyłączeniem inwestycji infrastrukturalnych;</w:t>
      </w:r>
    </w:p>
    <w:p w14:paraId="021150EE" w14:textId="77777777" w:rsidR="00686DFE" w:rsidRPr="00CE5D9A" w:rsidRDefault="00686DFE">
      <w:pPr>
        <w:pStyle w:val="Akapitzlist"/>
        <w:numPr>
          <w:ilvl w:val="0"/>
          <w:numId w:val="39"/>
        </w:numPr>
        <w:spacing w:line="276" w:lineRule="auto"/>
        <w:jc w:val="both"/>
        <w:rPr>
          <w:rFonts w:ascii="Times New Roman" w:hAnsi="Times New Roman"/>
        </w:rPr>
      </w:pPr>
      <w:r w:rsidRPr="00CE5D9A">
        <w:rPr>
          <w:rFonts w:ascii="Times New Roman" w:hAnsi="Times New Roman"/>
        </w:rPr>
        <w:t>włączenie społeczne seniorów, ludzi młodych i osób w niekorzystnej sytuacji.</w:t>
      </w:r>
    </w:p>
    <w:p w14:paraId="6D5A6F6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Wspierane będą działalności z zakresu gospodarki czasu wolnego, dodatkowo wspierane będzie wzmocnienie potencjału podmiotów działających na rzecz grupy osób w niekorzystnej sytuacji – osób </w:t>
      </w:r>
      <w:r w:rsidRPr="00CE5D9A">
        <w:rPr>
          <w:rFonts w:ascii="Times New Roman" w:hAnsi="Times New Roman"/>
        </w:rPr>
        <w:br/>
        <w:t xml:space="preserve">z niepełnosprawnościami i ich opiekunów oraz takie, których specyfika pozwoli na świadczenie usług tylko na obszarze LGD (wzrost dostępności usług dla lokalnej społeczności). Ponadto w zakresie włączenia społecznego </w:t>
      </w:r>
      <w:r w:rsidRPr="00CE5D9A">
        <w:rPr>
          <w:rFonts w:ascii="Times New Roman" w:hAnsi="Times New Roman"/>
        </w:rPr>
        <w:br/>
        <w:t>i aktywizacji społecznej, szczególny nacisk zostanie położony na potrzeby seniorów (osoby, które ukończyły 60. rok życia) i ludzi młodych (do 25. roku życia). Mieszkańcy obszaru zdają sobie sprawę, że są świadkami coraz szybszych zmian, nie tylko klimatycznych, ale także społecznych, technicznych i technologicznych. Rolą lokalnych społeczności będzie partnerskie i oddolne wdrażanie Strategii, w tym poprzez inicjatywy innowacyjne (przygotowanie do wdrażana i realizacja inicjatyw wynikających z koncepcji Smart Village). Szczególną uwagę zwrócono na promowanie innowacji społecznych jako źródła wzrostu gospodarczego, wspieranie innowacyjnych przedsiębiorców oraz mobilizację inwestorów i organizacji publicznych.</w:t>
      </w:r>
    </w:p>
    <w:p w14:paraId="4171DF47"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Zgodnie z oczekiwaniami mieszkańców zaplanowano realizację projektów w zakresie poprawy dostępu do małej infrastruktury publicznej, która nie tylko poprawiłaby estetykę i funkcjonalność przestrzeni publicznych, ale też wsparłaby rozwój miejsc rekreacji i spędzania czasu wolnego, dodatkowo infrastruktura publiczna będzie posiadała udogodnienia dla osób z niepełnosprawnościami. Ze względu na niewykorzystany potencjał organizacji pozarządowych i niewielką aktywność mieszkańców w takich organizacjach, zaplanowano wsparcie organizacji i</w:t>
      </w:r>
      <w:r w:rsidR="00E91BE7" w:rsidRPr="00CE5D9A">
        <w:rPr>
          <w:rFonts w:ascii="Times New Roman" w:hAnsi="Times New Roman"/>
        </w:rPr>
        <w:t> </w:t>
      </w:r>
      <w:r w:rsidRPr="00CE5D9A">
        <w:rPr>
          <w:rFonts w:ascii="Times New Roman" w:hAnsi="Times New Roman"/>
        </w:rPr>
        <w:t>ich członków, szczególnie w zakresie animowania do realizacji wspólnych projektów, w tym przygotowania do wdrażania i wsparcia w zakresie realizacji inicjatyw oddolnych wynikających z Koncepcji Smart Villages. W ramach wsparcia w zakresie rozwoju pozarolniczych funkcji małych gospodarstw p</w:t>
      </w:r>
      <w:r w:rsidR="00E91BE7" w:rsidRPr="00CE5D9A">
        <w:rPr>
          <w:rFonts w:ascii="Times New Roman" w:hAnsi="Times New Roman"/>
        </w:rPr>
        <w:t xml:space="preserve">rzewiduje się projekty związane </w:t>
      </w:r>
      <w:r w:rsidRPr="00CE5D9A">
        <w:rPr>
          <w:rFonts w:ascii="Times New Roman" w:hAnsi="Times New Roman"/>
        </w:rPr>
        <w:t>z</w:t>
      </w:r>
      <w:r w:rsidR="00E91BE7" w:rsidRPr="00CE5D9A">
        <w:rPr>
          <w:rFonts w:ascii="Times New Roman" w:hAnsi="Times New Roman"/>
        </w:rPr>
        <w:t> </w:t>
      </w:r>
      <w:r w:rsidRPr="00CE5D9A">
        <w:rPr>
          <w:rFonts w:ascii="Times New Roman" w:hAnsi="Times New Roman"/>
        </w:rPr>
        <w:t xml:space="preserve">tworzeniem lub rozwijaniem gospodarstw agroturystycznych. Uzupełnieniem gospodarstw agroturystycznych może być działanie związane z prowadzeniem zagrody edukacyjnej. Wszystkie zakresy będą się wzajemnie uzupełniać, a realizowane operacje wywołają efekt kuli śnieżnej. Wsparcie dla przedsiębiorców będzie skoncentrowane tylko na te branże, które są związane z tworzeniem możliwości rozwoju turystyki, rekreacji i budowaniem oferty spędzania czasu wolnego dla mieszkańców i turystów oraz będą komplementarne w stosunku do tworzonej małej infrastruktury publicznej. Organizacje pozarządowe i ich członkowie będą nie tylko beneficjentami, ale i odbiorcami wsparcia. Będą miały możliwość rozwoju i jednocześnie będą mogły realizować projekty dla lokalnej społeczności. </w:t>
      </w:r>
    </w:p>
    <w:p w14:paraId="488F6B34" w14:textId="77777777" w:rsidR="00686DFE" w:rsidRPr="00CE5D9A" w:rsidRDefault="00686DFE">
      <w:pPr>
        <w:pStyle w:val="Akapitzlist"/>
        <w:numPr>
          <w:ilvl w:val="0"/>
          <w:numId w:val="38"/>
        </w:numPr>
        <w:rPr>
          <w:rFonts w:ascii="Times New Roman" w:hAnsi="Times New Roman"/>
          <w:b/>
          <w:bCs/>
        </w:rPr>
      </w:pPr>
      <w:r w:rsidRPr="00CE5D9A">
        <w:rPr>
          <w:rFonts w:ascii="Times New Roman" w:hAnsi="Times New Roman"/>
          <w:b/>
          <w:bCs/>
        </w:rPr>
        <w:lastRenderedPageBreak/>
        <w:t>Uzasadnienie wyboru dostępnych źródeł finansowania</w:t>
      </w:r>
    </w:p>
    <w:p w14:paraId="41107D83"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LSR będzie wdrażana przede wszystkim za pomocą środków PS WPR na lata 2023–2027 w ramach EFRROW oraz środków programu regionalnego </w:t>
      </w:r>
      <w:r w:rsidRPr="00CE5D9A">
        <w:rPr>
          <w:rFonts w:ascii="Times New Roman" w:hAnsi="Times New Roman"/>
          <w:i/>
          <w:iCs/>
        </w:rPr>
        <w:t>Fundusze Europejskie dla Małopolski 2021–2027</w:t>
      </w:r>
      <w:r w:rsidRPr="00CE5D9A">
        <w:rPr>
          <w:rFonts w:ascii="Times New Roman" w:hAnsi="Times New Roman"/>
        </w:rPr>
        <w:t xml:space="preserve"> (FEM) w ramach EFRR i EFS+.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w:t>
      </w:r>
      <w:r w:rsidRPr="00CE5D9A">
        <w:rPr>
          <w:rFonts w:ascii="Times New Roman" w:hAnsi="Times New Roman"/>
          <w:i/>
          <w:iCs/>
        </w:rPr>
        <w:t xml:space="preserve">Fundusz Inicjatyw Obywatelskich NOWEFIO na lata 2021–2030, Fundusze Europejskie dla Rozwoju Społecznego 2021–2027, Fundusze Europejskie na Infrastrukturę, Klimat, Środowisko 2021–2027 </w:t>
      </w:r>
      <w:r w:rsidRPr="00CE5D9A">
        <w:rPr>
          <w:rFonts w:ascii="Times New Roman" w:hAnsi="Times New Roman"/>
        </w:rPr>
        <w:t>i inne.</w:t>
      </w:r>
    </w:p>
    <w:p w14:paraId="30ABD957" w14:textId="77777777" w:rsidR="00686DFE" w:rsidRPr="00CE5D9A" w:rsidRDefault="00686DFE">
      <w:pPr>
        <w:pStyle w:val="Akapitzlist"/>
        <w:numPr>
          <w:ilvl w:val="0"/>
          <w:numId w:val="38"/>
        </w:numPr>
        <w:rPr>
          <w:rFonts w:ascii="Times New Roman" w:hAnsi="Times New Roman"/>
          <w:b/>
          <w:bCs/>
        </w:rPr>
      </w:pPr>
      <w:r w:rsidRPr="00CE5D9A">
        <w:rPr>
          <w:rFonts w:ascii="Times New Roman" w:hAnsi="Times New Roman"/>
          <w:b/>
          <w:bCs/>
        </w:rPr>
        <w:t>Uzasadnienie przyjętego sposobu wdrażania LSR</w:t>
      </w:r>
    </w:p>
    <w:p w14:paraId="4BBDB4C6" w14:textId="0540AE71"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 celu opracowania LSR, która nie tylko będzie odpowiedzią na potrzeby lokalnej społeczności, ale też przyniesie wymierne efekty, podjęto trud wyspecjalizowania się w konkretnych obszarach. Dlatego podjęto decyzję o określeniu tylko jednego, konkretnego celu.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rozwój kompetencji społecznych mieszkańców (</w:t>
      </w:r>
      <w:r w:rsidR="00F72FFB" w:rsidRPr="00CE5D9A">
        <w:rPr>
          <w:rFonts w:ascii="Times New Roman" w:hAnsi="Times New Roman"/>
        </w:rPr>
        <w:t xml:space="preserve">w tym także </w:t>
      </w:r>
      <w:r w:rsidRPr="00CE5D9A">
        <w:rPr>
          <w:rFonts w:ascii="Times New Roman" w:hAnsi="Times New Roman"/>
        </w:rPr>
        <w:t>kojarzenie partnerów i animowanie do realizacji projektów w partnerstwie) w oparciu o zasoby lokalne poprzez tworzenie oferty rozwoju, spędzania czasu wolnego i rekreacji (lepszy dostęp do ogólnodostępnej infrastruktury, wsparcie innowacyjnych inicjatyw i projekty w zakresie budowania tożsamości lokalnej). Podjęte w tym kierunku działania przełożą się na poprawę sytuacji osób w niekorzystnej sytuacji, poprawę warunków bytowych i minimalizację ryzyka ubóstwa. Uzupełnieniem działań z zakresu tożsamości lokalnej będą operacje realizowane z zakresu włączenia społecznego seniorów oraz osób w niekorzystnej sytuacji poprzez zwiększenie ich integracji i kompetencji.</w:t>
      </w:r>
    </w:p>
    <w:p w14:paraId="47CCE56C" w14:textId="628B7F69" w:rsidR="00686DFE" w:rsidRPr="008B2DE5" w:rsidRDefault="00686DFE">
      <w:pPr>
        <w:spacing w:after="0" w:line="276" w:lineRule="auto"/>
        <w:ind w:firstLine="708"/>
        <w:jc w:val="both"/>
        <w:rPr>
          <w:rFonts w:ascii="Times New Roman" w:hAnsi="Times New Roman"/>
        </w:rPr>
      </w:pPr>
      <w:r w:rsidRPr="00CE5D9A">
        <w:rPr>
          <w:rFonts w:ascii="Times New Roman" w:hAnsi="Times New Roman"/>
        </w:rPr>
        <w:t>LSR wdrażana będzie przez różne podmioty, w tym samą LGD w ramach projektów własnych. Zaplanowano również harmonizację następujących po sobie naborów wniosków. Pierwszymi operacjami realizowanymi w ramach przedsięwzięć będą te związane z opracowaniem koncepcji Smart Villages, rozpoczynając od projektu własnego związanego z kojarzeniem partnerów</w:t>
      </w:r>
      <w:r w:rsidR="00CC4E99" w:rsidRPr="00CE5D9A">
        <w:rPr>
          <w:rFonts w:ascii="Times New Roman" w:hAnsi="Times New Roman"/>
        </w:rPr>
        <w:t xml:space="preserve"> (1.9)</w:t>
      </w:r>
      <w:r w:rsidRPr="00CE5D9A">
        <w:rPr>
          <w:rFonts w:ascii="Times New Roman" w:hAnsi="Times New Roman"/>
        </w:rPr>
        <w:t xml:space="preserve"> i animowaniem do realizacji wspólnych projektów, w tym przygotowaniem do wdrożenia idei Smart Villages (1.</w:t>
      </w:r>
      <w:r w:rsidR="00A82306" w:rsidRPr="00CE5D9A">
        <w:rPr>
          <w:rFonts w:ascii="Times New Roman" w:hAnsi="Times New Roman"/>
        </w:rPr>
        <w:t>7</w:t>
      </w:r>
      <w:r w:rsidR="008B2DE5">
        <w:rPr>
          <w:rFonts w:ascii="Times New Roman" w:hAnsi="Times New Roman"/>
        </w:rPr>
        <w:t>)</w:t>
      </w:r>
      <w:r w:rsidRPr="00CE5D9A">
        <w:rPr>
          <w:rFonts w:ascii="Times New Roman" w:hAnsi="Times New Roman"/>
        </w:rPr>
        <w:t xml:space="preserve">Zarówno na etapie przygotowania jak i wdrażania zakłada się maksymalne zastosowanie podejścia partnerskiego oraz przywiązanie dużej wagi do innowacyjności. Dzięki współpracy i gotowości do współdecydowania o rozwoju obszaru możliwe będzie rozpoczęcie projektu grantowego na opracowanie koncepcji Smart Village dla </w:t>
      </w:r>
      <w:r w:rsidR="00CC4E99" w:rsidRPr="00CE5D9A">
        <w:rPr>
          <w:rFonts w:ascii="Times New Roman" w:hAnsi="Times New Roman"/>
        </w:rPr>
        <w:t>5</w:t>
      </w:r>
      <w:r w:rsidRPr="00CE5D9A">
        <w:rPr>
          <w:rFonts w:ascii="Times New Roman" w:hAnsi="Times New Roman"/>
        </w:rPr>
        <w:t xml:space="preserve"> miejscowości z obszaru LGD (1.</w:t>
      </w:r>
      <w:r w:rsidR="00CC4E99" w:rsidRPr="00CE5D9A">
        <w:rPr>
          <w:rFonts w:ascii="Times New Roman" w:hAnsi="Times New Roman"/>
        </w:rPr>
        <w:t>9</w:t>
      </w:r>
      <w:r w:rsidRPr="00CE5D9A">
        <w:rPr>
          <w:rFonts w:ascii="Times New Roman" w:hAnsi="Times New Roman"/>
        </w:rPr>
        <w:t>). Następnie zrealizowane będą operacje w formie konkursu dla JSFP i NGO wdrażające koncepcję inteligentnej wsi związane z powstaniem ogólnodostępnej infrastruktury publicznej i</w:t>
      </w:r>
      <w:r w:rsidR="00EA04A2" w:rsidRPr="00CE5D9A">
        <w:rPr>
          <w:rFonts w:ascii="Times New Roman" w:hAnsi="Times New Roman"/>
        </w:rPr>
        <w:t> </w:t>
      </w:r>
      <w:r w:rsidRPr="00CE5D9A">
        <w:rPr>
          <w:rFonts w:ascii="Times New Roman" w:hAnsi="Times New Roman"/>
        </w:rPr>
        <w:t>zwiększeniem oferty czasu wolnego dla mieszkańców (</w:t>
      </w:r>
      <w:r w:rsidR="00EA04A2" w:rsidRPr="00CE5D9A">
        <w:rPr>
          <w:rFonts w:ascii="Times New Roman" w:hAnsi="Times New Roman"/>
        </w:rPr>
        <w:t>1.</w:t>
      </w:r>
      <w:r w:rsidR="00CC4E99" w:rsidRPr="00CE5D9A">
        <w:rPr>
          <w:rFonts w:ascii="Times New Roman" w:hAnsi="Times New Roman"/>
        </w:rPr>
        <w:t>7</w:t>
      </w:r>
      <w:r w:rsidRPr="00CE5D9A">
        <w:rPr>
          <w:rFonts w:ascii="Times New Roman" w:hAnsi="Times New Roman"/>
        </w:rPr>
        <w:t>) oraz spójne do nich przedsięwzięcie związane z</w:t>
      </w:r>
      <w:r w:rsidRPr="00CE5D9A">
        <w:t xml:space="preserve"> </w:t>
      </w:r>
      <w:r w:rsidRPr="00CE5D9A">
        <w:rPr>
          <w:rFonts w:ascii="Times New Roman" w:hAnsi="Times New Roman"/>
        </w:rPr>
        <w:t>rozwojem kultury, dziedzict</w:t>
      </w:r>
      <w:r w:rsidR="00EA04A2" w:rsidRPr="00CE5D9A">
        <w:rPr>
          <w:rFonts w:ascii="Times New Roman" w:hAnsi="Times New Roman"/>
        </w:rPr>
        <w:t>wa kulturowego i turystyki (</w:t>
      </w:r>
      <w:r w:rsidR="00A82306" w:rsidRPr="00CE5D9A">
        <w:rPr>
          <w:rFonts w:ascii="Times New Roman" w:hAnsi="Times New Roman"/>
        </w:rPr>
        <w:t>1.1</w:t>
      </w:r>
      <w:r w:rsidR="00CC4E99" w:rsidRPr="00CE5D9A">
        <w:rPr>
          <w:rFonts w:ascii="Times New Roman" w:hAnsi="Times New Roman"/>
        </w:rPr>
        <w:t>4</w:t>
      </w:r>
      <w:r w:rsidRPr="00CE5D9A">
        <w:rPr>
          <w:rStyle w:val="Odwoanieprzypisudolnego"/>
          <w:rFonts w:ascii="Times New Roman" w:hAnsi="Times New Roman"/>
        </w:rPr>
        <w:footnoteReference w:id="43"/>
      </w:r>
      <w:r w:rsidRPr="00CE5D9A">
        <w:rPr>
          <w:rFonts w:ascii="Times New Roman" w:hAnsi="Times New Roman"/>
        </w:rPr>
        <w:t>). Przewiduje się również przedsięwzięcie w zakresie wspierania oddolnych inicjatyw na rzecz aktywnego włączenia społecznego (</w:t>
      </w:r>
      <w:r w:rsidR="00A82306" w:rsidRPr="00CE5D9A">
        <w:rPr>
          <w:rFonts w:ascii="Times New Roman" w:hAnsi="Times New Roman"/>
        </w:rPr>
        <w:t>1.1</w:t>
      </w:r>
      <w:r w:rsidR="00CC4E99" w:rsidRPr="00CE5D9A">
        <w:rPr>
          <w:rFonts w:ascii="Times New Roman" w:hAnsi="Times New Roman"/>
        </w:rPr>
        <w:t>5</w:t>
      </w:r>
      <w:r w:rsidRPr="00CE5D9A">
        <w:rPr>
          <w:rStyle w:val="Odwoanieprzypisudolnego"/>
          <w:rFonts w:ascii="Times New Roman" w:hAnsi="Times New Roman"/>
        </w:rPr>
        <w:footnoteReference w:id="44"/>
      </w:r>
      <w:r w:rsidRPr="00CE5D9A">
        <w:rPr>
          <w:rFonts w:ascii="Times New Roman" w:hAnsi="Times New Roman"/>
        </w:rPr>
        <w:t>).</w:t>
      </w:r>
    </w:p>
    <w:p w14:paraId="1A8A43BE" w14:textId="5D60822C" w:rsidR="00686DFE" w:rsidRPr="00CE5D9A" w:rsidRDefault="00686DFE">
      <w:pPr>
        <w:spacing w:line="276" w:lineRule="auto"/>
        <w:ind w:firstLine="708"/>
        <w:jc w:val="both"/>
        <w:rPr>
          <w:rFonts w:ascii="Times New Roman" w:hAnsi="Times New Roman"/>
        </w:rPr>
      </w:pPr>
      <w:r w:rsidRPr="00CE5D9A">
        <w:rPr>
          <w:rFonts w:ascii="Times New Roman" w:hAnsi="Times New Roman"/>
        </w:rPr>
        <w:t>Kolejno będzie realizowany projekt własny zwiększający integrację i wzmacniający aktywność osób w niekorzystnej sytuacji – osób z niepełnosprawnościami i ich opiekunów (1.</w:t>
      </w:r>
      <w:r w:rsidR="00CC4E99" w:rsidRPr="00CE5D9A">
        <w:rPr>
          <w:rFonts w:ascii="Times New Roman" w:hAnsi="Times New Roman"/>
        </w:rPr>
        <w:t>4</w:t>
      </w:r>
      <w:r w:rsidRPr="00CE5D9A">
        <w:rPr>
          <w:rFonts w:ascii="Times New Roman" w:hAnsi="Times New Roman"/>
        </w:rPr>
        <w:t>), następnie realizowana będzie operacja związana z infrastrukturą publiczną, w tym dostosowaną do osób z niepełnosprawnościami (1.1, 1.</w:t>
      </w:r>
      <w:r w:rsidR="00EA04A2" w:rsidRPr="00CE5D9A">
        <w:rPr>
          <w:rFonts w:ascii="Times New Roman" w:hAnsi="Times New Roman"/>
        </w:rPr>
        <w:t>2</w:t>
      </w:r>
      <w:r w:rsidR="00CC4E99" w:rsidRPr="00CE5D9A">
        <w:rPr>
          <w:rFonts w:ascii="Times New Roman" w:hAnsi="Times New Roman"/>
        </w:rPr>
        <w:t>, 1.3</w:t>
      </w:r>
      <w:r w:rsidRPr="00CE5D9A">
        <w:rPr>
          <w:rFonts w:ascii="Times New Roman" w:hAnsi="Times New Roman"/>
        </w:rPr>
        <w:t>). Następnie zrealizowane będą operacje związane ze zwiększeniem oferty rozwoju i zagospodarowania czasu wolnego mieszkańców skierowane do mieszkańców oraz przedsiębiorców (1.</w:t>
      </w:r>
      <w:r w:rsidR="00CC4E99" w:rsidRPr="00CE5D9A">
        <w:rPr>
          <w:rFonts w:ascii="Times New Roman" w:hAnsi="Times New Roman"/>
        </w:rPr>
        <w:t>10</w:t>
      </w:r>
      <w:r w:rsidRPr="00CE5D9A">
        <w:rPr>
          <w:rFonts w:ascii="Times New Roman" w:hAnsi="Times New Roman"/>
        </w:rPr>
        <w:t>, 1.</w:t>
      </w:r>
      <w:r w:rsidR="00CC4E99" w:rsidRPr="00CE5D9A">
        <w:rPr>
          <w:rFonts w:ascii="Times New Roman" w:hAnsi="Times New Roman"/>
        </w:rPr>
        <w:t>11</w:t>
      </w:r>
      <w:r w:rsidRPr="00CE5D9A">
        <w:rPr>
          <w:rFonts w:ascii="Times New Roman" w:hAnsi="Times New Roman"/>
        </w:rPr>
        <w:t>) oraz operacje związane z rozwojem gospodarstw agroturystycznych i pows</w:t>
      </w:r>
      <w:r w:rsidR="00EA04A2" w:rsidRPr="00CE5D9A">
        <w:rPr>
          <w:rFonts w:ascii="Times New Roman" w:hAnsi="Times New Roman"/>
        </w:rPr>
        <w:t>taniem zagród edukacyjnych (1.</w:t>
      </w:r>
      <w:r w:rsidR="00A82306" w:rsidRPr="00CE5D9A">
        <w:rPr>
          <w:rFonts w:ascii="Times New Roman" w:hAnsi="Times New Roman"/>
        </w:rPr>
        <w:t>1</w:t>
      </w:r>
      <w:r w:rsidR="00CC4E99" w:rsidRPr="00CE5D9A">
        <w:rPr>
          <w:rFonts w:ascii="Times New Roman" w:hAnsi="Times New Roman"/>
        </w:rPr>
        <w:t>2</w:t>
      </w:r>
      <w:r w:rsidRPr="00CE5D9A">
        <w:rPr>
          <w:rFonts w:ascii="Times New Roman" w:hAnsi="Times New Roman"/>
        </w:rPr>
        <w:t>, 1.1</w:t>
      </w:r>
      <w:r w:rsidR="00CC4E99" w:rsidRPr="00CE5D9A">
        <w:rPr>
          <w:rFonts w:ascii="Times New Roman" w:hAnsi="Times New Roman"/>
        </w:rPr>
        <w:t>3</w:t>
      </w:r>
      <w:r w:rsidRPr="00CE5D9A">
        <w:rPr>
          <w:rFonts w:ascii="Times New Roman" w:hAnsi="Times New Roman"/>
        </w:rPr>
        <w:t>).</w:t>
      </w:r>
    </w:p>
    <w:p w14:paraId="45558BE4" w14:textId="77777777" w:rsidR="00686DFE" w:rsidRPr="00CE5D9A" w:rsidRDefault="00686DFE">
      <w:pPr>
        <w:pStyle w:val="Akapitzlist"/>
        <w:numPr>
          <w:ilvl w:val="0"/>
          <w:numId w:val="38"/>
        </w:numPr>
        <w:rPr>
          <w:rFonts w:ascii="Times New Roman" w:hAnsi="Times New Roman"/>
          <w:b/>
          <w:bCs/>
        </w:rPr>
      </w:pPr>
      <w:r w:rsidRPr="00CE5D9A">
        <w:rPr>
          <w:rFonts w:ascii="Times New Roman" w:hAnsi="Times New Roman"/>
          <w:b/>
          <w:bCs/>
        </w:rPr>
        <w:t>Uzasadnienie doboru dostępnych metod wdrażania operacji w ramach LSR</w:t>
      </w:r>
    </w:p>
    <w:p w14:paraId="7DE488AF" w14:textId="77777777" w:rsidR="00686DFE" w:rsidRPr="00CE5D9A" w:rsidRDefault="00686DFE">
      <w:pPr>
        <w:tabs>
          <w:tab w:val="left" w:pos="709"/>
        </w:tabs>
        <w:spacing w:before="240" w:after="0" w:line="276" w:lineRule="auto"/>
        <w:ind w:firstLine="709"/>
        <w:contextualSpacing/>
        <w:jc w:val="both"/>
        <w:rPr>
          <w:rFonts w:ascii="Times New Roman" w:hAnsi="Times New Roman"/>
        </w:rPr>
      </w:pPr>
      <w:r w:rsidRPr="00CE5D9A">
        <w:rPr>
          <w:rFonts w:ascii="Times New Roman" w:hAnsi="Times New Roman"/>
        </w:rPr>
        <w:lastRenderedPageBreak/>
        <w:t>Przedsięwzięcia zaplanowane do finansowania w ramach LSR realizowane będą przez beneficjentów reprezentujących wszystkie sektory życia społeczno-gospodarczego obszaru LGD. Różnorodność zaplanowanych metod wdrażania operacji, tj. wsparcie finansowe poprzez projekty grantowe, operacje własne, organizacja szkoleń, warsztatów, prowadzenie doradztwa, promowanie dobrych praktyk, operacje realizowane przez Wnioskodawców innych niż LGD, mają na celu upodmiotowienie i usamodzielnienie społeczności lokalnych. Przy wyborze operacji punktowana będzie realizacja w partnerstwie z partnerami z obszaru LSR oraz spoza obszaru, co przyczyni się do zwiększenia współpracy mieszkańców i innych podmiotów oraz do osiągnięcia lepszych efektów realizowanych operacji, szczególnie w zakresie wykorzystania zasobów kulturowych i/lub naturalnych obszaru</w:t>
      </w:r>
      <w:r w:rsidRPr="00CE5D9A">
        <w:rPr>
          <w:rFonts w:ascii="Times New Roman" w:hAnsi="Times New Roman"/>
          <w:bCs/>
        </w:rPr>
        <w:t>. Zawiązywanie partnerstw będzie służyć poznawaniu dobrych praktyk, nawiązaniu trwalszej współpracy w celu wymiany doświadczeń i wymiany wiedzy</w:t>
      </w:r>
      <w:r w:rsidRPr="00CE5D9A">
        <w:rPr>
          <w:rFonts w:ascii="Times New Roman" w:hAnsi="Times New Roman"/>
        </w:rPr>
        <w:t>. Wybrane metody wdrażania LSR wpłyną na wzmocnienie potencjałów obszaru i są odpowiedzią na zgłaszane potrzeby społeczności. LGD planuje w pierwszej kolejności zrealizować przedsięwzięcia związane z przygotowaniem liderów i wdrażaniem koncepcji Smart Villages na obszarze LGD, kolejno – poprawiające dostęp do infrastruktury publicznej oraz realizujące tę koncepcję, następnie będą realizowane operacje wykorzystujące powstałą infrastrukturę do zwiększenia integracji mieszkańców oraz możliwości samorozwoju, w tym wśród osób młodych i seniorów. Podobnie będzie w przypadku osób w</w:t>
      </w:r>
      <w:r w:rsidR="00EA04A2" w:rsidRPr="00CE5D9A">
        <w:rPr>
          <w:rFonts w:ascii="Times New Roman" w:hAnsi="Times New Roman"/>
        </w:rPr>
        <w:t> </w:t>
      </w:r>
      <w:r w:rsidRPr="00CE5D9A">
        <w:rPr>
          <w:rFonts w:ascii="Times New Roman" w:hAnsi="Times New Roman"/>
        </w:rPr>
        <w:t>niekorzystnej sytuacji, najpierw będzie realizowana operacja własna w za</w:t>
      </w:r>
      <w:r w:rsidR="00EA04A2" w:rsidRPr="00CE5D9A">
        <w:rPr>
          <w:rFonts w:ascii="Times New Roman" w:hAnsi="Times New Roman"/>
        </w:rPr>
        <w:t>kresie zwiększenia integracji i </w:t>
      </w:r>
      <w:r w:rsidRPr="00CE5D9A">
        <w:rPr>
          <w:rFonts w:ascii="Times New Roman" w:hAnsi="Times New Roman"/>
        </w:rPr>
        <w:t xml:space="preserve">wzmocnienia aktywności osób z niepełnosprawnościami i ich opiekunów, następnie realizowana będzie operacja związana z infrastrukturą publiczną dostosowaną do osób z niepełnosprawnościami. </w:t>
      </w:r>
    </w:p>
    <w:p w14:paraId="435CA021" w14:textId="77777777" w:rsidR="00686DFE" w:rsidRPr="00CE5D9A" w:rsidRDefault="00686DFE">
      <w:pPr>
        <w:pStyle w:val="Akapitzlist"/>
        <w:spacing w:line="276" w:lineRule="auto"/>
        <w:ind w:left="0" w:firstLine="708"/>
        <w:jc w:val="both"/>
        <w:rPr>
          <w:rFonts w:ascii="Times New Roman" w:hAnsi="Times New Roman"/>
        </w:rPr>
      </w:pPr>
      <w:r w:rsidRPr="00CE5D9A">
        <w:rPr>
          <w:rFonts w:ascii="Times New Roman" w:hAnsi="Times New Roman"/>
        </w:rPr>
        <w:t xml:space="preserve">W tym celu w pierwszej kolejności będą realizowane operacje własne na rzecz kształtowania liderów, a następnie grantowe, które pozwolą liderom rozwijać obszar. Zaplanowane w LSR przedsięwzięcia są spójne, powiązane ze sobą oraz wzajemnie się uzupełniają. Zastosowane są w nich różne metody i różny może być stopień ich oddziaływania, jednak przyczyniać się będą do kompleksowego niwelowania ważnych deficytów zgłaszanych przez mieszkańców obszarów LSR. </w:t>
      </w:r>
    </w:p>
    <w:p w14:paraId="5377E3E2" w14:textId="77777777" w:rsidR="00C84BC8" w:rsidRPr="00CE5D9A" w:rsidRDefault="00C84BC8">
      <w:pPr>
        <w:pStyle w:val="Akapitzlist"/>
        <w:spacing w:line="276" w:lineRule="auto"/>
        <w:ind w:left="0" w:firstLine="708"/>
        <w:jc w:val="both"/>
        <w:rPr>
          <w:rFonts w:ascii="Times New Roman" w:hAnsi="Times New Roman"/>
        </w:rPr>
      </w:pPr>
      <w:r w:rsidRPr="00CE5D9A">
        <w:rPr>
          <w:rFonts w:ascii="Times New Roman" w:hAnsi="Times New Roman"/>
        </w:rPr>
        <w:t>Realizacja projektów własnych wyróżnia się dużą skalą oddziaływania i możliwością szybkiego reagowania na potrzeby LGD. Projekty grantowe wyróżniają się tym, iż obejmują zasięgiem cały obszar LGD oraz umożliwiają podmiotom realizacje własnych inicjatyw, rozwój społeczeństwa obywatelskiego, rozwój organizacji pozarządowych. Możliwość realizacji projektów przez wnioskodawców innych niż LGD – specyfika planowanych działań do realizacji i potencjalnych beneficjentów.</w:t>
      </w:r>
    </w:p>
    <w:p w14:paraId="396E4366" w14:textId="77777777" w:rsidR="00686DFE" w:rsidRPr="00CE5D9A" w:rsidRDefault="00686DFE">
      <w:pPr>
        <w:rPr>
          <w:rFonts w:ascii="Times New Roman" w:hAnsi="Times New Roman"/>
          <w:b/>
          <w:bCs/>
        </w:rPr>
      </w:pPr>
    </w:p>
    <w:p w14:paraId="561C61EA" w14:textId="77777777" w:rsidR="00686DFE" w:rsidRPr="00CE5D9A" w:rsidRDefault="00686DFE">
      <w:pPr>
        <w:rPr>
          <w:rFonts w:ascii="Times New Roman" w:hAnsi="Times New Roman"/>
          <w:b/>
          <w:bCs/>
        </w:rPr>
      </w:pPr>
      <w:r w:rsidRPr="00CE5D9A">
        <w:rPr>
          <w:rFonts w:ascii="Times New Roman" w:hAnsi="Times New Roman"/>
          <w:b/>
          <w:bCs/>
        </w:rPr>
        <w:br w:type="page"/>
      </w:r>
    </w:p>
    <w:p w14:paraId="19E54140" w14:textId="77777777" w:rsidR="00686DFE" w:rsidRPr="00CE5D9A" w:rsidRDefault="00686DFE">
      <w:pPr>
        <w:pStyle w:val="Akapitzlist"/>
        <w:numPr>
          <w:ilvl w:val="0"/>
          <w:numId w:val="2"/>
        </w:numPr>
        <w:outlineLvl w:val="0"/>
        <w:rPr>
          <w:rFonts w:ascii="Times New Roman" w:hAnsi="Times New Roman"/>
          <w:b/>
          <w:bCs/>
        </w:rPr>
      </w:pPr>
      <w:bookmarkStart w:id="151" w:name="_Toc135647309"/>
      <w:bookmarkStart w:id="152" w:name="_Toc135994838"/>
      <w:r w:rsidRPr="00CE5D9A">
        <w:rPr>
          <w:rFonts w:ascii="Times New Roman" w:hAnsi="Times New Roman"/>
          <w:b/>
          <w:bCs/>
        </w:rPr>
        <w:lastRenderedPageBreak/>
        <w:t>CELE I WSKAŹNIKI</w:t>
      </w:r>
      <w:bookmarkEnd w:id="151"/>
      <w:bookmarkEnd w:id="152"/>
      <w:r w:rsidRPr="00CE5D9A">
        <w:rPr>
          <w:rFonts w:ascii="Times New Roman" w:hAnsi="Times New Roman"/>
          <w:b/>
          <w:bCs/>
        </w:rPr>
        <w:t xml:space="preserve"> </w:t>
      </w:r>
    </w:p>
    <w:p w14:paraId="0B04F5AA"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Wynikiem przeprowadzonej diagnozy opartej o analizę danych ilościowych, 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potrzeb. W niniejszej LSR określono jeden cel oparty o określone obszary tematyczne wynikające ze zdiagnozowanych potrzeb</w:t>
      </w:r>
      <w:r w:rsidRPr="00CE5D9A">
        <w:rPr>
          <w:rFonts w:ascii="Times New Roman" w:hAnsi="Times New Roman"/>
          <w:b/>
          <w:bCs/>
        </w:rPr>
        <w:t>.</w:t>
      </w:r>
      <w:r w:rsidRPr="00CE5D9A">
        <w:rPr>
          <w:rFonts w:ascii="Times New Roman" w:hAnsi="Times New Roman"/>
        </w:rPr>
        <w:t xml:space="preserve"> Nie zawsze jedna potrzeba generuje jeden cel, czasami dopiero kilka potrzeb zgrupowanych w jeden cel daje możliwość kompleksowej realizacji tych potrzeb. </w:t>
      </w:r>
    </w:p>
    <w:p w14:paraId="58514430"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Na rysunku 1 przedstawiono sposób określania celu LSR.</w:t>
      </w:r>
    </w:p>
    <w:p w14:paraId="40B1BF94" w14:textId="7CFEB7FF" w:rsidR="00686DFE" w:rsidRPr="00CE5D9A" w:rsidRDefault="00686DFE">
      <w:pPr>
        <w:pStyle w:val="Legenda"/>
        <w:spacing w:after="0"/>
        <w:jc w:val="center"/>
        <w:rPr>
          <w:color w:val="auto"/>
        </w:rPr>
      </w:pPr>
      <w:bookmarkStart w:id="153" w:name="_Toc136241281"/>
      <w:r w:rsidRPr="00CE5D9A">
        <w:rPr>
          <w:rFonts w:ascii="Times New Roman" w:hAnsi="Times New Roman"/>
          <w:b/>
          <w:bCs/>
          <w:i w:val="0"/>
          <w:iCs w:val="0"/>
          <w:color w:val="auto"/>
          <w:sz w:val="20"/>
          <w:szCs w:val="20"/>
        </w:rPr>
        <w:t xml:space="preserve">Rysunek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Rysunek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1</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Sposób określania celu LSR</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686DFE" w:rsidRPr="00CE5D9A" w14:paraId="7FCBB0DF" w14:textId="77777777" w:rsidTr="00ED6C99">
        <w:trPr>
          <w:trHeight w:val="654"/>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F57F2" w14:textId="77777777" w:rsidR="00686DFE" w:rsidRPr="00CE5D9A" w:rsidRDefault="00686DFE" w:rsidP="00ED6C99">
            <w:pPr>
              <w:spacing w:after="0" w:line="240" w:lineRule="auto"/>
              <w:jc w:val="center"/>
              <w:rPr>
                <w:rFonts w:ascii="Times New Roman" w:hAnsi="Times New Roman"/>
                <w:b/>
                <w:bCs/>
                <w:sz w:val="20"/>
                <w:szCs w:val="20"/>
              </w:rPr>
            </w:pPr>
            <w:bookmarkStart w:id="154" w:name="_Hlk128645137"/>
            <w:r w:rsidRPr="00CE5D9A">
              <w:rPr>
                <w:rFonts w:ascii="Times New Roman" w:hAnsi="Times New Roman"/>
                <w:b/>
                <w:bCs/>
                <w:sz w:val="20"/>
                <w:szCs w:val="20"/>
              </w:rPr>
              <w:t xml:space="preserve">ZDIAGNOZOWANY PROBLEM  </w:t>
            </w:r>
          </w:p>
          <w:p w14:paraId="2DADCE2F" w14:textId="77777777" w:rsidR="00686DFE" w:rsidRPr="00CE5D9A" w:rsidRDefault="00686DFE" w:rsidP="00ED6C99">
            <w:pPr>
              <w:spacing w:after="0" w:line="240" w:lineRule="auto"/>
              <w:jc w:val="center"/>
              <w:rPr>
                <w:rFonts w:ascii="Times New Roman" w:hAnsi="Times New Roman"/>
                <w:b/>
                <w:bCs/>
                <w:sz w:val="20"/>
                <w:szCs w:val="20"/>
              </w:rPr>
            </w:pPr>
            <w:r w:rsidRPr="00CE5D9A">
              <w:rPr>
                <w:rFonts w:ascii="Times New Roman" w:hAnsi="Times New Roman"/>
                <w:b/>
                <w:bCs/>
                <w:sz w:val="20"/>
                <w:szCs w:val="20"/>
              </w:rPr>
              <w:t>+ POSIADANE SPECYFICZNE LOKALNE ZASOBY DO WYKORZYSTANIA</w:t>
            </w:r>
          </w:p>
        </w:tc>
      </w:tr>
      <w:tr w:rsidR="00686DFE" w:rsidRPr="00CE5D9A" w14:paraId="6383A340" w14:textId="77777777" w:rsidTr="00ED6C99">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444D4602" w14:textId="77777777" w:rsidR="00686DFE" w:rsidRPr="00CE5D9A" w:rsidRDefault="005F245B" w:rsidP="00ED6C99">
            <w:pPr>
              <w:spacing w:after="0" w:line="240" w:lineRule="auto"/>
              <w:rPr>
                <w:rFonts w:ascii="Times New Roman" w:hAnsi="Times New Roman"/>
                <w:sz w:val="20"/>
                <w:szCs w:val="20"/>
              </w:rPr>
            </w:pPr>
            <w:r w:rsidRPr="00CE5D9A">
              <w:rPr>
                <w:noProof/>
                <w:lang w:eastAsia="pl-PL"/>
              </w:rPr>
              <mc:AlternateContent>
                <mc:Choice Requires="wps">
                  <w:drawing>
                    <wp:anchor distT="0" distB="0" distL="113664" distR="113664" simplePos="0" relativeHeight="251655168" behindDoc="0" locked="0" layoutInCell="1" allowOverlap="1" wp14:anchorId="375B15A1" wp14:editId="3C59A452">
                      <wp:simplePos x="0" y="0"/>
                      <wp:positionH relativeFrom="column">
                        <wp:posOffset>2766059</wp:posOffset>
                      </wp:positionH>
                      <wp:positionV relativeFrom="paragraph">
                        <wp:posOffset>3175</wp:posOffset>
                      </wp:positionV>
                      <wp:extent cx="0" cy="236220"/>
                      <wp:effectExtent l="76200" t="0" r="57150" b="49530"/>
                      <wp:wrapNone/>
                      <wp:docPr id="1643526309"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type w14:anchorId="7D767CFD" id="_x0000_t32" coordsize="21600,21600" o:spt="32" o:oned="t" path="m,l21600,21600e" filled="f">
                      <v:path arrowok="t" fillok="f" o:connecttype="none"/>
                      <o:lock v:ext="edit" shapetype="t"/>
                    </v:shapetype>
                    <v:shape id="Łącznik prosty ze strzałką 3" o:spid="_x0000_s1026" type="#_x0000_t32" style="position:absolute;margin-left:217.8pt;margin-top:.25pt;width:0;height:18.6pt;z-index:25165516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" strokeweight=".5pt">
                      <v:stroke endarrow="block" joinstyle="miter"/>
                      <o:lock v:ext="edit" shapetype="f"/>
                    </v:shape>
                  </w:pict>
                </mc:Fallback>
              </mc:AlternateContent>
            </w:r>
          </w:p>
        </w:tc>
      </w:tr>
      <w:tr w:rsidR="00686DFE" w:rsidRPr="00CE5D9A" w14:paraId="37EB524B" w14:textId="77777777" w:rsidTr="00ED6C99">
        <w:trPr>
          <w:trHeight w:val="403"/>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B700" w14:textId="77777777" w:rsidR="00686DFE" w:rsidRPr="00CE5D9A" w:rsidRDefault="00686DFE" w:rsidP="00ED6C99">
            <w:pPr>
              <w:spacing w:after="0" w:line="240" w:lineRule="auto"/>
              <w:jc w:val="center"/>
              <w:rPr>
                <w:rFonts w:ascii="Times New Roman" w:hAnsi="Times New Roman"/>
                <w:b/>
                <w:bCs/>
                <w:sz w:val="20"/>
                <w:szCs w:val="20"/>
              </w:rPr>
            </w:pPr>
            <w:r w:rsidRPr="00CE5D9A">
              <w:rPr>
                <w:rFonts w:ascii="Times New Roman" w:hAnsi="Times New Roman"/>
                <w:b/>
                <w:bCs/>
                <w:sz w:val="20"/>
                <w:szCs w:val="20"/>
              </w:rPr>
              <w:t>GŁÓWNE POTRZEBY</w:t>
            </w:r>
          </w:p>
        </w:tc>
      </w:tr>
      <w:tr w:rsidR="00686DFE" w:rsidRPr="00CE5D9A" w14:paraId="554BD466" w14:textId="77777777" w:rsidTr="00ED6C99">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59C0D22C" w14:textId="77777777" w:rsidR="00686DFE" w:rsidRPr="00CE5D9A" w:rsidRDefault="005F245B" w:rsidP="00ED6C99">
            <w:pPr>
              <w:spacing w:after="0" w:line="240" w:lineRule="auto"/>
              <w:rPr>
                <w:rFonts w:ascii="Times New Roman" w:hAnsi="Times New Roman"/>
                <w:sz w:val="20"/>
                <w:szCs w:val="20"/>
              </w:rPr>
            </w:pPr>
            <w:r w:rsidRPr="00CE5D9A">
              <w:rPr>
                <w:noProof/>
                <w:lang w:eastAsia="pl-PL"/>
              </w:rPr>
              <mc:AlternateContent>
                <mc:Choice Requires="wps">
                  <w:drawing>
                    <wp:anchor distT="0" distB="0" distL="113664" distR="113664" simplePos="0" relativeHeight="251657216" behindDoc="0" locked="0" layoutInCell="1" allowOverlap="1" wp14:anchorId="5601A7AB" wp14:editId="188A28B6">
                      <wp:simplePos x="0" y="0"/>
                      <wp:positionH relativeFrom="column">
                        <wp:posOffset>2767964</wp:posOffset>
                      </wp:positionH>
                      <wp:positionV relativeFrom="paragraph">
                        <wp:posOffset>12065</wp:posOffset>
                      </wp:positionV>
                      <wp:extent cx="0" cy="236220"/>
                      <wp:effectExtent l="76200" t="0" r="57150" b="49530"/>
                      <wp:wrapNone/>
                      <wp:docPr id="92416694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 w14:anchorId="7D4185F7" id="Łącznik prosty ze strzałką 2" o:spid="_x0000_s1026" type="#_x0000_t32" style="position:absolute;margin-left:217.95pt;margin-top:.95pt;width:0;height:18.6pt;z-index:251657216;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" strokeweight=".5pt">
                      <v:stroke endarrow="block" joinstyle="miter"/>
                      <o:lock v:ext="edit" shapetype="f"/>
                    </v:shape>
                  </w:pict>
                </mc:Fallback>
              </mc:AlternateContent>
            </w:r>
          </w:p>
        </w:tc>
      </w:tr>
      <w:tr w:rsidR="00686DFE" w:rsidRPr="00CE5D9A" w14:paraId="439A78AE" w14:textId="77777777" w:rsidTr="00ED6C99">
        <w:trPr>
          <w:trHeight w:val="432"/>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034E7" w14:textId="77777777" w:rsidR="00686DFE" w:rsidRPr="00CE5D9A" w:rsidRDefault="00686DFE" w:rsidP="00ED6C99">
            <w:pPr>
              <w:spacing w:after="0" w:line="240" w:lineRule="auto"/>
              <w:jc w:val="center"/>
              <w:rPr>
                <w:rFonts w:ascii="Times New Roman" w:hAnsi="Times New Roman"/>
                <w:b/>
                <w:bCs/>
                <w:sz w:val="20"/>
                <w:szCs w:val="20"/>
              </w:rPr>
            </w:pPr>
            <w:r w:rsidRPr="00CE5D9A">
              <w:rPr>
                <w:rFonts w:ascii="Times New Roman" w:hAnsi="Times New Roman"/>
                <w:b/>
                <w:bCs/>
                <w:sz w:val="20"/>
                <w:szCs w:val="20"/>
              </w:rPr>
              <w:t>CEL</w:t>
            </w:r>
          </w:p>
        </w:tc>
      </w:tr>
    </w:tbl>
    <w:bookmarkEnd w:id="154"/>
    <w:p w14:paraId="1814813B"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65AE7BFD" w14:textId="77777777" w:rsidR="00686DFE" w:rsidRPr="00CE5D9A" w:rsidRDefault="00686DFE">
      <w:pPr>
        <w:spacing w:before="240" w:line="276" w:lineRule="auto"/>
        <w:jc w:val="both"/>
        <w:rPr>
          <w:rFonts w:ascii="Times New Roman" w:hAnsi="Times New Roman"/>
        </w:rPr>
      </w:pPr>
      <w:r w:rsidRPr="00CE5D9A">
        <w:rPr>
          <w:rFonts w:ascii="Times New Roman" w:hAnsi="Times New Roman"/>
        </w:rPr>
        <w:tab/>
        <w:t>Zgodnie z powyższym schematem przyjęto następujący ciąg logiczny określenia celów LSR:</w:t>
      </w:r>
    </w:p>
    <w:p w14:paraId="71D784A8" w14:textId="77777777" w:rsidR="00686DFE" w:rsidRPr="00CE5D9A" w:rsidRDefault="00686DFE">
      <w:pPr>
        <w:pStyle w:val="Akapitzlist"/>
        <w:numPr>
          <w:ilvl w:val="0"/>
          <w:numId w:val="40"/>
        </w:numPr>
        <w:spacing w:before="240" w:line="276" w:lineRule="auto"/>
        <w:jc w:val="both"/>
        <w:rPr>
          <w:rFonts w:ascii="Times New Roman" w:hAnsi="Times New Roman"/>
          <w:b/>
          <w:bCs/>
        </w:rPr>
      </w:pPr>
      <w:r w:rsidRPr="00CE5D9A">
        <w:rPr>
          <w:rFonts w:ascii="Times New Roman" w:hAnsi="Times New Roman"/>
          <w:b/>
          <w:bCs/>
        </w:rPr>
        <w:t>Najistotniejsze zdiagnozowane problemy i potencjały:</w:t>
      </w:r>
    </w:p>
    <w:p w14:paraId="74090283" w14:textId="77777777" w:rsidR="00686DFE" w:rsidRPr="00CE5D9A" w:rsidRDefault="00686DFE">
      <w:pPr>
        <w:pStyle w:val="Akapitzlist"/>
        <w:spacing w:before="240" w:line="276" w:lineRule="auto"/>
        <w:ind w:left="0" w:firstLine="709"/>
        <w:jc w:val="both"/>
        <w:rPr>
          <w:rFonts w:ascii="Times New Roman" w:hAnsi="Times New Roman"/>
        </w:rPr>
      </w:pPr>
      <w:r w:rsidRPr="00CE5D9A">
        <w:rPr>
          <w:rFonts w:ascii="Times New Roman" w:hAnsi="Times New Roman"/>
        </w:rPr>
        <w:t xml:space="preserve">Obszar LGD jest obszarem charakteryzującym się wzrostem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i możliwości rekreacji. Występują braki w przedsiębiorczości i innowacyjności. Problem stanowi ilość osób zagrożonych wykluczeniem społecznym, a w szczególności osób z niepełnosprawnościami. </w:t>
      </w:r>
    </w:p>
    <w:p w14:paraId="18B24192" w14:textId="77777777" w:rsidR="00686DFE" w:rsidRPr="00CE5D9A" w:rsidRDefault="00686DFE">
      <w:pPr>
        <w:pStyle w:val="Akapitzlist"/>
        <w:spacing w:before="240" w:line="276" w:lineRule="auto"/>
        <w:ind w:left="0" w:firstLine="708"/>
        <w:jc w:val="both"/>
        <w:rPr>
          <w:rFonts w:ascii="Times New Roman" w:hAnsi="Times New Roman"/>
        </w:rPr>
      </w:pPr>
      <w:r w:rsidRPr="00CE5D9A">
        <w:rPr>
          <w:rFonts w:ascii="Times New Roman" w:hAnsi="Times New Roman"/>
        </w:rPr>
        <w:t>Na tej podstawie sformułowano główny „</w:t>
      </w:r>
      <w:r w:rsidRPr="00CE5D9A">
        <w:rPr>
          <w:rFonts w:ascii="Times New Roman" w:hAnsi="Times New Roman"/>
          <w:b/>
          <w:bCs/>
        </w:rPr>
        <w:t>ZDIAGNOZOWANY PROBLEM</w:t>
      </w:r>
      <w:r w:rsidRPr="00CE5D9A">
        <w:rPr>
          <w:rFonts w:ascii="Times New Roman" w:hAnsi="Times New Roman"/>
        </w:rPr>
        <w:t>”</w:t>
      </w:r>
      <w:r w:rsidRPr="00CE5D9A">
        <w:rPr>
          <w:rFonts w:ascii="Times New Roman" w:hAnsi="Times New Roman"/>
          <w:b/>
          <w:bCs/>
          <w:sz w:val="20"/>
          <w:szCs w:val="20"/>
        </w:rPr>
        <w:t xml:space="preserve"> </w:t>
      </w:r>
      <w:r w:rsidRPr="00CE5D9A">
        <w:rPr>
          <w:rFonts w:ascii="Times New Roman" w:hAnsi="Times New Roman"/>
        </w:rPr>
        <w:t xml:space="preserve">– </w:t>
      </w:r>
      <w:r w:rsidRPr="00CE5D9A">
        <w:rPr>
          <w:rFonts w:ascii="Times New Roman" w:hAnsi="Times New Roman"/>
          <w:i/>
          <w:iCs/>
        </w:rPr>
        <w:t>Nienadążająca za wzrostem liczby mieszkańców infrastruktura publiczna, słaba oferta zagospodarowania czasu wolnego, niska aktywność społeczna i w organizacjach pozarządowych,</w:t>
      </w:r>
      <w:r w:rsidR="003A4345" w:rsidRPr="00CE5D9A">
        <w:rPr>
          <w:rFonts w:ascii="Times New Roman" w:hAnsi="Times New Roman"/>
          <w:i/>
          <w:iCs/>
        </w:rPr>
        <w:t xml:space="preserve"> niska przedsiębiorczość</w:t>
      </w:r>
      <w:r w:rsidR="003A4345" w:rsidRPr="00CE5D9A">
        <w:rPr>
          <w:rFonts w:ascii="Times New Roman" w:hAnsi="Times New Roman"/>
          <w:i/>
        </w:rPr>
        <w:t xml:space="preserve"> mieszkańców</w:t>
      </w:r>
      <w:r w:rsidRPr="00CE5D9A">
        <w:rPr>
          <w:rFonts w:ascii="Times New Roman" w:hAnsi="Times New Roman"/>
        </w:rPr>
        <w:t xml:space="preserve"> oraz główne</w:t>
      </w:r>
      <w:r w:rsidRPr="00CE5D9A">
        <w:rPr>
          <w:rFonts w:ascii="Times New Roman" w:hAnsi="Times New Roman"/>
          <w:sz w:val="20"/>
          <w:szCs w:val="20"/>
        </w:rPr>
        <w:t xml:space="preserve"> </w:t>
      </w:r>
      <w:r w:rsidRPr="00CE5D9A">
        <w:rPr>
          <w:rFonts w:ascii="Times New Roman" w:hAnsi="Times New Roman"/>
        </w:rPr>
        <w:t>„</w:t>
      </w:r>
      <w:r w:rsidRPr="00CE5D9A">
        <w:rPr>
          <w:rFonts w:ascii="Times New Roman" w:hAnsi="Times New Roman"/>
          <w:b/>
          <w:bCs/>
        </w:rPr>
        <w:t>POSIADANE SPECYFICZNE LOKALNE ZASOBY DO WYKORZYSTANIA</w:t>
      </w:r>
      <w:r w:rsidRPr="00CE5D9A">
        <w:rPr>
          <w:rFonts w:ascii="Times New Roman" w:hAnsi="Times New Roman"/>
        </w:rPr>
        <w:t>”</w:t>
      </w:r>
      <w:r w:rsidRPr="00CE5D9A">
        <w:rPr>
          <w:rFonts w:ascii="Times New Roman" w:hAnsi="Times New Roman"/>
          <w:b/>
          <w:bCs/>
          <w:sz w:val="20"/>
          <w:szCs w:val="20"/>
        </w:rPr>
        <w:t xml:space="preserve"> – </w:t>
      </w:r>
      <w:r w:rsidRPr="00CE5D9A">
        <w:rPr>
          <w:rFonts w:ascii="Times New Roman" w:hAnsi="Times New Roman"/>
          <w:i/>
          <w:iCs/>
        </w:rPr>
        <w:t>Lesistość i pagórkowatość terenu, walory krajobrazowe, struktura wieku i napływ ludności, bliskość Krakowa.</w:t>
      </w:r>
    </w:p>
    <w:p w14:paraId="098A39C3" w14:textId="77777777" w:rsidR="00686DFE" w:rsidRPr="00CE5D9A" w:rsidRDefault="00686DFE">
      <w:pPr>
        <w:pStyle w:val="Akapitzlist"/>
        <w:numPr>
          <w:ilvl w:val="0"/>
          <w:numId w:val="40"/>
        </w:numPr>
        <w:spacing w:before="240" w:line="276" w:lineRule="auto"/>
        <w:jc w:val="both"/>
        <w:rPr>
          <w:rFonts w:ascii="Times New Roman" w:hAnsi="Times New Roman"/>
          <w:b/>
          <w:bCs/>
        </w:rPr>
      </w:pPr>
      <w:r w:rsidRPr="00CE5D9A">
        <w:rPr>
          <w:rFonts w:ascii="Times New Roman" w:hAnsi="Times New Roman"/>
          <w:b/>
          <w:bCs/>
          <w:sz w:val="20"/>
          <w:szCs w:val="20"/>
        </w:rPr>
        <w:t>GŁÓWNE POTRZEBY</w:t>
      </w:r>
      <w:r w:rsidRPr="00CE5D9A">
        <w:rPr>
          <w:rFonts w:ascii="Times New Roman" w:hAnsi="Times New Roman"/>
          <w:b/>
          <w:bCs/>
        </w:rPr>
        <w:t>:</w:t>
      </w:r>
    </w:p>
    <w:p w14:paraId="16D69867" w14:textId="77777777" w:rsidR="00686DFE" w:rsidRPr="00CE5D9A" w:rsidRDefault="00686DFE">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Zwiększenie możliwości rekreacji i dostępu do atrakcyjnej oferty spędzania czasu wolnego.</w:t>
      </w:r>
    </w:p>
    <w:p w14:paraId="41A1617D" w14:textId="77777777" w:rsidR="00686DFE" w:rsidRPr="00CE5D9A" w:rsidRDefault="00686DFE">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Wzmocnienie potencjału organizacji pozarządowych.</w:t>
      </w:r>
    </w:p>
    <w:p w14:paraId="6725C97B" w14:textId="77777777" w:rsidR="00686DFE" w:rsidRPr="00CE5D9A" w:rsidRDefault="00686DFE">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Zwiększenie dostępu do kultury i efektywne wykorzystanie dziedzictwa kulturowego.</w:t>
      </w:r>
    </w:p>
    <w:p w14:paraId="2FAF620E" w14:textId="77777777" w:rsidR="00686DFE" w:rsidRPr="00CE5D9A" w:rsidRDefault="00686DFE">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Włączenie osób starszych i osób w niekorzystnej sytuacji.</w:t>
      </w:r>
    </w:p>
    <w:p w14:paraId="76517BEA" w14:textId="77777777" w:rsidR="00686DFE" w:rsidRPr="00CE5D9A" w:rsidRDefault="00686DFE">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Aktywizacja osób młodych.</w:t>
      </w:r>
    </w:p>
    <w:p w14:paraId="2F0BAF21" w14:textId="77777777" w:rsidR="003A4345" w:rsidRPr="00CE5D9A" w:rsidRDefault="003A4345">
      <w:pPr>
        <w:pStyle w:val="Akapitzlist"/>
        <w:numPr>
          <w:ilvl w:val="0"/>
          <w:numId w:val="41"/>
        </w:numPr>
        <w:spacing w:before="240" w:line="276" w:lineRule="auto"/>
        <w:ind w:left="1276"/>
        <w:jc w:val="both"/>
        <w:rPr>
          <w:rFonts w:ascii="Times New Roman" w:hAnsi="Times New Roman"/>
        </w:rPr>
      </w:pPr>
      <w:r w:rsidRPr="00CE5D9A">
        <w:rPr>
          <w:rFonts w:ascii="Times New Roman" w:hAnsi="Times New Roman"/>
        </w:rPr>
        <w:t>Zwiększenie przedsiębiorczości mieszkańców</w:t>
      </w:r>
    </w:p>
    <w:p w14:paraId="6E4A46D9" w14:textId="77777777" w:rsidR="00686DFE" w:rsidRPr="00CE5D9A" w:rsidRDefault="00686DFE">
      <w:pPr>
        <w:pStyle w:val="Akapitzlist"/>
        <w:spacing w:before="240" w:line="276" w:lineRule="auto"/>
        <w:jc w:val="both"/>
        <w:rPr>
          <w:rFonts w:ascii="Times New Roman" w:hAnsi="Times New Roman"/>
          <w:b/>
          <w:bCs/>
        </w:rPr>
      </w:pPr>
    </w:p>
    <w:p w14:paraId="328CE613" w14:textId="77777777" w:rsidR="00686DFE" w:rsidRPr="00CE5D9A" w:rsidRDefault="005F245B">
      <w:pPr>
        <w:spacing w:before="240" w:line="276" w:lineRule="auto"/>
        <w:ind w:firstLine="708"/>
        <w:jc w:val="both"/>
        <w:rPr>
          <w:rFonts w:ascii="Times New Roman" w:hAnsi="Times New Roman"/>
        </w:rPr>
      </w:pPr>
      <w:r w:rsidRPr="00CE5D9A">
        <w:rPr>
          <w:noProof/>
          <w:lang w:eastAsia="pl-PL"/>
        </w:rPr>
        <mc:AlternateContent>
          <mc:Choice Requires="wps">
            <w:drawing>
              <wp:anchor distT="45720" distB="45720" distL="114300" distR="114300" simplePos="0" relativeHeight="251659264" behindDoc="0" locked="0" layoutInCell="1" allowOverlap="1" wp14:anchorId="07487C94" wp14:editId="02DFDE8F">
                <wp:simplePos x="0" y="0"/>
                <wp:positionH relativeFrom="margin">
                  <wp:posOffset>1829435</wp:posOffset>
                </wp:positionH>
                <wp:positionV relativeFrom="paragraph">
                  <wp:posOffset>55880</wp:posOffset>
                </wp:positionV>
                <wp:extent cx="2576195" cy="990600"/>
                <wp:effectExtent l="0" t="0" r="14605" b="19050"/>
                <wp:wrapSquare wrapText="bothSides"/>
                <wp:docPr id="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990600"/>
                        </a:xfrm>
                        <a:prstGeom prst="rect">
                          <a:avLst/>
                        </a:prstGeom>
                        <a:solidFill>
                          <a:srgbClr val="FFFFFF"/>
                        </a:solidFill>
                        <a:ln w="12700" cap="flat" cmpd="sng" algn="ctr">
                          <a:solidFill>
                            <a:srgbClr val="000000"/>
                          </a:solidFill>
                          <a:prstDash val="solid"/>
                          <a:miter lim="800000"/>
                        </a:ln>
                      </wps:spPr>
                      <wps:txbx>
                        <w:txbxContent>
                          <w:p w14:paraId="2602E1E1" w14:textId="60A60B1C" w:rsidR="00D36602" w:rsidRPr="000D2206" w:rsidRDefault="00D36602">
                            <w:pPr>
                              <w:spacing w:after="0" w:line="276" w:lineRule="auto"/>
                              <w:jc w:val="center"/>
                              <w:rPr>
                                <w:color w:val="F79646" w:themeColor="accent6"/>
                              </w:rPr>
                            </w:pPr>
                            <w:r>
                              <w:rPr>
                                <w:rFonts w:ascii="Times New Roman" w:hAnsi="Times New Roman"/>
                                <w:b/>
                                <w:bCs/>
                                <w:color w:val="000000"/>
                              </w:rPr>
                              <w:t xml:space="preserve">CEL LSR  </w:t>
                            </w:r>
                            <w:r>
                              <w:rPr>
                                <w:rFonts w:ascii="Times New Roman" w:hAnsi="Times New Roman"/>
                                <w:b/>
                                <w:bCs/>
                                <w:color w:val="000000"/>
                              </w:rPr>
                              <w:br/>
                            </w:r>
                            <w:r>
                              <w:rPr>
                                <w:rFonts w:ascii="Times New Roman" w:hAnsi="Times New Roman"/>
                                <w:b/>
                                <w:bCs/>
                                <w:i/>
                                <w:iCs/>
                                <w:color w:val="000000"/>
                              </w:rPr>
                              <w:t xml:space="preserve">Utworzenie </w:t>
                            </w:r>
                            <w:r w:rsidRPr="00215193">
                              <w:rPr>
                                <w:rFonts w:ascii="Times New Roman" w:hAnsi="Times New Roman"/>
                                <w:b/>
                                <w:bCs/>
                                <w:i/>
                                <w:iCs/>
                              </w:rPr>
                              <w:t>Myślenickiej Strefy Przemysłu Czasu Wolnego i rozwoju przedsiębiorczości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7487C94" id="_x0000_t202" coordsize="21600,21600" o:spt="202" path="m,l,21600r21600,l21600,xe">
                <v:stroke joinstyle="miter"/>
                <v:path gradientshapeok="t" o:connecttype="rect"/>
              </v:shapetype>
              <v:shape id="Pole tekstowe 1" o:spid="_x0000_s1026" type="#_x0000_t202" style="position:absolute;left:0;text-align:left;margin-left:144.05pt;margin-top:4.4pt;width:202.85pt;height:7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" strokeweight="1pt">
                <v:textbox>
                  <w:txbxContent>
                    <w:p w14:paraId="2602E1E1" w14:textId="60A60B1C" w:rsidR="00D36602" w:rsidRPr="000D2206" w:rsidRDefault="00D36602">
                      <w:pPr>
                        <w:spacing w:after="0" w:line="276" w:lineRule="auto"/>
                        <w:jc w:val="center"/>
                        <w:rPr>
                          <w:color w:val="F79646" w:themeColor="accent6"/>
                        </w:rPr>
                      </w:pPr>
                      <w:r>
                        <w:rPr>
                          <w:rFonts w:ascii="Times New Roman" w:hAnsi="Times New Roman"/>
                          <w:b/>
                          <w:bCs/>
                          <w:color w:val="000000"/>
                        </w:rPr>
                        <w:t xml:space="preserve">CEL LSR  </w:t>
                      </w:r>
                      <w:r>
                        <w:rPr>
                          <w:rFonts w:ascii="Times New Roman" w:hAnsi="Times New Roman"/>
                          <w:b/>
                          <w:bCs/>
                          <w:color w:val="000000"/>
                        </w:rPr>
                        <w:br/>
                      </w:r>
                      <w:r>
                        <w:rPr>
                          <w:rFonts w:ascii="Times New Roman" w:hAnsi="Times New Roman"/>
                          <w:b/>
                          <w:bCs/>
                          <w:i/>
                          <w:iCs/>
                          <w:color w:val="000000"/>
                        </w:rPr>
                        <w:t xml:space="preserve">Utworzenie </w:t>
                      </w:r>
                      <w:r w:rsidRPr="00215193">
                        <w:rPr>
                          <w:rFonts w:ascii="Times New Roman" w:hAnsi="Times New Roman"/>
                          <w:b/>
                          <w:bCs/>
                          <w:i/>
                          <w:iCs/>
                        </w:rPr>
                        <w:t>Myślenickiej Strefy Przemysłu Czasu Wolnego i rozwoju przedsiębiorczości</w:t>
                      </w:r>
                    </w:p>
                  </w:txbxContent>
                </v:textbox>
                <w10:wrap type="square" anchorx="margin"/>
              </v:shape>
            </w:pict>
          </mc:Fallback>
        </mc:AlternateContent>
      </w:r>
    </w:p>
    <w:p w14:paraId="62632876" w14:textId="77777777" w:rsidR="00686DFE" w:rsidRPr="00CE5D9A" w:rsidRDefault="00686DFE">
      <w:pPr>
        <w:spacing w:before="240" w:line="276" w:lineRule="auto"/>
        <w:ind w:firstLine="708"/>
        <w:jc w:val="both"/>
        <w:rPr>
          <w:rFonts w:ascii="Times New Roman" w:hAnsi="Times New Roman"/>
        </w:rPr>
      </w:pPr>
    </w:p>
    <w:p w14:paraId="1114349A" w14:textId="77777777" w:rsidR="00686DFE" w:rsidRPr="00CE5D9A" w:rsidRDefault="00686DFE">
      <w:pPr>
        <w:spacing w:before="240" w:line="276" w:lineRule="auto"/>
        <w:ind w:firstLine="708"/>
        <w:jc w:val="both"/>
        <w:rPr>
          <w:rFonts w:ascii="Times New Roman" w:hAnsi="Times New Roman"/>
        </w:rPr>
      </w:pPr>
    </w:p>
    <w:p w14:paraId="4F32A37A" w14:textId="77777777" w:rsidR="00686DFE" w:rsidRPr="00CE5D9A" w:rsidRDefault="00686DFE">
      <w:pPr>
        <w:rPr>
          <w:rFonts w:ascii="Times New Roman" w:hAnsi="Times New Roman"/>
        </w:rPr>
      </w:pPr>
      <w:r w:rsidRPr="00CE5D9A">
        <w:rPr>
          <w:rFonts w:ascii="Times New Roman" w:hAnsi="Times New Roman"/>
        </w:rPr>
        <w:br w:type="page"/>
      </w:r>
    </w:p>
    <w:p w14:paraId="64B66D9D"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Do celu LSR przypisano konkretne przedsięwzięcia, dla których wskazano sposób ich realizacji wraz z uzasadnieniem, źródło finansowania, a także określono adekwatne rezultaty i wskaźniki. W tabeli 22 przedstawiono powiązanie celu i przedsięwzięć ze zidentyfikowanymi podczas analizy obszaru problemami. Tabela zawiera również informacje o charakterze danego przedsięwzięcia (inwestycyjny, nieinwestycyjny) budżecie, poziomie dofinansowania, maksymalnej i minimalnej kwocie, grupie docelowej i sposobie realizacji – stanowi ona poszerzoną wersję załącznika nr 1 do LSR. Opis celu i przedsięwzięć został również ujęty w Załączniku nr 1 do LSR pn. Cele i przedsięwzięcia. Do celu przypisano wskaźniki rezultatu (z katalogu obowiązkowych wskaźników, 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sidRPr="00CE5D9A">
        <w:t xml:space="preserve"> Załączniku nr 2 do LSR pn. </w:t>
      </w:r>
      <w:r w:rsidRPr="00CE5D9A">
        <w:rPr>
          <w:rFonts w:ascii="Times New Roman" w:hAnsi="Times New Roman"/>
        </w:rPr>
        <w:t>Plan działania, który jest spójny z Załącznikiem nr 4 do LSR pn. Plan wykorzystania budżetu LSR.</w:t>
      </w:r>
    </w:p>
    <w:p w14:paraId="45980843"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Pomiar wskaźników zawartych w załącznikach będzie odbywał się za pomocą prowadzonego monitoringu </w:t>
      </w:r>
      <w:r w:rsidRPr="00CE5D9A">
        <w:rPr>
          <w:rFonts w:ascii="Times New Roman" w:hAnsi="Times New Roman"/>
        </w:rPr>
        <w:br/>
        <w:t>i ewaluacji (rozdz. X) zaś źródłem wiedzy o osiągniętych wskaźnikach będą sprawozdania beneficjentów, dane LGD.</w:t>
      </w:r>
    </w:p>
    <w:p w14:paraId="7481BF37"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Kryteria osiągnięte, w wyniku zrealizowania przedsięwzięć, pozwolą na wykazanie wzrostu kapitału społecznego mieszkańców obszaru LGD i wzrostu atrakcyjności miejsca zamieszkania, które nastąpią poprzez wzrost liczby miejsc spędzania czasu wolnego, zwiększenie oferty zagospodarowania czasu wolnego i zaangażowanie mieszkańców w korzystanie z oferty edukacyjnej, kulturalnej i integracyjnej. </w:t>
      </w:r>
    </w:p>
    <w:p w14:paraId="309188C2"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Osiągnięcie wskaźników będzie świadczyło o realizacji zakładanych przedsięwzięć. Ponadto realizacja wskaźników przypisanych do przedsięwzięć zobrazuje wzrost świadomości mieszkańców w zakresie możliwości podejmowania działalności gospodarczych, co samym wpłynie na rozwój przedsiębiorczości mieszkańców obszaru, co z kolei przełoży się m.in. na wzrost liczby miejsc pracy oraz wzrost dochodów mieszkańców. Ponadto osiągnięcie realizacja wskaźników wpłynie na zwiększenie dostępności mieszkańców i turystów do oferty spędzania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Osiągniecie wskaźników przyczyni się również do rozszerzenia oferty wsparcia oraz podniesienia jakości oferowanych usług dla lokalnej społeczności w tym osób zagrożonych wykluczeniem społecznym. </w:t>
      </w:r>
    </w:p>
    <w:p w14:paraId="5A3843FB" w14:textId="60E4F181" w:rsidR="00686DFE" w:rsidRPr="00CE5D9A" w:rsidRDefault="00686DFE">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 xml:space="preserve">W ramach celu LSR </w:t>
      </w:r>
      <w:r w:rsidRPr="00CE5D9A">
        <w:rPr>
          <w:rFonts w:ascii="Times New Roman" w:hAnsi="Times New Roman"/>
          <w:color w:val="auto"/>
          <w:sz w:val="22"/>
          <w:szCs w:val="22"/>
        </w:rPr>
        <w:t>Utworzenie Myślenickiej Strefy Przemysłu Czasu Wolnego</w:t>
      </w:r>
      <w:r w:rsidR="00D96ACB" w:rsidRPr="00CE5D9A">
        <w:rPr>
          <w:rFonts w:ascii="Times New Roman" w:hAnsi="Times New Roman"/>
          <w:color w:val="auto"/>
          <w:sz w:val="22"/>
          <w:szCs w:val="22"/>
        </w:rPr>
        <w:t xml:space="preserve"> </w:t>
      </w:r>
      <w:r w:rsidR="00D96ACB" w:rsidRPr="00CE5D9A">
        <w:rPr>
          <w:rFonts w:ascii="Times New Roman" w:hAnsi="Times New Roman"/>
          <w:b/>
          <w:bCs/>
          <w:color w:val="auto"/>
          <w:sz w:val="22"/>
          <w:szCs w:val="22"/>
        </w:rPr>
        <w:t>i rozwoju przedsiębiorczości</w:t>
      </w:r>
      <w:r w:rsidRPr="00CE5D9A">
        <w:rPr>
          <w:rFonts w:ascii="Times New Roman" w:hAnsi="Times New Roman"/>
          <w:color w:val="auto"/>
          <w:sz w:val="22"/>
          <w:szCs w:val="22"/>
        </w:rPr>
        <w:t xml:space="preserve"> </w:t>
      </w:r>
      <w:r w:rsidRPr="00CE5D9A">
        <w:rPr>
          <w:rFonts w:ascii="Times New Roman" w:hAnsi="Times New Roman"/>
          <w:i w:val="0"/>
          <w:iCs w:val="0"/>
          <w:color w:val="auto"/>
          <w:sz w:val="22"/>
          <w:szCs w:val="22"/>
        </w:rPr>
        <w:t>samorządy (sektor publiczny) będą mogły opracować koncepcję Smart Villages dla wybranych miejscowości. W pierwszej kolejności planuje się projekty, które będą wzmacniać potencjał organizacji pozarządowych oraz przyczyniać się do budowania partnerskich relacji pomiędzy nimi. W ramach celu przewidziano realizację projektu własnego LGD, pożądanego do realizacji w partnerstwie krajowym lub zagranicznym, będzie on polegał na kojarzeniu partnerów i animowaniu do realizacji wspólnych projektów, w tym przygotowaniu do wdrażania idei Smart Villages</w:t>
      </w:r>
      <w:r w:rsidR="004647AB" w:rsidRPr="00CE5D9A">
        <w:rPr>
          <w:rFonts w:ascii="Times New Roman" w:hAnsi="Times New Roman"/>
          <w:i w:val="0"/>
          <w:iCs w:val="0"/>
          <w:color w:val="auto"/>
          <w:sz w:val="22"/>
          <w:szCs w:val="22"/>
        </w:rPr>
        <w:t>/</w:t>
      </w:r>
      <w:r w:rsidRPr="00CE5D9A">
        <w:rPr>
          <w:rFonts w:ascii="Times New Roman" w:hAnsi="Times New Roman"/>
          <w:i w:val="0"/>
          <w:iCs w:val="0"/>
          <w:color w:val="auto"/>
          <w:sz w:val="22"/>
          <w:szCs w:val="22"/>
        </w:rPr>
        <w:t>. Metody wybierane przez LGD będą miały na celu przede wszystkim pobudzanie aktywności mieszkańców oraz instytucji i organizacji działających w społeczności lokalnej, integrowanie społeczności lokalnej, koncentrowanie jej działań na dobru wspólnym oraz budowanie trwałych wzajemnych relacji między nimi. Dzięki współpracy i włączeniu się do współdecydowania o obszarze możliwe będzie wdrażanie koncepcji w poszczególnych miejscowościach, bazujących na nowoczesnych technologiach i narzędziach dla polepszenia jakości życia i podniesienia standardu usług publicznych. Podejmowane działania będą ukierunkowane na budowanie lokalnej tożsamości bazującej na aktywizacji społecznej i przy wykorzystaniu miejscowych zasobów w sposób zapewniający zaspokojenie potrzeb społeczności, w tym poprzez wykorzystanie wiedzy, innowacji i rozwiązań cyfrowych. W ramach koncepcji samorządy będą mogły stworzyć/zmodernizować ogólnodostępną, małą infrastrukturę publiczną służącą rekreacji, sportowi i zwiększaniu możliwości spędzania czasu wolnego (np. place zabaw, siłownie plenerowe, skateparki, parki do parkoura, street workout parki, parki linowe, piaskownice, miejskie i wiejskie tereny rekreacyjne o połączonych formach rekreacji, ścieżki edukacyjne). Dodatkowo stworzona infrastruktura będzie wzbogacona o udogodnienia dla osób z niepełnosprawnościami (</w:t>
      </w:r>
      <w:r w:rsidRPr="00F70DF1">
        <w:rPr>
          <w:rFonts w:ascii="Times New Roman" w:hAnsi="Times New Roman"/>
          <w:i w:val="0"/>
          <w:iCs w:val="0"/>
          <w:color w:val="auto"/>
          <w:sz w:val="22"/>
          <w:szCs w:val="22"/>
          <w:highlight w:val="cyan"/>
        </w:rPr>
        <w:t xml:space="preserve">np. </w:t>
      </w:r>
      <w:r w:rsidRPr="00F70DF1">
        <w:rPr>
          <w:rFonts w:ascii="Times New Roman" w:hAnsi="Times New Roman"/>
          <w:i w:val="0"/>
          <w:iCs w:val="0"/>
          <w:color w:val="auto"/>
          <w:sz w:val="22"/>
          <w:szCs w:val="22"/>
          <w:highlight w:val="cyan"/>
        </w:rPr>
        <w:lastRenderedPageBreak/>
        <w:t>place zabaw dostosowane do wózków inwalidzkich, parki sensoryczne dla osób ze spektrum autyzmu</w:t>
      </w:r>
      <w:r w:rsidRPr="00CE5D9A">
        <w:rPr>
          <w:rFonts w:ascii="Times New Roman" w:hAnsi="Times New Roman"/>
          <w:i w:val="0"/>
          <w:iCs w:val="0"/>
          <w:color w:val="auto"/>
          <w:sz w:val="22"/>
          <w:szCs w:val="22"/>
        </w:rPr>
        <w:t xml:space="preserve">), co przyczyni się do zwiększenia innowacyjności </w:t>
      </w:r>
      <w:r w:rsidRPr="0070319C">
        <w:rPr>
          <w:rFonts w:ascii="Times New Roman" w:hAnsi="Times New Roman"/>
          <w:i w:val="0"/>
          <w:iCs w:val="0"/>
          <w:color w:val="auto"/>
          <w:sz w:val="22"/>
          <w:szCs w:val="22"/>
        </w:rPr>
        <w:t xml:space="preserve">obszaru. </w:t>
      </w:r>
      <w:r w:rsidRPr="0070319C">
        <w:rPr>
          <w:rFonts w:ascii="Times New Roman" w:hAnsi="Times New Roman"/>
          <w:i w:val="0"/>
          <w:iCs w:val="0"/>
          <w:color w:val="auto"/>
          <w:sz w:val="22"/>
          <w:szCs w:val="22"/>
          <w:lang w:eastAsia="pl-PL"/>
        </w:rPr>
        <w:t>Ponadto samorządy</w:t>
      </w:r>
      <w:r w:rsidR="00B37FDF" w:rsidRPr="0070319C">
        <w:rPr>
          <w:rFonts w:ascii="Times New Roman" w:hAnsi="Times New Roman"/>
          <w:i w:val="0"/>
          <w:iCs w:val="0"/>
          <w:color w:val="auto"/>
          <w:sz w:val="22"/>
          <w:szCs w:val="22"/>
          <w:lang w:eastAsia="pl-PL"/>
        </w:rPr>
        <w:t xml:space="preserve"> i organizacje pozarządowe</w:t>
      </w:r>
      <w:r w:rsidRPr="0070319C">
        <w:rPr>
          <w:rFonts w:ascii="Times New Roman" w:hAnsi="Times New Roman"/>
          <w:i w:val="0"/>
          <w:iCs w:val="0"/>
          <w:color w:val="auto"/>
          <w:sz w:val="22"/>
          <w:szCs w:val="22"/>
          <w:lang w:eastAsia="pl-PL"/>
        </w:rPr>
        <w:t xml:space="preserve"> będą mogły realizować zadania związane z doposażeniem instytucji kultury oraz budową i rozbudową infrastruktury publicznej poprzez kompleksowe działania uwzględniające potrzeby życiowe wszystkich mieszkańców obszaru LGD i ich rodzin oraz podniesienie jakości ich życia.</w:t>
      </w:r>
      <w:r w:rsidRPr="0070319C">
        <w:rPr>
          <w:rFonts w:ascii="Times New Roman" w:hAnsi="Times New Roman"/>
          <w:i w:val="0"/>
          <w:iCs w:val="0"/>
          <w:color w:val="auto"/>
          <w:sz w:val="22"/>
          <w:szCs w:val="22"/>
        </w:rPr>
        <w:t xml:space="preserve"> Ponadto</w:t>
      </w:r>
      <w:r w:rsidRPr="00CE5D9A">
        <w:rPr>
          <w:rFonts w:ascii="Times New Roman" w:hAnsi="Times New Roman"/>
          <w:i w:val="0"/>
          <w:iCs w:val="0"/>
          <w:color w:val="auto"/>
          <w:sz w:val="22"/>
          <w:szCs w:val="22"/>
        </w:rPr>
        <w:t xml:space="preserve"> efekt tych działań będzie dodatkowo wzmocniony poprzez realizację operacji obejmującej zwiększenie dostępu do oferty kulturalnej, ochrony i rozwoju lokalnych zasobów dziedzictwa oraz rozwoju oferty turystycznej bazującej na lokalnych potencjałach, realizowanej w ramach FEM.</w:t>
      </w:r>
    </w:p>
    <w:p w14:paraId="3B94D54B" w14:textId="7A731CFA" w:rsidR="00686DFE" w:rsidRPr="00CE5D9A" w:rsidRDefault="00686DFE">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 xml:space="preserve">Mieszkańcy, jednostki organizacyjne nieposiadające osobowości prawnej, którym ustawa przyznaje zdolność prawną, organizacje pozarządowe, mikro i małe przedsiębiorstwa, jednostki sektora finansów publicznych (sektor społeczny, publiczny i gospodarczy) będą, w ramach udzielonych grantów realizować projekty (w tym partnerskie i/lub innowacyjne), polegające na włączeniu seniorów, których celem będzie integracja, wzmocnienie i umożliwienie aktywności społecznej tej grupie mieszkańców oraz promowanie zdrowego stylu życia, wzrost możliwości spędzania czasu wolnego, samorozwoju i rekreacji oraz przedłużenia aktywności zawodowej. </w:t>
      </w:r>
      <w:r w:rsidRPr="00E40535">
        <w:rPr>
          <w:rFonts w:ascii="Times New Roman" w:hAnsi="Times New Roman"/>
          <w:i w:val="0"/>
          <w:iCs w:val="0"/>
          <w:color w:val="auto"/>
          <w:sz w:val="22"/>
          <w:szCs w:val="22"/>
          <w:highlight w:val="cyan"/>
        </w:rPr>
        <w:t>Również w ramach projektów grantowych będą realizowane innowacyjne operacje w zakresie rozwoju osób do 25. roku życia i zagospodarowywania ich czasu wolnego.</w:t>
      </w:r>
      <w:r w:rsidRPr="00CE5D9A">
        <w:rPr>
          <w:rFonts w:ascii="Times New Roman" w:hAnsi="Times New Roman"/>
          <w:i w:val="0"/>
          <w:iCs w:val="0"/>
          <w:color w:val="auto"/>
          <w:sz w:val="22"/>
          <w:szCs w:val="22"/>
        </w:rPr>
        <w:t xml:space="preserve"> </w:t>
      </w:r>
      <w:r w:rsidR="006F01E0" w:rsidRPr="00CE5D9A">
        <w:rPr>
          <w:rFonts w:ascii="Times New Roman" w:hAnsi="Times New Roman"/>
          <w:i w:val="0"/>
          <w:iCs w:val="0"/>
          <w:color w:val="auto"/>
          <w:sz w:val="22"/>
          <w:szCs w:val="22"/>
        </w:rPr>
        <w:t xml:space="preserve">W ramach </w:t>
      </w:r>
      <w:r w:rsidR="00E40535" w:rsidRPr="00E40535">
        <w:rPr>
          <w:rFonts w:ascii="Times New Roman" w:hAnsi="Times New Roman"/>
          <w:i w:val="0"/>
          <w:iCs w:val="0"/>
          <w:color w:val="auto"/>
          <w:sz w:val="22"/>
          <w:szCs w:val="22"/>
        </w:rPr>
        <w:t>przedsięwzięcia 1.3</w:t>
      </w:r>
      <w:r w:rsidR="006F01E0" w:rsidRPr="00E40535">
        <w:rPr>
          <w:rFonts w:ascii="Times New Roman" w:hAnsi="Times New Roman"/>
          <w:i w:val="0"/>
          <w:iCs w:val="0"/>
          <w:color w:val="auto"/>
          <w:sz w:val="22"/>
          <w:szCs w:val="22"/>
        </w:rPr>
        <w:t xml:space="preserve"> </w:t>
      </w:r>
      <w:r w:rsidR="006F01E0" w:rsidRPr="00CE5D9A">
        <w:rPr>
          <w:rFonts w:ascii="Times New Roman" w:hAnsi="Times New Roman"/>
          <w:i w:val="0"/>
          <w:iCs w:val="0"/>
          <w:color w:val="auto"/>
          <w:sz w:val="22"/>
          <w:szCs w:val="22"/>
        </w:rPr>
        <w:t>wymogiem będzie przeprowadzenie konkursów adresowanych do grup docelowych tj. mieszkańcy poniżej 25. roku życia, mieszkańcy powyżej 60 roku życia, osoby z niepełnosprawnościami i ich opiekunowie wraz z uzasadnieniem proponowanych działań o tematyce ukierunkowanej na te grupy odbiorców – aktywizacja osób starszych, młodych i osób z niepełnosprawnościami poprzez organizację wydarzeń kulturalnych, edukacyjnych i integracyjnych (organizacja szkoleń, integracja, przekazywanie wiedzy, dostosowanie tematyki zajęć, sposobu organizacji i warunków udziału do grup osób w niekorzystnej sytuacji).</w:t>
      </w:r>
    </w:p>
    <w:p w14:paraId="5F764C0B" w14:textId="77777777" w:rsidR="00CC4AB1" w:rsidRDefault="00686DFE" w:rsidP="004B68F2">
      <w:pPr>
        <w:spacing w:after="0" w:line="276" w:lineRule="auto"/>
        <w:ind w:firstLine="708"/>
        <w:jc w:val="both"/>
        <w:rPr>
          <w:rFonts w:ascii="Times New Roman" w:hAnsi="Times New Roman"/>
        </w:rPr>
      </w:pPr>
      <w:r w:rsidRPr="00CE5D9A">
        <w:rPr>
          <w:rFonts w:ascii="Times New Roman" w:hAnsi="Times New Roman"/>
        </w:rPr>
        <w:t>Również w ramach tego celu mieszkańcy będą mogli ubiegać się o wsparcie na podejmowanie działalności, natomiast mikro i małe przedsiębiorstwa (sektor gospodarczy) będą mogły ubiegać się o wsparcie na rozwijanie działalności – tylko konkretne rodzaje działalności gospodarczej, w zakresie zgodnym z celem LSR</w:t>
      </w:r>
      <w:r w:rsidR="009B37D8" w:rsidRPr="00CE5D9A">
        <w:rPr>
          <w:rFonts w:ascii="Times New Roman" w:hAnsi="Times New Roman"/>
        </w:rPr>
        <w:t xml:space="preserve">. Realizacja działań w zakresie rozwoju działalności gospodarczej będzie możliwa w ramach przedsięwzięć 1.8 i 1.9. </w:t>
      </w:r>
      <w:r w:rsidR="007F6F0A" w:rsidRPr="00CE5D9A">
        <w:rPr>
          <w:rFonts w:ascii="Times New Roman" w:hAnsi="Times New Roman"/>
        </w:rPr>
        <w:t xml:space="preserve">Obszar LSR posiada predyspozycje do bycia obszarem osiedlania się, w związku z czym wspierane będą branże usług lokalnych, tak żeby </w:t>
      </w:r>
      <w:r w:rsidR="00BB539F" w:rsidRPr="00CE5D9A">
        <w:rPr>
          <w:rFonts w:ascii="Times New Roman" w:hAnsi="Times New Roman"/>
        </w:rPr>
        <w:t>ich oferta była dostępna dla mieszkańców na miejscu i żeby</w:t>
      </w:r>
      <w:r w:rsidR="007F6F0A" w:rsidRPr="00CE5D9A">
        <w:rPr>
          <w:rFonts w:ascii="Times New Roman" w:hAnsi="Times New Roman"/>
        </w:rPr>
        <w:t xml:space="preserve"> nie musieli wyjeżdżać poza obszar</w:t>
      </w:r>
      <w:r w:rsidR="00BB539F" w:rsidRPr="00CE5D9A">
        <w:rPr>
          <w:rFonts w:ascii="Times New Roman" w:hAnsi="Times New Roman"/>
        </w:rPr>
        <w:t xml:space="preserve"> w celu skorzystania z nich</w:t>
      </w:r>
      <w:r w:rsidR="007F6F0A" w:rsidRPr="00CE5D9A">
        <w:rPr>
          <w:rFonts w:ascii="Times New Roman" w:hAnsi="Times New Roman"/>
        </w:rPr>
        <w:t>. Dostępność do usług lokalnych świadczy o zasobności obszaru i jego rozwojowym kierunku. Usługi lokalne przenoszą się na obszary wiejskie – rośnie na nie popyt i przez to stają się bardziej dostępne. Ludzie osiedlają się na obszarze, bo posiada bardzo</w:t>
      </w:r>
      <w:r w:rsidR="00F21FBA" w:rsidRPr="00CE5D9A">
        <w:rPr>
          <w:rFonts w:ascii="Times New Roman" w:hAnsi="Times New Roman"/>
        </w:rPr>
        <w:t xml:space="preserve"> atrakcyjne warunki kulturowe i </w:t>
      </w:r>
      <w:r w:rsidR="007F6F0A" w:rsidRPr="00CE5D9A">
        <w:rPr>
          <w:rFonts w:ascii="Times New Roman" w:hAnsi="Times New Roman"/>
        </w:rPr>
        <w:t>przyrodnicze</w:t>
      </w:r>
      <w:r w:rsidR="00F21FBA" w:rsidRPr="00CE5D9A">
        <w:rPr>
          <w:rFonts w:ascii="Times New Roman" w:hAnsi="Times New Roman"/>
        </w:rPr>
        <w:t>, p</w:t>
      </w:r>
      <w:r w:rsidR="007F6F0A" w:rsidRPr="00CE5D9A">
        <w:rPr>
          <w:rFonts w:ascii="Times New Roman" w:hAnsi="Times New Roman"/>
        </w:rPr>
        <w:t>rzez to wzrasta zapotrzebowanie na usługi lokalne związane z nowymi mieszkańcami (usługi publiczne, czas wolny) i ich mieszkaniami (usługi budowlane, planowanie przestrzenne)</w:t>
      </w:r>
      <w:r w:rsidR="00DE0A14" w:rsidRPr="00CE5D9A">
        <w:rPr>
          <w:rFonts w:ascii="Times New Roman" w:hAnsi="Times New Roman"/>
        </w:rPr>
        <w:t>, a także wykorzystujące i promujące produkty lokalne czy rękodzieło</w:t>
      </w:r>
      <w:r w:rsidR="007F6F0A" w:rsidRPr="00CE5D9A">
        <w:rPr>
          <w:rFonts w:ascii="Times New Roman" w:hAnsi="Times New Roman"/>
        </w:rPr>
        <w:t>.</w:t>
      </w:r>
      <w:r w:rsidR="00BB539F" w:rsidRPr="00CE5D9A">
        <w:rPr>
          <w:rFonts w:ascii="Times New Roman" w:hAnsi="Times New Roman"/>
        </w:rPr>
        <w:t xml:space="preserve"> Z uwagi na powyższe z</w:t>
      </w:r>
      <w:r w:rsidR="00F21FBA" w:rsidRPr="00CE5D9A">
        <w:rPr>
          <w:rFonts w:ascii="Times New Roman" w:hAnsi="Times New Roman"/>
        </w:rPr>
        <w:t> </w:t>
      </w:r>
      <w:r w:rsidR="00BB539F" w:rsidRPr="00CE5D9A">
        <w:rPr>
          <w:rFonts w:ascii="Times New Roman" w:hAnsi="Times New Roman"/>
        </w:rPr>
        <w:t>dofinansowania będą mogły skorzystać branże z sekcji</w:t>
      </w:r>
      <w:r w:rsidR="00CC4AB1">
        <w:rPr>
          <w:rFonts w:ascii="Times New Roman" w:hAnsi="Times New Roman"/>
        </w:rPr>
        <w:t>:</w:t>
      </w:r>
    </w:p>
    <w:p w14:paraId="092733A8" w14:textId="54B01074" w:rsidR="00CC4AB1" w:rsidRDefault="00F21FBA" w:rsidP="00CC4AB1">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 xml:space="preserve">C </w:t>
      </w:r>
      <w:r w:rsidR="00CC4AB1" w:rsidRPr="00CC4AB1">
        <w:rPr>
          <w:rFonts w:ascii="Times New Roman" w:hAnsi="Times New Roman"/>
          <w:b/>
          <w:color w:val="FF0000"/>
        </w:rPr>
        <w:t>„Przetwórstwo przemysłowe”-</w:t>
      </w:r>
      <w:r w:rsidR="00DE0A14" w:rsidRPr="00CC4AB1">
        <w:rPr>
          <w:rFonts w:ascii="Times New Roman" w:hAnsi="Times New Roman"/>
          <w:b/>
          <w:color w:val="FF0000"/>
        </w:rPr>
        <w:t xml:space="preserve"> </w:t>
      </w:r>
      <w:r w:rsidR="00CC4AB1" w:rsidRPr="00CC4AB1">
        <w:rPr>
          <w:rFonts w:ascii="Times New Roman" w:hAnsi="Times New Roman"/>
          <w:b/>
          <w:color w:val="FF0000"/>
        </w:rPr>
        <w:t>cały dział: 10, 11, 12, 13, 14, 15, 16, 17, 18, 19, 20, 21, 22, 23, 24, 25, 26, 27, 28, 29, 30, 31, 32, 33</w:t>
      </w:r>
    </w:p>
    <w:p w14:paraId="592AC795" w14:textId="08C7FF57" w:rsidR="00997A24" w:rsidRPr="00997A24" w:rsidRDefault="00997A24" w:rsidP="00997A24">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F „Budownictwo”- cały dział: 41, 42, 43</w:t>
      </w:r>
    </w:p>
    <w:p w14:paraId="223B3DC7" w14:textId="5295F905" w:rsidR="00CC4AB1" w:rsidRPr="00CC4AB1" w:rsidRDefault="00D96ACB" w:rsidP="00CC4AB1">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G „Handel hurtowy i detaliczny”</w:t>
      </w:r>
      <w:r w:rsidR="007008BF">
        <w:rPr>
          <w:rFonts w:ascii="Times New Roman" w:hAnsi="Times New Roman"/>
          <w:b/>
          <w:color w:val="FF0000"/>
        </w:rPr>
        <w:t xml:space="preserve">- cały dział: </w:t>
      </w:r>
      <w:r w:rsidR="00CC4AB1" w:rsidRPr="00CC4AB1">
        <w:rPr>
          <w:rFonts w:ascii="Times New Roman" w:hAnsi="Times New Roman"/>
          <w:b/>
          <w:color w:val="FF0000"/>
        </w:rPr>
        <w:t>46, 47</w:t>
      </w:r>
    </w:p>
    <w:p w14:paraId="31486715" w14:textId="30C39FB0" w:rsidR="00997A24" w:rsidRDefault="00997A24" w:rsidP="00997A24">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I „Działalność związana z zakwaterowaniem i usługami gastronomicznymi” - cały dział: 55, 56</w:t>
      </w:r>
    </w:p>
    <w:p w14:paraId="66F5AD77" w14:textId="55DD532D" w:rsidR="00FC7E9E" w:rsidRPr="00997A24" w:rsidRDefault="00FC7E9E" w:rsidP="00997A24">
      <w:pPr>
        <w:pStyle w:val="Akapitzlist"/>
        <w:numPr>
          <w:ilvl w:val="0"/>
          <w:numId w:val="67"/>
        </w:numPr>
        <w:spacing w:after="0" w:line="276" w:lineRule="auto"/>
        <w:jc w:val="both"/>
        <w:rPr>
          <w:rFonts w:ascii="Times New Roman" w:hAnsi="Times New Roman"/>
          <w:b/>
          <w:color w:val="FF0000"/>
        </w:rPr>
      </w:pPr>
      <w:r>
        <w:rPr>
          <w:rFonts w:ascii="Times New Roman" w:hAnsi="Times New Roman"/>
          <w:b/>
          <w:color w:val="FF0000"/>
        </w:rPr>
        <w:t xml:space="preserve">J „Działalność wydawnicza i nadawcza oraz związana z produkcją i dystrybucją treści”- cały dział </w:t>
      </w:r>
      <w:r w:rsidR="00271659">
        <w:rPr>
          <w:rFonts w:ascii="Times New Roman" w:hAnsi="Times New Roman"/>
          <w:b/>
          <w:color w:val="FF0000"/>
        </w:rPr>
        <w:t xml:space="preserve">58, </w:t>
      </w:r>
      <w:r>
        <w:rPr>
          <w:rFonts w:ascii="Times New Roman" w:hAnsi="Times New Roman"/>
          <w:b/>
          <w:color w:val="FF0000"/>
        </w:rPr>
        <w:t>59</w:t>
      </w:r>
      <w:r w:rsidR="00271659">
        <w:rPr>
          <w:rFonts w:ascii="Times New Roman" w:hAnsi="Times New Roman"/>
          <w:b/>
          <w:color w:val="FF0000"/>
        </w:rPr>
        <w:t>, 60</w:t>
      </w:r>
    </w:p>
    <w:p w14:paraId="5CEC30E6" w14:textId="0CDA315D" w:rsidR="00CC4AB1" w:rsidRPr="00830009" w:rsidRDefault="00D96ACB" w:rsidP="00CC4AB1">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K „Działalność usługowa w zakresie telekomunikacji, programowania komputerowego, doradztwa, infrastruktury obliczeniowej oraz pozostała działalność u</w:t>
      </w:r>
      <w:r w:rsidR="00CC4AB1" w:rsidRPr="00CC4AB1">
        <w:rPr>
          <w:rFonts w:ascii="Times New Roman" w:hAnsi="Times New Roman"/>
          <w:b/>
          <w:color w:val="FF0000"/>
        </w:rPr>
        <w:t xml:space="preserve">sługowa w zakresie </w:t>
      </w:r>
      <w:r w:rsidR="00CC4AB1" w:rsidRPr="00830009">
        <w:rPr>
          <w:rFonts w:ascii="Times New Roman" w:hAnsi="Times New Roman"/>
          <w:b/>
          <w:color w:val="FF0000"/>
        </w:rPr>
        <w:t xml:space="preserve">informacji”- cały dział: </w:t>
      </w:r>
      <w:r w:rsidR="00FC7E9E" w:rsidRPr="00830009">
        <w:rPr>
          <w:rFonts w:ascii="Times New Roman" w:hAnsi="Times New Roman"/>
          <w:b/>
          <w:color w:val="FF0000"/>
        </w:rPr>
        <w:t>61, 62, 63</w:t>
      </w:r>
    </w:p>
    <w:p w14:paraId="6840D113" w14:textId="1F10EA2F" w:rsidR="00CC4AB1" w:rsidRPr="00830009" w:rsidRDefault="00D96ACB" w:rsidP="00CC4AB1">
      <w:pPr>
        <w:pStyle w:val="Akapitzlist"/>
        <w:numPr>
          <w:ilvl w:val="0"/>
          <w:numId w:val="67"/>
        </w:numPr>
        <w:spacing w:after="0" w:line="276" w:lineRule="auto"/>
        <w:jc w:val="both"/>
        <w:rPr>
          <w:rFonts w:ascii="Times New Roman" w:hAnsi="Times New Roman"/>
          <w:b/>
          <w:color w:val="FF0000"/>
        </w:rPr>
      </w:pPr>
      <w:r w:rsidRPr="00830009">
        <w:rPr>
          <w:rFonts w:ascii="Times New Roman" w:hAnsi="Times New Roman"/>
          <w:b/>
          <w:color w:val="FF0000"/>
        </w:rPr>
        <w:t>N „Działalność profesjonalna, naukowa i te</w:t>
      </w:r>
      <w:r w:rsidR="00CC4AB1" w:rsidRPr="00830009">
        <w:rPr>
          <w:rFonts w:ascii="Times New Roman" w:hAnsi="Times New Roman"/>
          <w:b/>
          <w:color w:val="FF0000"/>
        </w:rPr>
        <w:t xml:space="preserve">chniczna” - cały dział: </w:t>
      </w:r>
      <w:r w:rsidR="00FC7E9E" w:rsidRPr="00830009">
        <w:rPr>
          <w:rFonts w:ascii="Times New Roman" w:hAnsi="Times New Roman"/>
          <w:b/>
          <w:color w:val="FF0000"/>
        </w:rPr>
        <w:t>69, 70, 71, 72, 73, 74</w:t>
      </w:r>
      <w:r w:rsidR="00CC4AB1" w:rsidRPr="00830009">
        <w:rPr>
          <w:rFonts w:ascii="Times New Roman" w:hAnsi="Times New Roman"/>
          <w:b/>
          <w:color w:val="FF0000"/>
        </w:rPr>
        <w:t xml:space="preserve">, </w:t>
      </w:r>
      <w:r w:rsidR="00FC7E9E" w:rsidRPr="00830009">
        <w:rPr>
          <w:rFonts w:ascii="Times New Roman" w:hAnsi="Times New Roman"/>
          <w:b/>
          <w:color w:val="FF0000"/>
        </w:rPr>
        <w:t>75</w:t>
      </w:r>
    </w:p>
    <w:p w14:paraId="11DFB73A" w14:textId="0F02F2CF" w:rsidR="00997A24" w:rsidRPr="00830009" w:rsidRDefault="00997A24" w:rsidP="00997A24">
      <w:pPr>
        <w:pStyle w:val="Akapitzlist"/>
        <w:numPr>
          <w:ilvl w:val="0"/>
          <w:numId w:val="67"/>
        </w:numPr>
        <w:spacing w:after="0" w:line="276" w:lineRule="auto"/>
        <w:jc w:val="both"/>
        <w:rPr>
          <w:rFonts w:ascii="Times New Roman" w:hAnsi="Times New Roman"/>
          <w:b/>
          <w:color w:val="FF0000"/>
        </w:rPr>
      </w:pPr>
      <w:r w:rsidRPr="00830009">
        <w:rPr>
          <w:rFonts w:ascii="Times New Roman" w:hAnsi="Times New Roman"/>
          <w:b/>
          <w:color w:val="FF0000"/>
        </w:rPr>
        <w:t xml:space="preserve">O „Działalność w zakresie usług administrowania i działalność wspierająca” - cały dział: </w:t>
      </w:r>
      <w:r w:rsidR="00FC7E9E" w:rsidRPr="00830009">
        <w:rPr>
          <w:rFonts w:ascii="Times New Roman" w:hAnsi="Times New Roman"/>
          <w:b/>
          <w:color w:val="FF0000"/>
        </w:rPr>
        <w:t>77. 78, 79, 80, 81, 82</w:t>
      </w:r>
    </w:p>
    <w:p w14:paraId="2B852569" w14:textId="1B20299F" w:rsidR="00CC4AB1" w:rsidRPr="00830009" w:rsidRDefault="00CC4AB1" w:rsidP="00142EEC">
      <w:pPr>
        <w:pStyle w:val="Akapitzlist"/>
        <w:numPr>
          <w:ilvl w:val="0"/>
          <w:numId w:val="67"/>
        </w:numPr>
        <w:rPr>
          <w:rFonts w:ascii="Times New Roman" w:hAnsi="Times New Roman"/>
          <w:b/>
          <w:color w:val="FF0000"/>
        </w:rPr>
      </w:pPr>
      <w:r w:rsidRPr="00830009">
        <w:rPr>
          <w:rFonts w:ascii="Times New Roman" w:hAnsi="Times New Roman"/>
          <w:b/>
          <w:color w:val="FF0000"/>
        </w:rPr>
        <w:t xml:space="preserve">Q „Edukacja” - cały dział: </w:t>
      </w:r>
      <w:r w:rsidR="00287AE7" w:rsidRPr="00830009">
        <w:rPr>
          <w:rFonts w:ascii="Times New Roman" w:hAnsi="Times New Roman"/>
          <w:b/>
          <w:color w:val="FF0000"/>
        </w:rPr>
        <w:t>85</w:t>
      </w:r>
      <w:r w:rsidR="00142EEC" w:rsidRPr="00830009">
        <w:rPr>
          <w:rFonts w:ascii="Times New Roman" w:hAnsi="Times New Roman"/>
          <w:b/>
          <w:color w:val="FF0000"/>
        </w:rPr>
        <w:t>.5 Pozostałe formy edukacji oraz 85.6 Działalność wspomagająca edukację</w:t>
      </w:r>
    </w:p>
    <w:p w14:paraId="14BCC955" w14:textId="23BFA9B9" w:rsidR="00CC4AB1" w:rsidRPr="00CC4AB1" w:rsidRDefault="00F21FBA" w:rsidP="00CC4AB1">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t>S „Działalność związana z ku</w:t>
      </w:r>
      <w:r w:rsidR="00CC4AB1" w:rsidRPr="00CC4AB1">
        <w:rPr>
          <w:rFonts w:ascii="Times New Roman" w:hAnsi="Times New Roman"/>
          <w:b/>
          <w:color w:val="FF0000"/>
        </w:rPr>
        <w:t xml:space="preserve">lturą, sportem i rekreacją” - cały dział: </w:t>
      </w:r>
      <w:r w:rsidR="00287AE7">
        <w:rPr>
          <w:rFonts w:ascii="Times New Roman" w:hAnsi="Times New Roman"/>
          <w:b/>
          <w:color w:val="FF0000"/>
        </w:rPr>
        <w:t>90, 91, 92, 93</w:t>
      </w:r>
    </w:p>
    <w:p w14:paraId="3D594188" w14:textId="22D104B8" w:rsidR="00CC4AB1" w:rsidRPr="00CC4AB1" w:rsidRDefault="00F21FBA" w:rsidP="00CC4AB1">
      <w:pPr>
        <w:pStyle w:val="Akapitzlist"/>
        <w:numPr>
          <w:ilvl w:val="0"/>
          <w:numId w:val="67"/>
        </w:numPr>
        <w:spacing w:after="0" w:line="276" w:lineRule="auto"/>
        <w:jc w:val="both"/>
        <w:rPr>
          <w:rFonts w:ascii="Times New Roman" w:hAnsi="Times New Roman"/>
          <w:b/>
          <w:color w:val="FF0000"/>
        </w:rPr>
      </w:pPr>
      <w:r w:rsidRPr="00CC4AB1">
        <w:rPr>
          <w:rFonts w:ascii="Times New Roman" w:hAnsi="Times New Roman"/>
          <w:b/>
          <w:color w:val="FF0000"/>
        </w:rPr>
        <w:lastRenderedPageBreak/>
        <w:t>T „Pozostała działalność usługowa”</w:t>
      </w:r>
      <w:r w:rsidR="00CC4AB1" w:rsidRPr="00CC4AB1">
        <w:rPr>
          <w:rFonts w:ascii="Times New Roman" w:hAnsi="Times New Roman"/>
          <w:b/>
          <w:color w:val="FF0000"/>
        </w:rPr>
        <w:t xml:space="preserve"> - cały dział: </w:t>
      </w:r>
      <w:r w:rsidR="00287AE7">
        <w:rPr>
          <w:rFonts w:ascii="Times New Roman" w:hAnsi="Times New Roman"/>
          <w:b/>
          <w:color w:val="FF0000"/>
        </w:rPr>
        <w:t>94, 95, 96</w:t>
      </w:r>
    </w:p>
    <w:p w14:paraId="1BB642FD" w14:textId="2AEF9BD7" w:rsidR="00C3700B" w:rsidRPr="00CC4AB1" w:rsidRDefault="00686DFE" w:rsidP="00CC4AB1">
      <w:pPr>
        <w:spacing w:after="0" w:line="276" w:lineRule="auto"/>
        <w:jc w:val="both"/>
        <w:rPr>
          <w:rFonts w:ascii="Times New Roman" w:hAnsi="Times New Roman"/>
          <w:b/>
        </w:rPr>
      </w:pPr>
      <w:r w:rsidRPr="00CC4AB1">
        <w:rPr>
          <w:rFonts w:ascii="Times New Roman" w:hAnsi="Times New Roman"/>
        </w:rPr>
        <w:t>Dokonano skoncentrowania, w celu jak najlepszego wykorzystania p</w:t>
      </w:r>
      <w:r w:rsidR="00CC4AB1">
        <w:rPr>
          <w:rFonts w:ascii="Times New Roman" w:hAnsi="Times New Roman"/>
        </w:rPr>
        <w:t>osiadanych zasobów finansowych.</w:t>
      </w:r>
    </w:p>
    <w:p w14:paraId="57C7614E" w14:textId="573E129D" w:rsidR="00686DFE" w:rsidRPr="00CE5D9A" w:rsidRDefault="00686DFE" w:rsidP="00D96ACB">
      <w:pPr>
        <w:spacing w:after="0" w:line="276" w:lineRule="auto"/>
        <w:ind w:firstLine="708"/>
        <w:jc w:val="both"/>
        <w:rPr>
          <w:rFonts w:ascii="Times New Roman" w:hAnsi="Times New Roman"/>
        </w:rPr>
      </w:pPr>
      <w:r w:rsidRPr="00CE5D9A">
        <w:rPr>
          <w:rFonts w:ascii="Times New Roman" w:hAnsi="Times New Roman"/>
        </w:rPr>
        <w:t>W związku z tym, w</w:t>
      </w:r>
      <w:r w:rsidRPr="00CE5D9A">
        <w:rPr>
          <w:rFonts w:ascii="Times New Roman" w:hAnsi="Times New Roman"/>
          <w:i/>
          <w:iCs/>
        </w:rPr>
        <w:t> </w:t>
      </w:r>
      <w:r w:rsidRPr="00CE5D9A">
        <w:rPr>
          <w:rFonts w:ascii="Times New Roman" w:hAnsi="Times New Roman"/>
        </w:rPr>
        <w:t>oparciu o lokalne zasoby oraz zgłaszane potrzeby i zdiagnozowane problemy, wsparcie przeznaczone będzie na gospodarkę czasu wolnego, a więc wszelkie działalności, które mają na celu wzrost dostępności i jakości usług dla lokalnej społeczności oraz turystów, w tym dla osób z niepełnosprawnościami w zakresie rekreacji, sportu, spędzania czasu wolnego, w tym samorozwoju oraz zwiększenie tożsamości lokalnej wśród mieszkańców. Przykładowo mogą to być siłownie, infrastruktura rekreacyjna, usługi w zakresie promocji lokalnych tradycji oraz rękodzieła, robotyka, oferta kulturalna itp.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sidRPr="00CE5D9A">
        <w:rPr>
          <w:rFonts w:ascii="Times New Roman" w:hAnsi="Times New Roman"/>
          <w:i/>
          <w:iCs/>
        </w:rPr>
        <w:t xml:space="preserve"> </w:t>
      </w:r>
      <w:r w:rsidRPr="00CE5D9A">
        <w:rPr>
          <w:rFonts w:ascii="Times New Roman" w:hAnsi="Times New Roman"/>
        </w:rPr>
        <w:t xml:space="preserve">Dodatkowo będzie możliwość zakupu wyposażenia i rzeczy niezbędnych do realizacji operacji, takich jak wyposażenie biurowe, rzeczy do prowadzenia zajęć itp. </w:t>
      </w:r>
      <w:r w:rsidRPr="00CE5D9A">
        <w:rPr>
          <w:rFonts w:ascii="Times New Roman" w:hAnsi="Times New Roman"/>
          <w:lang w:eastAsia="pl-PL"/>
        </w:rPr>
        <w:t xml:space="preserve">Kolejno zaplanowano operacje, które dadzą możliwość rozwijania działalności w zakresie agroturystyki oraz stworzenia zagrody edukacyjnej w gospodarstwie rolnym, które będzie mogło przyjmować dzieci i młodzież w ramach programów szkolnych i aktywności pozaszkolnej, realizując cele edukacyjne związane z produkcją roślinną, zwierzęcą, przetwórstwem, świadomością ekologiczną i konsumencką, dziedzictwem kultury materialnej wsi, tradycyjnymi zawodami, rękodziełem i twórczością ludową. </w:t>
      </w:r>
    </w:p>
    <w:p w14:paraId="16ECDCFB" w14:textId="77777777" w:rsidR="00686DFE" w:rsidRPr="00CE5D9A" w:rsidRDefault="00686DFE">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bCs/>
          <w:i w:val="0"/>
          <w:iCs w:val="0"/>
          <w:color w:val="auto"/>
          <w:sz w:val="22"/>
          <w:szCs w:val="22"/>
        </w:rPr>
        <w:t>Planowane przedsięwzięcia będą realizowane przez podmioty z różny</w:t>
      </w:r>
      <w:r w:rsidR="00B57A1E" w:rsidRPr="00CE5D9A">
        <w:rPr>
          <w:rFonts w:ascii="Times New Roman" w:hAnsi="Times New Roman"/>
          <w:bCs/>
          <w:i w:val="0"/>
          <w:iCs w:val="0"/>
          <w:color w:val="auto"/>
          <w:sz w:val="22"/>
          <w:szCs w:val="22"/>
        </w:rPr>
        <w:t>ch sektorów, uzupełniając się i </w:t>
      </w:r>
      <w:r w:rsidRPr="00CE5D9A">
        <w:rPr>
          <w:rFonts w:ascii="Times New Roman" w:hAnsi="Times New Roman"/>
          <w:bCs/>
          <w:i w:val="0"/>
          <w:iCs w:val="0"/>
          <w:color w:val="auto"/>
          <w:sz w:val="22"/>
          <w:szCs w:val="22"/>
        </w:rPr>
        <w:t>tworząc tzw. wartość dodaną w rozwoju obszaru LGD. W ramach przedsięwzięć realizowane będą operacje wykorzystujące różne zasoby przyrodnicze, kulturowe, historyczne i społeczne obszaru. Wszystkie prz</w:t>
      </w:r>
      <w:r w:rsidR="00B57A1E" w:rsidRPr="00CE5D9A">
        <w:rPr>
          <w:rFonts w:ascii="Times New Roman" w:hAnsi="Times New Roman"/>
          <w:bCs/>
          <w:i w:val="0"/>
          <w:iCs w:val="0"/>
          <w:color w:val="auto"/>
          <w:sz w:val="22"/>
          <w:szCs w:val="22"/>
        </w:rPr>
        <w:t xml:space="preserve">edsięwzięcia przewidziane </w:t>
      </w:r>
      <w:r w:rsidRPr="00CE5D9A">
        <w:rPr>
          <w:rFonts w:ascii="Times New Roman" w:hAnsi="Times New Roman"/>
          <w:bCs/>
          <w:i w:val="0"/>
          <w:iCs w:val="0"/>
          <w:color w:val="auto"/>
          <w:sz w:val="22"/>
          <w:szCs w:val="22"/>
        </w:rPr>
        <w:t>w</w:t>
      </w:r>
      <w:r w:rsidR="00B57A1E" w:rsidRPr="00CE5D9A">
        <w:rPr>
          <w:rFonts w:ascii="Times New Roman" w:hAnsi="Times New Roman"/>
          <w:bCs/>
          <w:i w:val="0"/>
          <w:iCs w:val="0"/>
          <w:color w:val="auto"/>
          <w:sz w:val="22"/>
          <w:szCs w:val="22"/>
        </w:rPr>
        <w:t> </w:t>
      </w:r>
      <w:r w:rsidRPr="00CE5D9A">
        <w:rPr>
          <w:rFonts w:ascii="Times New Roman" w:hAnsi="Times New Roman"/>
          <w:bCs/>
          <w:i w:val="0"/>
          <w:iCs w:val="0"/>
          <w:color w:val="auto"/>
          <w:sz w:val="22"/>
          <w:szCs w:val="22"/>
        </w:rPr>
        <w:t xml:space="preserve">ramach LSR są zintegrowane i mają na celu wzrost aktywności gospodarczej i społecznej. </w:t>
      </w:r>
    </w:p>
    <w:p w14:paraId="17E65563" w14:textId="3F628A96" w:rsidR="00686DFE" w:rsidRPr="00CE5D9A" w:rsidRDefault="00686DFE">
      <w:pPr>
        <w:pStyle w:val="Legenda"/>
        <w:spacing w:after="0" w:line="276" w:lineRule="auto"/>
        <w:ind w:firstLine="708"/>
        <w:jc w:val="both"/>
        <w:rPr>
          <w:rFonts w:ascii="Times New Roman" w:hAnsi="Times New Roman"/>
          <w:i w:val="0"/>
          <w:iCs w:val="0"/>
          <w:color w:val="auto"/>
          <w:sz w:val="22"/>
          <w:szCs w:val="22"/>
          <w:lang w:eastAsia="pl-PL"/>
        </w:rPr>
      </w:pPr>
      <w:r w:rsidRPr="00CE5D9A">
        <w:rPr>
          <w:rFonts w:ascii="Times New Roman" w:hAnsi="Times New Roman"/>
          <w:i w:val="0"/>
          <w:iCs w:val="0"/>
          <w:color w:val="auto"/>
          <w:sz w:val="22"/>
          <w:szCs w:val="22"/>
        </w:rPr>
        <w:t xml:space="preserve">W ramach celu przewidziano również projekt </w:t>
      </w:r>
      <w:r w:rsidR="006F01E0" w:rsidRPr="00CE5D9A">
        <w:rPr>
          <w:rFonts w:ascii="Times New Roman" w:hAnsi="Times New Roman"/>
          <w:i w:val="0"/>
          <w:iCs w:val="0"/>
          <w:color w:val="auto"/>
          <w:sz w:val="22"/>
          <w:szCs w:val="22"/>
        </w:rPr>
        <w:t>grantowy</w:t>
      </w:r>
      <w:r w:rsidRPr="00CE5D9A">
        <w:rPr>
          <w:rFonts w:ascii="Times New Roman" w:hAnsi="Times New Roman"/>
          <w:i w:val="0"/>
          <w:iCs w:val="0"/>
          <w:color w:val="auto"/>
          <w:sz w:val="22"/>
          <w:szCs w:val="22"/>
        </w:rPr>
        <w:t xml:space="preserve">, który będzie </w:t>
      </w:r>
      <w:r w:rsidR="00B57A1E" w:rsidRPr="00CE5D9A">
        <w:rPr>
          <w:rFonts w:ascii="Times New Roman" w:hAnsi="Times New Roman"/>
          <w:i w:val="0"/>
          <w:iCs w:val="0"/>
          <w:color w:val="auto"/>
          <w:sz w:val="22"/>
          <w:szCs w:val="22"/>
        </w:rPr>
        <w:t>przyczyniał się do integracji i </w:t>
      </w:r>
      <w:r w:rsidRPr="00CE5D9A">
        <w:rPr>
          <w:rFonts w:ascii="Times New Roman" w:hAnsi="Times New Roman"/>
          <w:i w:val="0"/>
          <w:iCs w:val="0"/>
          <w:color w:val="auto"/>
          <w:sz w:val="22"/>
          <w:szCs w:val="22"/>
        </w:rPr>
        <w:t xml:space="preserve">wzmocnienia aktywności osób z niepełnosprawnościami i ich opiekunów. Podejmowane działania polegać będą na </w:t>
      </w:r>
      <w:r w:rsidRPr="00CE5D9A">
        <w:rPr>
          <w:rFonts w:ascii="Times New Roman" w:hAnsi="Times New Roman"/>
          <w:i w:val="0"/>
          <w:iCs w:val="0"/>
          <w:color w:val="auto"/>
          <w:sz w:val="22"/>
          <w:szCs w:val="22"/>
          <w:lang w:eastAsia="pl-PL"/>
        </w:rPr>
        <w:t>wyrównywaniu szans osób z niepełnosprawnościami, przeciwdziałaniu ich wykluczeniu społecznemu</w:t>
      </w:r>
      <w:r w:rsidRPr="00CE5D9A">
        <w:rPr>
          <w:rFonts w:ascii="Times New Roman" w:hAnsi="Times New Roman"/>
          <w:color w:val="auto"/>
          <w:sz w:val="22"/>
          <w:szCs w:val="22"/>
          <w:lang w:eastAsia="pl-PL"/>
        </w:rPr>
        <w:t xml:space="preserve"> </w:t>
      </w:r>
      <w:r w:rsidRPr="00CE5D9A">
        <w:rPr>
          <w:rFonts w:ascii="Times New Roman" w:hAnsi="Times New Roman"/>
          <w:i w:val="0"/>
          <w:iCs w:val="0"/>
          <w:color w:val="auto"/>
          <w:sz w:val="22"/>
          <w:szCs w:val="22"/>
          <w:lang w:eastAsia="pl-PL"/>
        </w:rPr>
        <w:t>oraz umożliwieniu im pełnego rozwoju na płaszczyźnie społecznej i edukacyjnej. Dla realizacji przedmiotowych założeń niezbędna jest wysoka aktywność i współpraca organizacji pozarządowych, wolontariatu, podmiotów niepublicznych i wielu innych partnerów społecznych, dająca możliwość niwelowania wszelkich barier w życiu społecznym i zawodowym osób z niepełnosprawnościami, a także podnosząca świadomość i wiedzę wszystkich uczestników interakcji społecznych na temat problemów i potrzeb tych osób.</w:t>
      </w:r>
    </w:p>
    <w:p w14:paraId="7A668663" w14:textId="2CD3E865" w:rsidR="00686DFE" w:rsidRPr="00F03728" w:rsidRDefault="00686DFE">
      <w:pPr>
        <w:pStyle w:val="Legenda"/>
        <w:spacing w:after="0" w:line="276" w:lineRule="auto"/>
        <w:ind w:firstLine="708"/>
        <w:jc w:val="both"/>
        <w:rPr>
          <w:rFonts w:ascii="Times New Roman" w:hAnsi="Times New Roman"/>
          <w:i w:val="0"/>
          <w:iCs w:val="0"/>
          <w:color w:val="00B0F0"/>
          <w:sz w:val="22"/>
          <w:szCs w:val="22"/>
        </w:rPr>
      </w:pPr>
      <w:r w:rsidRPr="00CE5D9A">
        <w:rPr>
          <w:rFonts w:ascii="Times New Roman" w:hAnsi="Times New Roman"/>
          <w:i w:val="0"/>
          <w:iCs w:val="0"/>
          <w:color w:val="auto"/>
          <w:sz w:val="22"/>
          <w:szCs w:val="22"/>
        </w:rPr>
        <w:t>Uzupełnieniem będą operacje realizowane w ramach FEM z zakresu wspierania oddolnych inicjatyw na rzecz aktywnego włączenia społecznego poprzez aktywizację zawodową, edukacyjną, a także kulturalną osób zagrożonych ubóstwem i wykluczeniem społecznym oraz biernych zawodowo, w tym szczególnie osób z niepełnosprawnościami oraz ich opiekunów, a także rozwoju usług społecznych.</w:t>
      </w:r>
      <w:r w:rsidR="00695C4C">
        <w:rPr>
          <w:rFonts w:ascii="Times New Roman" w:hAnsi="Times New Roman"/>
          <w:i w:val="0"/>
          <w:iCs w:val="0"/>
          <w:color w:val="auto"/>
          <w:sz w:val="22"/>
          <w:szCs w:val="22"/>
        </w:rPr>
        <w:t xml:space="preserve"> </w:t>
      </w:r>
    </w:p>
    <w:p w14:paraId="58BAD5E3" w14:textId="56E4E173" w:rsidR="00686DFE" w:rsidRPr="00CE5D9A" w:rsidRDefault="00686DFE">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Lokalna Strategia Rozwoju</w:t>
      </w:r>
      <w:r w:rsidR="00007063">
        <w:rPr>
          <w:rFonts w:ascii="Times New Roman" w:hAnsi="Times New Roman"/>
          <w:i w:val="0"/>
          <w:iCs w:val="0"/>
          <w:color w:val="auto"/>
          <w:sz w:val="22"/>
          <w:szCs w:val="22"/>
        </w:rPr>
        <w:t xml:space="preserve"> </w:t>
      </w:r>
      <w:r w:rsidR="00007063" w:rsidRPr="00007063">
        <w:rPr>
          <w:rFonts w:ascii="Times New Roman" w:hAnsi="Times New Roman"/>
          <w:i w:val="0"/>
          <w:iCs w:val="0"/>
          <w:color w:val="FF0000"/>
          <w:sz w:val="22"/>
          <w:szCs w:val="22"/>
        </w:rPr>
        <w:t>LGD Regionu Myślenickiego</w:t>
      </w:r>
      <w:r w:rsidRPr="00007063">
        <w:rPr>
          <w:rFonts w:ascii="Times New Roman" w:hAnsi="Times New Roman"/>
          <w:i w:val="0"/>
          <w:iCs w:val="0"/>
          <w:color w:val="FF0000"/>
          <w:sz w:val="22"/>
          <w:szCs w:val="22"/>
        </w:rPr>
        <w:t xml:space="preserve"> </w:t>
      </w:r>
      <w:r w:rsidRPr="00007063">
        <w:rPr>
          <w:rFonts w:ascii="Times New Roman" w:hAnsi="Times New Roman"/>
          <w:i w:val="0"/>
          <w:iCs w:val="0"/>
          <w:strike/>
          <w:color w:val="FF0000"/>
          <w:sz w:val="22"/>
          <w:szCs w:val="22"/>
        </w:rPr>
        <w:t>Stowarzyszenia Lokalna Grupa Działania „Między Dalinem i Gościbią”</w:t>
      </w:r>
      <w:r w:rsidRPr="00007063">
        <w:rPr>
          <w:rFonts w:ascii="Times New Roman" w:hAnsi="Times New Roman"/>
          <w:i w:val="0"/>
          <w:iCs w:val="0"/>
          <w:color w:val="FF0000"/>
          <w:sz w:val="22"/>
          <w:szCs w:val="22"/>
        </w:rPr>
        <w:t xml:space="preserve"> </w:t>
      </w:r>
      <w:r w:rsidRPr="00CE5D9A">
        <w:rPr>
          <w:rFonts w:ascii="Times New Roman" w:hAnsi="Times New Roman"/>
          <w:i w:val="0"/>
          <w:iCs w:val="0"/>
          <w:color w:val="auto"/>
          <w:sz w:val="22"/>
          <w:szCs w:val="22"/>
        </w:rPr>
        <w:t>to strategia wielofunduszowa, w związku z tym Cel LSR będzie finansowany z</w:t>
      </w:r>
      <w:r w:rsidR="00007063">
        <w:rPr>
          <w:rFonts w:ascii="Times New Roman" w:hAnsi="Times New Roman"/>
          <w:i w:val="0"/>
          <w:iCs w:val="0"/>
          <w:color w:val="auto"/>
          <w:sz w:val="22"/>
          <w:szCs w:val="22"/>
        </w:rPr>
        <w:t xml:space="preserve"> dwóch źródeł. Przedsięwzięcia </w:t>
      </w:r>
      <w:r w:rsidRPr="00CE5D9A">
        <w:rPr>
          <w:rFonts w:ascii="Times New Roman" w:hAnsi="Times New Roman"/>
          <w:i w:val="0"/>
          <w:iCs w:val="0"/>
          <w:color w:val="auto"/>
          <w:sz w:val="22"/>
          <w:szCs w:val="22"/>
        </w:rPr>
        <w:t>1.1–1.</w:t>
      </w:r>
      <w:r w:rsidRPr="00BE766B">
        <w:rPr>
          <w:rFonts w:ascii="Times New Roman" w:hAnsi="Times New Roman"/>
          <w:i w:val="0"/>
          <w:iCs w:val="0"/>
          <w:color w:val="FF0000"/>
          <w:sz w:val="22"/>
          <w:szCs w:val="22"/>
        </w:rPr>
        <w:t>1</w:t>
      </w:r>
      <w:r w:rsidR="00007063">
        <w:rPr>
          <w:rFonts w:ascii="Times New Roman" w:hAnsi="Times New Roman"/>
          <w:i w:val="0"/>
          <w:iCs w:val="0"/>
          <w:color w:val="FF0000"/>
          <w:sz w:val="22"/>
          <w:szCs w:val="22"/>
        </w:rPr>
        <w:t>1</w:t>
      </w:r>
      <w:r w:rsidRPr="00CE5D9A">
        <w:rPr>
          <w:rFonts w:ascii="Times New Roman" w:hAnsi="Times New Roman"/>
          <w:i w:val="0"/>
          <w:iCs w:val="0"/>
          <w:color w:val="auto"/>
          <w:sz w:val="22"/>
          <w:szCs w:val="22"/>
        </w:rPr>
        <w:t xml:space="preserve"> będą finansowane ze środków Europejskiego Funduszu Rolnego na rzecz Rozwoju Obszarów Wiejskich w ramach </w:t>
      </w:r>
      <w:r w:rsidRPr="00CE5D9A">
        <w:rPr>
          <w:rFonts w:ascii="Times New Roman" w:hAnsi="Times New Roman"/>
          <w:color w:val="auto"/>
          <w:sz w:val="22"/>
          <w:szCs w:val="22"/>
        </w:rPr>
        <w:t>Planu Strategicznego dla Wspólnej Polityki Rolnej na lata 2023–2027</w:t>
      </w:r>
      <w:r w:rsidRPr="00CE5D9A">
        <w:rPr>
          <w:rFonts w:ascii="Times New Roman" w:hAnsi="Times New Roman"/>
          <w:i w:val="0"/>
          <w:iCs w:val="0"/>
          <w:color w:val="auto"/>
          <w:sz w:val="22"/>
          <w:szCs w:val="22"/>
        </w:rPr>
        <w:t>, natomiast przedsięwzięcie</w:t>
      </w:r>
      <w:r w:rsidR="00007063">
        <w:rPr>
          <w:rFonts w:ascii="Times New Roman" w:hAnsi="Times New Roman"/>
          <w:i w:val="0"/>
          <w:iCs w:val="0"/>
          <w:color w:val="auto"/>
          <w:sz w:val="22"/>
          <w:szCs w:val="22"/>
        </w:rPr>
        <w:t xml:space="preserve">a </w:t>
      </w:r>
      <w:r w:rsidR="00007063" w:rsidRPr="00007063">
        <w:rPr>
          <w:rFonts w:ascii="Times New Roman" w:hAnsi="Times New Roman"/>
          <w:i w:val="0"/>
          <w:iCs w:val="0"/>
          <w:color w:val="FF0000"/>
          <w:sz w:val="22"/>
          <w:szCs w:val="22"/>
        </w:rPr>
        <w:t>1.12 oraz</w:t>
      </w:r>
      <w:r w:rsidRPr="00007063">
        <w:rPr>
          <w:rFonts w:ascii="Times New Roman" w:hAnsi="Times New Roman"/>
          <w:i w:val="0"/>
          <w:iCs w:val="0"/>
          <w:color w:val="FF0000"/>
          <w:sz w:val="22"/>
          <w:szCs w:val="22"/>
        </w:rPr>
        <w:t xml:space="preserve"> 1.1</w:t>
      </w:r>
      <w:r w:rsidR="00007063" w:rsidRPr="00007063">
        <w:rPr>
          <w:rFonts w:ascii="Times New Roman" w:hAnsi="Times New Roman"/>
          <w:i w:val="0"/>
          <w:iCs w:val="0"/>
          <w:color w:val="FF0000"/>
          <w:sz w:val="22"/>
          <w:szCs w:val="22"/>
        </w:rPr>
        <w:t>3</w:t>
      </w:r>
      <w:r w:rsidRPr="00007063">
        <w:rPr>
          <w:rFonts w:ascii="Times New Roman" w:hAnsi="Times New Roman"/>
          <w:i w:val="0"/>
          <w:iCs w:val="0"/>
          <w:color w:val="FF0000"/>
          <w:sz w:val="22"/>
          <w:szCs w:val="22"/>
        </w:rPr>
        <w:t xml:space="preserve"> </w:t>
      </w:r>
      <w:r w:rsidRPr="00CE5D9A">
        <w:rPr>
          <w:rFonts w:ascii="Times New Roman" w:hAnsi="Times New Roman"/>
          <w:i w:val="0"/>
          <w:iCs w:val="0"/>
          <w:color w:val="auto"/>
          <w:sz w:val="22"/>
          <w:szCs w:val="22"/>
        </w:rPr>
        <w:t>będzie finansowane z Europejskiego Funduszu Rozwoju Regionalnego (EFRR), zaś 1.</w:t>
      </w:r>
      <w:r w:rsidR="00007063">
        <w:rPr>
          <w:rFonts w:ascii="Times New Roman" w:hAnsi="Times New Roman"/>
          <w:i w:val="0"/>
          <w:iCs w:val="0"/>
          <w:color w:val="FF0000"/>
          <w:sz w:val="22"/>
          <w:szCs w:val="22"/>
        </w:rPr>
        <w:t>14</w:t>
      </w:r>
      <w:r w:rsidRPr="00CE5D9A">
        <w:rPr>
          <w:rFonts w:ascii="Times New Roman" w:hAnsi="Times New Roman"/>
          <w:i w:val="0"/>
          <w:iCs w:val="0"/>
          <w:color w:val="auto"/>
          <w:sz w:val="22"/>
          <w:szCs w:val="22"/>
        </w:rPr>
        <w:t xml:space="preserve"> z Europejskiego Funduszu społecznego Plus (EFS+) będą finansowane w ramach programu regionalnego Fundusze Europejskie dla Małopolski 2021–2027</w:t>
      </w:r>
      <w:r w:rsidR="009109A7">
        <w:rPr>
          <w:rFonts w:ascii="Times New Roman" w:hAnsi="Times New Roman"/>
          <w:i w:val="0"/>
          <w:iCs w:val="0"/>
          <w:color w:val="auto"/>
          <w:sz w:val="22"/>
          <w:szCs w:val="22"/>
        </w:rPr>
        <w:t>.</w:t>
      </w:r>
    </w:p>
    <w:p w14:paraId="6EB4EFDD" w14:textId="77777777" w:rsidR="005A0BED" w:rsidRPr="00CE5D9A" w:rsidRDefault="00686DFE" w:rsidP="005A0BED">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Wszystkie projekty realizowane w ramach celu będą musiały być zgodne z zasadami horyzontalnymi.</w:t>
      </w:r>
    </w:p>
    <w:p w14:paraId="5B6D9EE0" w14:textId="5E61F305" w:rsidR="005A0BED" w:rsidRPr="00CE5D9A" w:rsidRDefault="005A0BED" w:rsidP="005A0BED">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Wskaźniki rezultatu w ramach PS WPR będą realizowane poprzez następujące przedsięwzięcia:</w:t>
      </w:r>
    </w:p>
    <w:p w14:paraId="1774EF0A" w14:textId="2B754067" w:rsidR="005A0BED" w:rsidRPr="00CE5D9A" w:rsidRDefault="005A0BED" w:rsidP="005A0BED">
      <w:pPr>
        <w:pStyle w:val="Akapitzlist"/>
        <w:numPr>
          <w:ilvl w:val="0"/>
          <w:numId w:val="64"/>
        </w:numPr>
        <w:spacing w:line="276" w:lineRule="auto"/>
        <w:jc w:val="both"/>
        <w:rPr>
          <w:rFonts w:ascii="Times New Roman" w:hAnsi="Times New Roman"/>
        </w:rPr>
      </w:pPr>
      <w:r w:rsidRPr="00CE5D9A">
        <w:rPr>
          <w:rFonts w:ascii="Times New Roman" w:hAnsi="Times New Roman"/>
        </w:rPr>
        <w:t>wskaźnik rezultatu W 1.1 R.37 Wzrost gospodarczy i zatrudnienie na obszarach wiejskich: nowe miejsca pracy objęte wsparciem w ramach projektów WPR ¬ wskaźnik zostanie osiągnięty przez realizację przedsięwzięć 1.</w:t>
      </w:r>
      <w:r w:rsidR="00CC4E99" w:rsidRPr="00CE5D9A">
        <w:rPr>
          <w:rFonts w:ascii="Times New Roman" w:hAnsi="Times New Roman"/>
        </w:rPr>
        <w:t>10</w:t>
      </w:r>
      <w:r w:rsidRPr="00CE5D9A">
        <w:rPr>
          <w:rFonts w:ascii="Times New Roman" w:hAnsi="Times New Roman"/>
        </w:rPr>
        <w:t xml:space="preserve"> i 1.</w:t>
      </w:r>
      <w:r w:rsidR="00CC4E99" w:rsidRPr="00CE5D9A">
        <w:rPr>
          <w:rFonts w:ascii="Times New Roman" w:hAnsi="Times New Roman"/>
        </w:rPr>
        <w:t>11</w:t>
      </w:r>
      <w:r w:rsidRPr="00CE5D9A">
        <w:rPr>
          <w:rFonts w:ascii="Times New Roman" w:hAnsi="Times New Roman"/>
        </w:rPr>
        <w:t>, które odnoszą się do rozwoju i podejmowania działalności gospodarczych. Zwiększenie działalności gospodarczych na obszarze wygeneruje nowe miejsca pracy. Zgodnie z uwagami do opisu wskaźników ze strony Ministerstwa wliczone zostaną utworzone miejsca pracy oraz miejsca zabezpieczone, a także samozatrudnienie.</w:t>
      </w:r>
    </w:p>
    <w:p w14:paraId="7C03092D" w14:textId="58872789" w:rsidR="005A0BED" w:rsidRPr="00CE5D9A" w:rsidRDefault="005A0BED" w:rsidP="005A0BED">
      <w:pPr>
        <w:pStyle w:val="Akapitzlist"/>
        <w:numPr>
          <w:ilvl w:val="0"/>
          <w:numId w:val="64"/>
        </w:numPr>
        <w:spacing w:line="276" w:lineRule="auto"/>
        <w:jc w:val="both"/>
        <w:rPr>
          <w:rFonts w:ascii="Times New Roman" w:hAnsi="Times New Roman"/>
        </w:rPr>
      </w:pPr>
      <w:r w:rsidRPr="00CE5D9A">
        <w:rPr>
          <w:rFonts w:ascii="Times New Roman" w:hAnsi="Times New Roman"/>
        </w:rPr>
        <w:t xml:space="preserve">wskaźnik rezultatu W 1.2 R.41PR Łączenie obszarów wiejskich w Europie: odsetek ludności wiejskiej korzystającej z lepszego dostępu do usług i infrastruktury dzięki wsparciu z WPR ¬ wskaźnik zostanie </w:t>
      </w:r>
      <w:r w:rsidRPr="00CE5D9A">
        <w:rPr>
          <w:rFonts w:ascii="Times New Roman" w:hAnsi="Times New Roman"/>
        </w:rPr>
        <w:lastRenderedPageBreak/>
        <w:t>osiągnięty przez realizację przedsięwzięcia 1.1</w:t>
      </w:r>
      <w:r w:rsidR="00CC4E99" w:rsidRPr="00CE5D9A">
        <w:rPr>
          <w:rFonts w:ascii="Times New Roman" w:hAnsi="Times New Roman"/>
        </w:rPr>
        <w:t>, 1.2</w:t>
      </w:r>
      <w:r w:rsidRPr="00CE5D9A">
        <w:rPr>
          <w:rFonts w:ascii="Times New Roman" w:hAnsi="Times New Roman"/>
        </w:rPr>
        <w:t xml:space="preserve"> oraz 1.</w:t>
      </w:r>
      <w:r w:rsidR="00CC4E99" w:rsidRPr="00CE5D9A">
        <w:rPr>
          <w:rFonts w:ascii="Times New Roman" w:hAnsi="Times New Roman"/>
        </w:rPr>
        <w:t>3</w:t>
      </w:r>
      <w:r w:rsidRPr="00CE5D9A">
        <w:rPr>
          <w:rFonts w:ascii="Times New Roman" w:hAnsi="Times New Roman"/>
        </w:rPr>
        <w:t xml:space="preserve">, które odnoszą się do zwiększenia i polepszenia infrastruktury publicznej na obszarze. Zakłada się, iż na terenie każdej z gmin interwencją zostanie </w:t>
      </w:r>
      <w:r w:rsidR="00D14E5E" w:rsidRPr="00CE5D9A">
        <w:rPr>
          <w:rFonts w:ascii="Times New Roman" w:hAnsi="Times New Roman"/>
        </w:rPr>
        <w:t>objęty, co</w:t>
      </w:r>
      <w:r w:rsidRPr="00CE5D9A">
        <w:rPr>
          <w:rFonts w:ascii="Times New Roman" w:hAnsi="Times New Roman"/>
        </w:rPr>
        <w:t xml:space="preserve"> najmniej jeden obiekt. </w:t>
      </w:r>
      <w:r w:rsidRPr="00830009">
        <w:rPr>
          <w:rFonts w:ascii="Times New Roman" w:hAnsi="Times New Roman"/>
          <w:strike/>
          <w:color w:val="FF0000"/>
        </w:rPr>
        <w:t>Z obiektów objętych wsparciem w ramach realizacji przedsięwzięcia łącznie skorzysta 15 300 osób.</w:t>
      </w:r>
      <w:r w:rsidR="00BD1D11" w:rsidRPr="00830009">
        <w:rPr>
          <w:rFonts w:ascii="Times New Roman" w:hAnsi="Times New Roman"/>
          <w:color w:val="FF0000"/>
        </w:rPr>
        <w:t xml:space="preserve"> </w:t>
      </w:r>
    </w:p>
    <w:p w14:paraId="1B840C8B" w14:textId="7D694FEE" w:rsidR="005A0BED" w:rsidRPr="00142EEC" w:rsidRDefault="005A0BED" w:rsidP="005A0BED">
      <w:pPr>
        <w:pStyle w:val="Akapitzlist"/>
        <w:numPr>
          <w:ilvl w:val="0"/>
          <w:numId w:val="64"/>
        </w:numPr>
        <w:spacing w:line="276" w:lineRule="auto"/>
        <w:jc w:val="both"/>
        <w:rPr>
          <w:rFonts w:ascii="Times New Roman" w:hAnsi="Times New Roman"/>
          <w:strike/>
          <w:color w:val="00B0F0"/>
        </w:rPr>
      </w:pPr>
      <w:r w:rsidRPr="00CE5D9A">
        <w:rPr>
          <w:rFonts w:ascii="Times New Roman" w:hAnsi="Times New Roman"/>
        </w:rPr>
        <w:t>wskaźnik rezultatu W 1.3 R.42 Promowanie włączenia społecznego: liczba osób objętych wspieranymi projektami włączenia społecznego – wskaźnik zostanie osiągnięty pr</w:t>
      </w:r>
      <w:r w:rsidR="00CC4E99" w:rsidRPr="00CE5D9A">
        <w:rPr>
          <w:rFonts w:ascii="Times New Roman" w:hAnsi="Times New Roman"/>
        </w:rPr>
        <w:t>zez realizację przedsięwzięć 1.4</w:t>
      </w:r>
      <w:r w:rsidRPr="00CE5D9A">
        <w:rPr>
          <w:rFonts w:ascii="Times New Roman" w:hAnsi="Times New Roman"/>
        </w:rPr>
        <w:t>, 1.</w:t>
      </w:r>
      <w:r w:rsidR="00CC4E99" w:rsidRPr="00CE5D9A">
        <w:rPr>
          <w:rFonts w:ascii="Times New Roman" w:hAnsi="Times New Roman"/>
        </w:rPr>
        <w:t>5</w:t>
      </w:r>
      <w:r w:rsidRPr="00CE5D9A">
        <w:rPr>
          <w:rFonts w:ascii="Times New Roman" w:hAnsi="Times New Roman"/>
        </w:rPr>
        <w:t xml:space="preserve">, </w:t>
      </w:r>
      <w:r w:rsidR="00CC4E99" w:rsidRPr="00CE5D9A">
        <w:rPr>
          <w:rFonts w:ascii="Times New Roman" w:hAnsi="Times New Roman"/>
        </w:rPr>
        <w:t>1.6</w:t>
      </w:r>
      <w:r w:rsidRPr="00CE5D9A">
        <w:rPr>
          <w:rFonts w:ascii="Times New Roman" w:hAnsi="Times New Roman"/>
        </w:rPr>
        <w:t>, 1.</w:t>
      </w:r>
      <w:r w:rsidR="00CC4E99" w:rsidRPr="00CE5D9A">
        <w:rPr>
          <w:rFonts w:ascii="Times New Roman" w:hAnsi="Times New Roman"/>
        </w:rPr>
        <w:t>7, 1.8</w:t>
      </w:r>
      <w:r w:rsidRPr="00CE5D9A">
        <w:rPr>
          <w:rFonts w:ascii="Times New Roman" w:hAnsi="Times New Roman"/>
        </w:rPr>
        <w:t xml:space="preserve">, które odnoszą się do organizacji różnych wydarzeń mających na celu wzmocnienie integracji lokalnej społeczności. </w:t>
      </w:r>
      <w:r w:rsidRPr="00830009">
        <w:rPr>
          <w:rFonts w:ascii="Times New Roman" w:hAnsi="Times New Roman"/>
          <w:strike/>
          <w:color w:val="FF0000"/>
        </w:rPr>
        <w:t>Zakłada się, iż w wydarzeniach realizowanych w ramach przedsięwzięć weźmie udział min. 140 osób.</w:t>
      </w:r>
    </w:p>
    <w:p w14:paraId="64B8113C" w14:textId="4EA0940C" w:rsidR="00CC4E99" w:rsidRPr="00BE766B" w:rsidRDefault="00CC4E99" w:rsidP="00BE766B">
      <w:pPr>
        <w:pStyle w:val="Akapitzlist"/>
        <w:numPr>
          <w:ilvl w:val="0"/>
          <w:numId w:val="64"/>
        </w:numPr>
        <w:rPr>
          <w:rFonts w:ascii="Times New Roman" w:hAnsi="Times New Roman"/>
        </w:rPr>
      </w:pPr>
      <w:r w:rsidRPr="00CE5D9A">
        <w:rPr>
          <w:rFonts w:ascii="Times New Roman" w:hAnsi="Times New Roman"/>
        </w:rPr>
        <w:t>wskaźnik rezultatu W 1.4 R.40 Inteligentna przemiana gospodarki wiejskiej: liczba wspieranych strategii inteligentnych wsi – wskaźnik zostanie osiągnięty przez realizację przedsięwzięcia 1.9, które odnosi się do opracowanie koncepcji inteligentnych wiosek dla 5 miejscowości.</w:t>
      </w:r>
    </w:p>
    <w:p w14:paraId="6E7147EC" w14:textId="7CD3F532" w:rsidR="00686DFE" w:rsidRPr="00142EEC" w:rsidRDefault="005A0BED" w:rsidP="005A0BED">
      <w:pPr>
        <w:pStyle w:val="Akapitzlist"/>
        <w:numPr>
          <w:ilvl w:val="0"/>
          <w:numId w:val="64"/>
        </w:numPr>
        <w:spacing w:line="276" w:lineRule="auto"/>
        <w:jc w:val="both"/>
        <w:rPr>
          <w:rFonts w:ascii="Times New Roman" w:hAnsi="Times New Roman"/>
          <w:strike/>
          <w:color w:val="00B0F0"/>
        </w:rPr>
      </w:pPr>
      <w:r w:rsidRPr="00CE5D9A">
        <w:rPr>
          <w:rFonts w:ascii="Times New Roman" w:hAnsi="Times New Roman"/>
        </w:rPr>
        <w:t>wskaźnik rezultatu W 1.</w:t>
      </w:r>
      <w:r w:rsidR="00CC4E99" w:rsidRPr="00CE5D9A">
        <w:rPr>
          <w:rFonts w:ascii="Times New Roman" w:hAnsi="Times New Roman"/>
        </w:rPr>
        <w:t>5</w:t>
      </w:r>
      <w:r w:rsidRPr="00CE5D9A">
        <w:rPr>
          <w:rFonts w:ascii="Times New Roman" w:hAnsi="Times New Roman"/>
        </w:rPr>
        <w:t xml:space="preserve"> R.39 Rozwój gospodarki wiejskiej: liczba przedsiębiorstw rolnych, w tym przedsiębiorstw zajmujących się biogospodarką, rozwiniętych dzięki wsparciu w ramach WPR – wska</w:t>
      </w:r>
      <w:r w:rsidR="00C274D4" w:rsidRPr="00CE5D9A">
        <w:rPr>
          <w:rFonts w:ascii="Times New Roman" w:hAnsi="Times New Roman"/>
        </w:rPr>
        <w:t>ź</w:t>
      </w:r>
      <w:r w:rsidRPr="00CE5D9A">
        <w:rPr>
          <w:rFonts w:ascii="Times New Roman" w:hAnsi="Times New Roman"/>
        </w:rPr>
        <w:t>nik zostanie osiągnięty poprzez realizację przedsięwzięć 1.1</w:t>
      </w:r>
      <w:r w:rsidR="00CC4E99" w:rsidRPr="00CE5D9A">
        <w:rPr>
          <w:rFonts w:ascii="Times New Roman" w:hAnsi="Times New Roman"/>
        </w:rPr>
        <w:t>2</w:t>
      </w:r>
      <w:r w:rsidRPr="00CE5D9A">
        <w:rPr>
          <w:rFonts w:ascii="Times New Roman" w:hAnsi="Times New Roman"/>
        </w:rPr>
        <w:t xml:space="preserve"> oraz 1.1</w:t>
      </w:r>
      <w:r w:rsidR="00CC4E99" w:rsidRPr="00CE5D9A">
        <w:rPr>
          <w:rFonts w:ascii="Times New Roman" w:hAnsi="Times New Roman"/>
        </w:rPr>
        <w:t>3</w:t>
      </w:r>
      <w:r w:rsidRPr="00CE5D9A">
        <w:rPr>
          <w:rFonts w:ascii="Times New Roman" w:hAnsi="Times New Roman"/>
        </w:rPr>
        <w:t xml:space="preserve">. </w:t>
      </w:r>
      <w:r w:rsidRPr="00830009">
        <w:rPr>
          <w:rFonts w:ascii="Times New Roman" w:hAnsi="Times New Roman"/>
          <w:strike/>
          <w:color w:val="FF0000"/>
        </w:rPr>
        <w:t xml:space="preserve">Zakłada się, że </w:t>
      </w:r>
      <w:r w:rsidR="00C274D4" w:rsidRPr="00830009">
        <w:rPr>
          <w:rFonts w:ascii="Times New Roman" w:hAnsi="Times New Roman"/>
          <w:strike/>
          <w:color w:val="FF0000"/>
        </w:rPr>
        <w:t>w ramach przedsięwzięcia rozwiną się 4 przedsiębiorstwa rolne.</w:t>
      </w:r>
    </w:p>
    <w:p w14:paraId="11E33ACF" w14:textId="0B27C024" w:rsidR="00781750" w:rsidRPr="00CE5D9A" w:rsidRDefault="00781750" w:rsidP="00781750">
      <w:pPr>
        <w:pStyle w:val="Legenda"/>
        <w:spacing w:after="0" w:line="276" w:lineRule="auto"/>
        <w:ind w:firstLine="708"/>
        <w:jc w:val="both"/>
        <w:rPr>
          <w:rFonts w:ascii="Times New Roman" w:hAnsi="Times New Roman"/>
          <w:i w:val="0"/>
          <w:iCs w:val="0"/>
          <w:color w:val="auto"/>
          <w:sz w:val="22"/>
          <w:szCs w:val="22"/>
        </w:rPr>
      </w:pPr>
      <w:r w:rsidRPr="00CE5D9A">
        <w:rPr>
          <w:rFonts w:ascii="Times New Roman" w:hAnsi="Times New Roman"/>
          <w:i w:val="0"/>
          <w:iCs w:val="0"/>
          <w:color w:val="auto"/>
          <w:sz w:val="22"/>
          <w:szCs w:val="22"/>
        </w:rPr>
        <w:t>Pozostałe wskaźniki rezultatu, realizowane w ramach Funduszy Europejskich Wojewódzkich będą realizowane poprzez następujące przedsięwzięcia:</w:t>
      </w:r>
    </w:p>
    <w:p w14:paraId="5553D2D7" w14:textId="16886854" w:rsidR="00781750" w:rsidRPr="00CE5D9A" w:rsidRDefault="00781750" w:rsidP="00781750">
      <w:pPr>
        <w:pStyle w:val="Akapitzlist"/>
        <w:numPr>
          <w:ilvl w:val="0"/>
          <w:numId w:val="64"/>
        </w:numPr>
        <w:spacing w:line="276" w:lineRule="auto"/>
        <w:jc w:val="both"/>
        <w:rPr>
          <w:rFonts w:ascii="Times New Roman" w:hAnsi="Times New Roman"/>
        </w:rPr>
      </w:pPr>
      <w:r w:rsidRPr="00CE5D9A">
        <w:rPr>
          <w:rFonts w:ascii="Times New Roman" w:hAnsi="Times New Roman"/>
        </w:rPr>
        <w:t>wskaźnik rezultatu W 1.</w:t>
      </w:r>
      <w:r w:rsidR="00CC4E99" w:rsidRPr="00CE5D9A">
        <w:rPr>
          <w:rFonts w:ascii="Times New Roman" w:hAnsi="Times New Roman"/>
        </w:rPr>
        <w:t>6</w:t>
      </w:r>
      <w:r w:rsidRPr="00CE5D9A">
        <w:rPr>
          <w:rFonts w:ascii="Times New Roman" w:hAnsi="Times New Roman"/>
        </w:rPr>
        <w:t xml:space="preserve"> RCR 77 – liczba osób odwiedzających obiekty kulturalne i turystyczne objęte wsparciem – wskaźnik zostanie osiągnięty przez realizację przedsięwzięcia 1.1</w:t>
      </w:r>
      <w:r w:rsidR="00CC4E99" w:rsidRPr="00CE5D9A">
        <w:rPr>
          <w:rFonts w:ascii="Times New Roman" w:hAnsi="Times New Roman"/>
        </w:rPr>
        <w:t>4</w:t>
      </w:r>
      <w:r w:rsidRPr="00CE5D9A">
        <w:rPr>
          <w:rFonts w:ascii="Times New Roman" w:hAnsi="Times New Roman"/>
        </w:rPr>
        <w:t>. Z obiektów objętych wsparciem w ramach realizacji przedsięwzięcia łącznie skorzysta 7 000 osób.</w:t>
      </w:r>
    </w:p>
    <w:p w14:paraId="0BCC726D" w14:textId="349B121B" w:rsidR="00781750" w:rsidRPr="00142EEC" w:rsidRDefault="00781750" w:rsidP="00781750">
      <w:pPr>
        <w:pStyle w:val="Akapitzlist"/>
        <w:numPr>
          <w:ilvl w:val="0"/>
          <w:numId w:val="64"/>
        </w:numPr>
        <w:spacing w:line="276" w:lineRule="auto"/>
        <w:jc w:val="both"/>
        <w:rPr>
          <w:rFonts w:ascii="Times New Roman" w:hAnsi="Times New Roman"/>
          <w:strike/>
          <w:color w:val="00B0F0"/>
        </w:rPr>
      </w:pPr>
      <w:r w:rsidRPr="00CE5D9A">
        <w:rPr>
          <w:rFonts w:ascii="Times New Roman" w:hAnsi="Times New Roman"/>
        </w:rPr>
        <w:t>wskaźnik rezultatu W 1.</w:t>
      </w:r>
      <w:r w:rsidR="00CC4E99" w:rsidRPr="00CE5D9A">
        <w:rPr>
          <w:rFonts w:ascii="Times New Roman" w:hAnsi="Times New Roman"/>
        </w:rPr>
        <w:t>7</w:t>
      </w:r>
      <w:r w:rsidRPr="00CE5D9A">
        <w:rPr>
          <w:rFonts w:ascii="Times New Roman" w:hAnsi="Times New Roman"/>
        </w:rPr>
        <w:t xml:space="preserve"> PLKCR02 – liczba utworzonych miejsc świadczenia usług w społeczności lokalnej – wskaźnik zostanie osiągnięty przez realizację przedsięwzięcia 1.1</w:t>
      </w:r>
      <w:r w:rsidR="00CC4E99" w:rsidRPr="00CE5D9A">
        <w:rPr>
          <w:rFonts w:ascii="Times New Roman" w:hAnsi="Times New Roman"/>
        </w:rPr>
        <w:t>5</w:t>
      </w:r>
      <w:r w:rsidRPr="00CE5D9A">
        <w:rPr>
          <w:rFonts w:ascii="Times New Roman" w:hAnsi="Times New Roman"/>
        </w:rPr>
        <w:t xml:space="preserve">. </w:t>
      </w:r>
      <w:r w:rsidRPr="00830009">
        <w:rPr>
          <w:rFonts w:ascii="Times New Roman" w:hAnsi="Times New Roman"/>
          <w:strike/>
          <w:color w:val="FF0000"/>
        </w:rPr>
        <w:t>W ramach utworzonych miejsc świadczenia usług skorzysta minimum 140 osób.</w:t>
      </w:r>
    </w:p>
    <w:p w14:paraId="3D4E7DCA" w14:textId="6FA66D49" w:rsidR="00781750" w:rsidRPr="00CE5D9A" w:rsidRDefault="00781750" w:rsidP="00781750">
      <w:pPr>
        <w:pStyle w:val="Akapitzlist"/>
        <w:numPr>
          <w:ilvl w:val="0"/>
          <w:numId w:val="64"/>
        </w:numPr>
        <w:spacing w:line="276" w:lineRule="auto"/>
        <w:jc w:val="both"/>
        <w:rPr>
          <w:rFonts w:ascii="Times New Roman" w:hAnsi="Times New Roman"/>
        </w:rPr>
      </w:pPr>
      <w:r w:rsidRPr="00CE5D9A">
        <w:rPr>
          <w:rFonts w:ascii="Times New Roman" w:hAnsi="Times New Roman"/>
        </w:rPr>
        <w:t>wskaźnik rezultatu W 1.</w:t>
      </w:r>
      <w:r w:rsidR="00CC4E99" w:rsidRPr="00CE5D9A">
        <w:rPr>
          <w:rFonts w:ascii="Times New Roman" w:hAnsi="Times New Roman"/>
        </w:rPr>
        <w:t>8</w:t>
      </w:r>
      <w:r w:rsidRPr="00CE5D9A">
        <w:rPr>
          <w:rFonts w:ascii="Times New Roman" w:hAnsi="Times New Roman"/>
        </w:rPr>
        <w:t xml:space="preserve"> PLKCR03 – liczba podmiotów, które rozszerzyły ofertę wsparcia lub podniosły jakość oferowanych usług – wskaźnik zostanie osiągnięty przez realizację przedsięwzięcia 1.1</w:t>
      </w:r>
      <w:r w:rsidR="00CC4E99" w:rsidRPr="00CE5D9A">
        <w:rPr>
          <w:rFonts w:ascii="Times New Roman" w:hAnsi="Times New Roman"/>
        </w:rPr>
        <w:t>5</w:t>
      </w:r>
      <w:r w:rsidRPr="00CE5D9A">
        <w:rPr>
          <w:rFonts w:ascii="Times New Roman" w:hAnsi="Times New Roman"/>
        </w:rPr>
        <w:t xml:space="preserve">. </w:t>
      </w:r>
    </w:p>
    <w:p w14:paraId="01F9DDC4" w14:textId="10482FC7" w:rsidR="00781750" w:rsidRPr="00CE5D9A" w:rsidRDefault="00781750" w:rsidP="00781750">
      <w:pPr>
        <w:pStyle w:val="Akapitzlist"/>
        <w:numPr>
          <w:ilvl w:val="0"/>
          <w:numId w:val="64"/>
        </w:numPr>
        <w:spacing w:line="276" w:lineRule="auto"/>
        <w:jc w:val="both"/>
        <w:rPr>
          <w:rFonts w:ascii="Times New Roman" w:hAnsi="Times New Roman"/>
        </w:rPr>
      </w:pPr>
      <w:r w:rsidRPr="00CE5D9A">
        <w:rPr>
          <w:rFonts w:ascii="Times New Roman" w:hAnsi="Times New Roman"/>
        </w:rPr>
        <w:t>wskaźnik rezultatu W 1.</w:t>
      </w:r>
      <w:r w:rsidR="00CC4E99" w:rsidRPr="00CE5D9A">
        <w:rPr>
          <w:rFonts w:ascii="Times New Roman" w:hAnsi="Times New Roman"/>
        </w:rPr>
        <w:t>9</w:t>
      </w:r>
      <w:r w:rsidRPr="00CE5D9A">
        <w:rPr>
          <w:rFonts w:ascii="Times New Roman" w:hAnsi="Times New Roman"/>
        </w:rPr>
        <w:t xml:space="preserve"> PLKCR04 – liczba osób świadczących usługi w społeczności lokalnej dzięki wsparciu w programie – wskaźnik zostanie osiągnięty przez realizację przedsięwzięcia 1.1</w:t>
      </w:r>
      <w:r w:rsidR="00CC4E99" w:rsidRPr="00CE5D9A">
        <w:rPr>
          <w:rFonts w:ascii="Times New Roman" w:hAnsi="Times New Roman"/>
        </w:rPr>
        <w:t>5</w:t>
      </w:r>
      <w:r w:rsidRPr="00CE5D9A">
        <w:rPr>
          <w:rFonts w:ascii="Times New Roman" w:hAnsi="Times New Roman"/>
        </w:rPr>
        <w:t>. Zakłada się iż w ramach przedsięwzięcia co najmniej 2</w:t>
      </w:r>
      <w:r w:rsidR="00142EEC">
        <w:rPr>
          <w:rFonts w:ascii="Times New Roman" w:hAnsi="Times New Roman"/>
        </w:rPr>
        <w:t xml:space="preserve"> </w:t>
      </w:r>
      <w:r w:rsidR="00142EEC" w:rsidRPr="00142EEC">
        <w:rPr>
          <w:rFonts w:ascii="Times New Roman" w:hAnsi="Times New Roman"/>
          <w:color w:val="00B0F0"/>
        </w:rPr>
        <w:t>1</w:t>
      </w:r>
      <w:r w:rsidRPr="00CE5D9A">
        <w:rPr>
          <w:rFonts w:ascii="Times New Roman" w:hAnsi="Times New Roman"/>
        </w:rPr>
        <w:t xml:space="preserve"> podmiot</w:t>
      </w:r>
      <w:r w:rsidRPr="00142EEC">
        <w:rPr>
          <w:rFonts w:ascii="Times New Roman" w:hAnsi="Times New Roman"/>
          <w:strike/>
          <w:color w:val="00B0F0"/>
        </w:rPr>
        <w:t>y</w:t>
      </w:r>
      <w:r w:rsidRPr="00CE5D9A">
        <w:rPr>
          <w:rFonts w:ascii="Times New Roman" w:hAnsi="Times New Roman"/>
        </w:rPr>
        <w:t xml:space="preserve"> gospodarcz</w:t>
      </w:r>
      <w:r w:rsidRPr="00142EEC">
        <w:rPr>
          <w:rFonts w:ascii="Times New Roman" w:hAnsi="Times New Roman"/>
          <w:color w:val="00B0F0"/>
        </w:rPr>
        <w:t>e</w:t>
      </w:r>
      <w:r w:rsidR="00142EEC">
        <w:rPr>
          <w:rFonts w:ascii="Times New Roman" w:hAnsi="Times New Roman"/>
        </w:rPr>
        <w:t>y</w:t>
      </w:r>
      <w:r w:rsidRPr="00CE5D9A">
        <w:rPr>
          <w:rFonts w:ascii="Times New Roman" w:hAnsi="Times New Roman"/>
        </w:rPr>
        <w:t xml:space="preserve"> rozszerzyły wsparcie lub </w:t>
      </w:r>
      <w:r w:rsidRPr="00830009">
        <w:rPr>
          <w:rFonts w:ascii="Times New Roman" w:hAnsi="Times New Roman"/>
          <w:strike/>
          <w:color w:val="FF0000"/>
        </w:rPr>
        <w:t>podniosły</w:t>
      </w:r>
      <w:r w:rsidRPr="00830009">
        <w:rPr>
          <w:rFonts w:ascii="Times New Roman" w:hAnsi="Times New Roman"/>
          <w:color w:val="FF0000"/>
        </w:rPr>
        <w:t xml:space="preserve"> </w:t>
      </w:r>
      <w:r w:rsidR="00142EEC" w:rsidRPr="00830009">
        <w:rPr>
          <w:rFonts w:ascii="Times New Roman" w:hAnsi="Times New Roman"/>
          <w:color w:val="FF0000"/>
        </w:rPr>
        <w:t xml:space="preserve">podniesie </w:t>
      </w:r>
      <w:r w:rsidRPr="00CE5D9A">
        <w:rPr>
          <w:rFonts w:ascii="Times New Roman" w:hAnsi="Times New Roman"/>
        </w:rPr>
        <w:t xml:space="preserve">jakość oferowanych usług. </w:t>
      </w:r>
    </w:p>
    <w:p w14:paraId="37ABB752" w14:textId="77777777" w:rsidR="00781750" w:rsidRPr="00CE5D9A" w:rsidRDefault="00781750" w:rsidP="00781750">
      <w:pPr>
        <w:spacing w:line="276" w:lineRule="auto"/>
        <w:jc w:val="both"/>
        <w:rPr>
          <w:rFonts w:ascii="Times New Roman" w:hAnsi="Times New Roman"/>
        </w:rPr>
      </w:pPr>
    </w:p>
    <w:p w14:paraId="0AE10E44" w14:textId="77777777" w:rsidR="00686DFE" w:rsidRPr="00CE5D9A" w:rsidRDefault="00686DFE">
      <w:pPr>
        <w:spacing w:line="276" w:lineRule="auto"/>
        <w:jc w:val="both"/>
        <w:rPr>
          <w:rFonts w:ascii="Times New Roman" w:hAnsi="Times New Roman"/>
          <w:b/>
          <w:bCs/>
        </w:rPr>
        <w:sectPr w:rsidR="00686DFE" w:rsidRPr="00CE5D9A" w:rsidSect="00C84BC8">
          <w:footerReference w:type="default" r:id="rId26"/>
          <w:pgSz w:w="11906" w:h="16838"/>
          <w:pgMar w:top="851" w:right="851" w:bottom="851" w:left="851" w:header="709" w:footer="709" w:gutter="0"/>
          <w:cols w:space="708"/>
          <w:titlePg/>
          <w:docGrid w:linePitch="360"/>
        </w:sectPr>
      </w:pPr>
    </w:p>
    <w:p w14:paraId="76ECFEF9" w14:textId="26AEBFB5" w:rsidR="00686DFE" w:rsidRPr="00CE5D9A" w:rsidRDefault="00686DFE">
      <w:pPr>
        <w:pStyle w:val="Legenda"/>
        <w:spacing w:after="0"/>
        <w:jc w:val="center"/>
        <w:rPr>
          <w:rFonts w:ascii="Times New Roman" w:hAnsi="Times New Roman"/>
          <w:b/>
          <w:bCs/>
          <w:i w:val="0"/>
          <w:iCs w:val="0"/>
          <w:color w:val="auto"/>
          <w:sz w:val="20"/>
          <w:szCs w:val="20"/>
        </w:rPr>
      </w:pPr>
      <w:bookmarkStart w:id="155" w:name="_Toc194581447"/>
      <w:r w:rsidRPr="00CE5D9A">
        <w:rPr>
          <w:rFonts w:ascii="Times New Roman" w:hAnsi="Times New Roman"/>
          <w:b/>
          <w:bCs/>
          <w:i w:val="0"/>
          <w:iCs w:val="0"/>
          <w:color w:val="auto"/>
          <w:sz w:val="20"/>
          <w:szCs w:val="20"/>
        </w:rPr>
        <w:lastRenderedPageBreak/>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23</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Przedsięwzięcia – powiązanie z analizą potrzeb, charakter, budżet, poziom dofinansowania, maks. i min. kwota, grupa docelowa i sposób realizacji (rozszerzona wersja analogicznej tabeli stanowiącej załącznik nr 1 do LSR)</w:t>
      </w:r>
      <w:bookmarkEnd w:id="155"/>
    </w:p>
    <w:tbl>
      <w:tblPr>
        <w:tblW w:w="5000" w:type="pct"/>
        <w:tblLayout w:type="fixed"/>
        <w:tblCellMar>
          <w:left w:w="70" w:type="dxa"/>
          <w:right w:w="70" w:type="dxa"/>
        </w:tblCellMar>
        <w:tblLook w:val="0000" w:firstRow="0" w:lastRow="0" w:firstColumn="0" w:lastColumn="0" w:noHBand="0" w:noVBand="0"/>
      </w:tblPr>
      <w:tblGrid>
        <w:gridCol w:w="1851"/>
        <w:gridCol w:w="455"/>
        <w:gridCol w:w="984"/>
        <w:gridCol w:w="749"/>
        <w:gridCol w:w="1842"/>
        <w:gridCol w:w="1986"/>
        <w:gridCol w:w="1638"/>
        <w:gridCol w:w="1509"/>
        <w:gridCol w:w="1390"/>
        <w:gridCol w:w="990"/>
        <w:gridCol w:w="993"/>
        <w:gridCol w:w="889"/>
      </w:tblGrid>
      <w:tr w:rsidR="00BC7F22" w:rsidRPr="00CE5D9A" w14:paraId="7B45DB4A" w14:textId="77777777" w:rsidTr="00BC7F22">
        <w:trPr>
          <w:trHeight w:val="458"/>
        </w:trPr>
        <w:tc>
          <w:tcPr>
            <w:tcW w:w="755" w:type="pct"/>
            <w:gridSpan w:val="2"/>
            <w:tcBorders>
              <w:top w:val="single" w:sz="4" w:space="0" w:color="auto"/>
              <w:left w:val="single" w:sz="4" w:space="0" w:color="auto"/>
              <w:bottom w:val="single" w:sz="4" w:space="0" w:color="auto"/>
              <w:right w:val="single" w:sz="4" w:space="0" w:color="auto"/>
            </w:tcBorders>
            <w:vAlign w:val="center"/>
          </w:tcPr>
          <w:p w14:paraId="7CFE801A" w14:textId="77777777" w:rsidR="00BC7F22" w:rsidRPr="00CE5D9A" w:rsidRDefault="00BC7F22">
            <w:pPr>
              <w:spacing w:after="0" w:line="240" w:lineRule="auto"/>
              <w:jc w:val="center"/>
              <w:rPr>
                <w:rFonts w:ascii="Times New Roman" w:eastAsia="Times New Roman" w:hAnsi="Times New Roman"/>
                <w:i/>
                <w:iCs/>
                <w:sz w:val="20"/>
                <w:szCs w:val="20"/>
                <w:lang w:eastAsia="pl-PL"/>
              </w:rPr>
            </w:pPr>
            <w:r w:rsidRPr="00CE5D9A">
              <w:rPr>
                <w:rFonts w:ascii="Times New Roman" w:eastAsia="Times New Roman" w:hAnsi="Times New Roman"/>
                <w:i/>
                <w:iCs/>
                <w:sz w:val="20"/>
                <w:szCs w:val="20"/>
                <w:lang w:eastAsia="pl-PL"/>
              </w:rPr>
              <w:t>PROBLEM</w:t>
            </w:r>
          </w:p>
        </w:tc>
        <w:tc>
          <w:tcPr>
            <w:tcW w:w="322" w:type="pct"/>
            <w:tcBorders>
              <w:top w:val="single" w:sz="4" w:space="0" w:color="auto"/>
              <w:left w:val="nil"/>
              <w:bottom w:val="single" w:sz="4" w:space="0" w:color="auto"/>
              <w:right w:val="nil"/>
            </w:tcBorders>
          </w:tcPr>
          <w:p w14:paraId="21A7778C" w14:textId="77777777" w:rsidR="00BC7F22" w:rsidRPr="00CE5D9A" w:rsidRDefault="00BC7F22">
            <w:pPr>
              <w:spacing w:after="0" w:line="240" w:lineRule="auto"/>
              <w:jc w:val="center"/>
              <w:rPr>
                <w:rFonts w:ascii="Times New Roman" w:eastAsia="Times New Roman" w:hAnsi="Times New Roman"/>
                <w:i/>
                <w:iCs/>
                <w:sz w:val="18"/>
                <w:szCs w:val="18"/>
                <w:lang w:eastAsia="pl-PL"/>
              </w:rPr>
            </w:pPr>
          </w:p>
        </w:tc>
        <w:tc>
          <w:tcPr>
            <w:tcW w:w="3923" w:type="pct"/>
            <w:gridSpan w:val="9"/>
            <w:tcBorders>
              <w:top w:val="single" w:sz="4" w:space="0" w:color="auto"/>
              <w:left w:val="nil"/>
              <w:bottom w:val="single" w:sz="4" w:space="0" w:color="auto"/>
              <w:right w:val="single" w:sz="4" w:space="0" w:color="auto"/>
            </w:tcBorders>
            <w:vAlign w:val="center"/>
          </w:tcPr>
          <w:p w14:paraId="4A856A25" w14:textId="7B164D7C" w:rsidR="00BC7F22" w:rsidRPr="00CE5D9A" w:rsidRDefault="00BC7F22">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Nienadążająca za wzrostem liczby mieszkańców infrastruktura publiczna, słaba oferta zagospodarowania czasu wolnego, niska aktywność społeczna i w organizacjach pozarządowych, niska przedsiębiorczość mieszkańców</w:t>
            </w:r>
          </w:p>
        </w:tc>
      </w:tr>
      <w:tr w:rsidR="00BC7F22" w:rsidRPr="00CE5D9A" w14:paraId="4BE69F4E" w14:textId="77777777" w:rsidTr="00BC7F22">
        <w:trPr>
          <w:trHeight w:val="458"/>
        </w:trPr>
        <w:tc>
          <w:tcPr>
            <w:tcW w:w="755" w:type="pct"/>
            <w:gridSpan w:val="2"/>
            <w:tcBorders>
              <w:top w:val="single" w:sz="4" w:space="0" w:color="auto"/>
              <w:left w:val="single" w:sz="4" w:space="0" w:color="auto"/>
              <w:bottom w:val="single" w:sz="4" w:space="0" w:color="auto"/>
              <w:right w:val="single" w:sz="4" w:space="0" w:color="auto"/>
            </w:tcBorders>
            <w:vAlign w:val="center"/>
          </w:tcPr>
          <w:p w14:paraId="41FA9B85" w14:textId="77777777" w:rsidR="00BC7F22" w:rsidRPr="00CE5D9A" w:rsidRDefault="00BC7F22">
            <w:pPr>
              <w:spacing w:after="0" w:line="240" w:lineRule="auto"/>
              <w:jc w:val="center"/>
              <w:rPr>
                <w:rFonts w:ascii="Times New Roman" w:eastAsia="Times New Roman" w:hAnsi="Times New Roman"/>
                <w:i/>
                <w:iCs/>
                <w:sz w:val="20"/>
                <w:szCs w:val="20"/>
                <w:lang w:eastAsia="pl-PL"/>
              </w:rPr>
            </w:pPr>
            <w:r w:rsidRPr="00CE5D9A">
              <w:rPr>
                <w:rFonts w:ascii="Times New Roman" w:eastAsia="Times New Roman" w:hAnsi="Times New Roman"/>
                <w:i/>
                <w:iCs/>
                <w:sz w:val="20"/>
                <w:szCs w:val="20"/>
                <w:lang w:eastAsia="pl-PL"/>
              </w:rPr>
              <w:t>ZASÓB</w:t>
            </w:r>
          </w:p>
        </w:tc>
        <w:tc>
          <w:tcPr>
            <w:tcW w:w="322" w:type="pct"/>
            <w:tcBorders>
              <w:top w:val="single" w:sz="4" w:space="0" w:color="auto"/>
              <w:left w:val="nil"/>
              <w:bottom w:val="single" w:sz="4" w:space="0" w:color="auto"/>
              <w:right w:val="nil"/>
            </w:tcBorders>
          </w:tcPr>
          <w:p w14:paraId="52D12841" w14:textId="77777777" w:rsidR="00BC7F22" w:rsidRPr="00CE5D9A" w:rsidRDefault="00BC7F22">
            <w:pPr>
              <w:spacing w:after="0" w:line="240" w:lineRule="auto"/>
              <w:jc w:val="center"/>
              <w:rPr>
                <w:rFonts w:ascii="Times New Roman" w:eastAsia="Times New Roman" w:hAnsi="Times New Roman"/>
                <w:i/>
                <w:iCs/>
                <w:sz w:val="18"/>
                <w:szCs w:val="18"/>
                <w:lang w:eastAsia="pl-PL"/>
              </w:rPr>
            </w:pPr>
          </w:p>
        </w:tc>
        <w:tc>
          <w:tcPr>
            <w:tcW w:w="3923" w:type="pct"/>
            <w:gridSpan w:val="9"/>
            <w:tcBorders>
              <w:top w:val="single" w:sz="4" w:space="0" w:color="auto"/>
              <w:left w:val="nil"/>
              <w:bottom w:val="single" w:sz="4" w:space="0" w:color="auto"/>
              <w:right w:val="single" w:sz="4" w:space="0" w:color="auto"/>
            </w:tcBorders>
            <w:vAlign w:val="center"/>
          </w:tcPr>
          <w:p w14:paraId="462D1E0C" w14:textId="30A2061C" w:rsidR="00BC7F22" w:rsidRPr="00CE5D9A" w:rsidRDefault="00BC7F22">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Lesistość i pagórkowatość terenu, walory krajobrazowe, struktura wieku i napływ ludności, bliskość Krakowa </w:t>
            </w:r>
          </w:p>
        </w:tc>
      </w:tr>
      <w:tr w:rsidR="00BC7F22" w:rsidRPr="00CE5D9A" w14:paraId="2A42B44E" w14:textId="77777777" w:rsidTr="00BC7F22">
        <w:trPr>
          <w:trHeight w:val="436"/>
        </w:trPr>
        <w:tc>
          <w:tcPr>
            <w:tcW w:w="755" w:type="pct"/>
            <w:gridSpan w:val="2"/>
            <w:tcBorders>
              <w:top w:val="single" w:sz="4" w:space="0" w:color="auto"/>
              <w:left w:val="single" w:sz="4" w:space="0" w:color="auto"/>
              <w:bottom w:val="single" w:sz="4" w:space="0" w:color="auto"/>
              <w:right w:val="single" w:sz="4" w:space="0" w:color="auto"/>
            </w:tcBorders>
            <w:vAlign w:val="center"/>
          </w:tcPr>
          <w:p w14:paraId="697A5138" w14:textId="77777777" w:rsidR="00BC7F22" w:rsidRPr="00CE5D9A" w:rsidRDefault="00BC7F22">
            <w:pPr>
              <w:spacing w:after="0" w:line="240" w:lineRule="auto"/>
              <w:jc w:val="center"/>
              <w:rPr>
                <w:rFonts w:ascii="Times New Roman" w:eastAsia="Times New Roman" w:hAnsi="Times New Roman"/>
                <w:b/>
                <w:bCs/>
                <w:sz w:val="20"/>
                <w:szCs w:val="20"/>
                <w:lang w:eastAsia="pl-PL"/>
              </w:rPr>
            </w:pPr>
            <w:r w:rsidRPr="00CE5D9A">
              <w:rPr>
                <w:rFonts w:ascii="Times New Roman" w:eastAsia="Times New Roman" w:hAnsi="Times New Roman"/>
                <w:b/>
                <w:bCs/>
                <w:sz w:val="20"/>
                <w:szCs w:val="20"/>
                <w:lang w:eastAsia="pl-PL"/>
              </w:rPr>
              <w:t>CEL</w:t>
            </w:r>
          </w:p>
        </w:tc>
        <w:tc>
          <w:tcPr>
            <w:tcW w:w="322" w:type="pct"/>
            <w:tcBorders>
              <w:top w:val="single" w:sz="4" w:space="0" w:color="auto"/>
              <w:left w:val="nil"/>
              <w:bottom w:val="single" w:sz="4" w:space="0" w:color="auto"/>
              <w:right w:val="nil"/>
            </w:tcBorders>
          </w:tcPr>
          <w:p w14:paraId="13FC4825" w14:textId="77777777" w:rsidR="00BC7F22" w:rsidRPr="00CE5D9A" w:rsidRDefault="00BC7F22" w:rsidP="009A06B7">
            <w:pPr>
              <w:spacing w:after="0" w:line="240" w:lineRule="auto"/>
              <w:jc w:val="center"/>
              <w:rPr>
                <w:rFonts w:ascii="Times New Roman" w:eastAsia="Times New Roman" w:hAnsi="Times New Roman"/>
                <w:b/>
                <w:bCs/>
                <w:sz w:val="32"/>
                <w:szCs w:val="32"/>
                <w:lang w:eastAsia="pl-PL"/>
              </w:rPr>
            </w:pPr>
          </w:p>
        </w:tc>
        <w:tc>
          <w:tcPr>
            <w:tcW w:w="3923" w:type="pct"/>
            <w:gridSpan w:val="9"/>
            <w:tcBorders>
              <w:top w:val="single" w:sz="4" w:space="0" w:color="auto"/>
              <w:left w:val="nil"/>
              <w:bottom w:val="single" w:sz="4" w:space="0" w:color="auto"/>
              <w:right w:val="single" w:sz="4" w:space="0" w:color="auto"/>
            </w:tcBorders>
            <w:vAlign w:val="center"/>
          </w:tcPr>
          <w:p w14:paraId="148AC20A" w14:textId="3D02156A" w:rsidR="00BC7F22" w:rsidRPr="00CE5D9A" w:rsidRDefault="00BC7F22" w:rsidP="009A06B7">
            <w:pPr>
              <w:spacing w:after="0" w:line="240" w:lineRule="auto"/>
              <w:jc w:val="center"/>
              <w:rPr>
                <w:rFonts w:ascii="Times New Roman" w:eastAsia="Times New Roman" w:hAnsi="Times New Roman"/>
                <w:b/>
                <w:bCs/>
                <w:sz w:val="32"/>
                <w:szCs w:val="32"/>
                <w:lang w:eastAsia="pl-PL"/>
              </w:rPr>
            </w:pPr>
            <w:r w:rsidRPr="00CE5D9A">
              <w:rPr>
                <w:rFonts w:ascii="Times New Roman" w:eastAsia="Times New Roman" w:hAnsi="Times New Roman"/>
                <w:b/>
                <w:bCs/>
                <w:sz w:val="32"/>
                <w:szCs w:val="32"/>
                <w:lang w:eastAsia="pl-PL"/>
              </w:rPr>
              <w:t>Utworzenie Myślenickiej Strefy Przemysłu Czasu Wolnego i rozwoju przedsiębiorczości</w:t>
            </w:r>
          </w:p>
        </w:tc>
      </w:tr>
      <w:tr w:rsidR="00BC7F22" w:rsidRPr="00CE5D9A" w14:paraId="449599D2" w14:textId="5068759A" w:rsidTr="00BC7F22">
        <w:trPr>
          <w:trHeight w:val="970"/>
        </w:trPr>
        <w:tc>
          <w:tcPr>
            <w:tcW w:w="606" w:type="pct"/>
            <w:tcBorders>
              <w:top w:val="nil"/>
              <w:left w:val="single" w:sz="4" w:space="0" w:color="auto"/>
              <w:bottom w:val="single" w:sz="4" w:space="0" w:color="auto"/>
              <w:right w:val="single" w:sz="4" w:space="0" w:color="auto"/>
            </w:tcBorders>
            <w:vAlign w:val="center"/>
          </w:tcPr>
          <w:p w14:paraId="5C0BD06D"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 xml:space="preserve">Zidentyfikowana przyczyna problemu </w:t>
            </w:r>
          </w:p>
        </w:tc>
        <w:tc>
          <w:tcPr>
            <w:tcW w:w="716" w:type="pct"/>
            <w:gridSpan w:val="3"/>
            <w:tcBorders>
              <w:top w:val="single" w:sz="4" w:space="0" w:color="auto"/>
              <w:left w:val="nil"/>
              <w:bottom w:val="single" w:sz="4" w:space="0" w:color="auto"/>
              <w:right w:val="single" w:sz="4" w:space="0" w:color="auto"/>
            </w:tcBorders>
            <w:vAlign w:val="center"/>
          </w:tcPr>
          <w:p w14:paraId="4C47D95D"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Przedsięwzięcie</w:t>
            </w:r>
          </w:p>
        </w:tc>
        <w:tc>
          <w:tcPr>
            <w:tcW w:w="603" w:type="pct"/>
            <w:tcBorders>
              <w:top w:val="nil"/>
              <w:left w:val="nil"/>
              <w:bottom w:val="single" w:sz="4" w:space="0" w:color="auto"/>
              <w:right w:val="single" w:sz="4" w:space="0" w:color="auto"/>
            </w:tcBorders>
            <w:vAlign w:val="center"/>
          </w:tcPr>
          <w:p w14:paraId="7B6A909C"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Możliwy zakres wsparcia</w:t>
            </w:r>
          </w:p>
        </w:tc>
        <w:tc>
          <w:tcPr>
            <w:tcW w:w="650" w:type="pct"/>
            <w:tcBorders>
              <w:top w:val="nil"/>
              <w:left w:val="nil"/>
              <w:bottom w:val="single" w:sz="4" w:space="0" w:color="auto"/>
              <w:right w:val="single" w:sz="4" w:space="0" w:color="auto"/>
            </w:tcBorders>
            <w:vAlign w:val="center"/>
          </w:tcPr>
          <w:p w14:paraId="423AA9FB"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Zakres wsparcia z WPR / charakter</w:t>
            </w:r>
          </w:p>
        </w:tc>
        <w:tc>
          <w:tcPr>
            <w:tcW w:w="536" w:type="pct"/>
            <w:tcBorders>
              <w:top w:val="nil"/>
              <w:left w:val="nil"/>
              <w:bottom w:val="single" w:sz="4" w:space="0" w:color="auto"/>
              <w:right w:val="single" w:sz="4" w:space="0" w:color="auto"/>
            </w:tcBorders>
            <w:vAlign w:val="center"/>
          </w:tcPr>
          <w:p w14:paraId="5F97DF05"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Poziom dofinansowania</w:t>
            </w:r>
          </w:p>
        </w:tc>
        <w:tc>
          <w:tcPr>
            <w:tcW w:w="494" w:type="pct"/>
            <w:tcBorders>
              <w:top w:val="nil"/>
              <w:left w:val="nil"/>
              <w:bottom w:val="single" w:sz="4" w:space="0" w:color="auto"/>
              <w:right w:val="single" w:sz="4" w:space="0" w:color="auto"/>
            </w:tcBorders>
            <w:vAlign w:val="center"/>
          </w:tcPr>
          <w:p w14:paraId="60539EAD"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Możliwy Wnioskodawca</w:t>
            </w:r>
          </w:p>
        </w:tc>
        <w:tc>
          <w:tcPr>
            <w:tcW w:w="455" w:type="pct"/>
            <w:tcBorders>
              <w:top w:val="nil"/>
              <w:left w:val="nil"/>
              <w:bottom w:val="single" w:sz="4" w:space="0" w:color="auto"/>
              <w:right w:val="single" w:sz="4" w:space="0" w:color="auto"/>
            </w:tcBorders>
            <w:vAlign w:val="center"/>
          </w:tcPr>
          <w:p w14:paraId="02FB4737"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Grupy docelowe</w:t>
            </w:r>
          </w:p>
        </w:tc>
        <w:tc>
          <w:tcPr>
            <w:tcW w:w="324" w:type="pct"/>
            <w:tcBorders>
              <w:top w:val="nil"/>
              <w:left w:val="nil"/>
              <w:bottom w:val="single" w:sz="4" w:space="0" w:color="auto"/>
              <w:right w:val="single" w:sz="4" w:space="0" w:color="auto"/>
            </w:tcBorders>
            <w:vAlign w:val="center"/>
          </w:tcPr>
          <w:p w14:paraId="7CE7BFD3" w14:textId="77777777" w:rsidR="00BC7F22" w:rsidRPr="00CE5D9A" w:rsidRDefault="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Sposób realizacji</w:t>
            </w:r>
          </w:p>
        </w:tc>
        <w:tc>
          <w:tcPr>
            <w:tcW w:w="325" w:type="pct"/>
            <w:tcBorders>
              <w:top w:val="nil"/>
              <w:left w:val="nil"/>
              <w:bottom w:val="single" w:sz="4" w:space="0" w:color="auto"/>
              <w:right w:val="single" w:sz="4" w:space="0" w:color="auto"/>
            </w:tcBorders>
            <w:vAlign w:val="center"/>
          </w:tcPr>
          <w:p w14:paraId="61B7005B" w14:textId="4C719DC7" w:rsidR="00BC7F22" w:rsidRPr="00CE5D9A" w:rsidRDefault="00BC7F22" w:rsidP="00BC7F22">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Budżet [euro]</w:t>
            </w:r>
          </w:p>
        </w:tc>
        <w:tc>
          <w:tcPr>
            <w:tcW w:w="291" w:type="pct"/>
            <w:tcBorders>
              <w:top w:val="nil"/>
              <w:left w:val="nil"/>
              <w:bottom w:val="single" w:sz="4" w:space="0" w:color="auto"/>
              <w:right w:val="single" w:sz="4" w:space="0" w:color="auto"/>
            </w:tcBorders>
            <w:vAlign w:val="center"/>
          </w:tcPr>
          <w:p w14:paraId="52747DB2" w14:textId="3A6B964B" w:rsidR="00BC7F22" w:rsidRPr="00CE5D9A" w:rsidRDefault="00BC7F22" w:rsidP="00BC7F22">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Fundusz</w:t>
            </w:r>
          </w:p>
        </w:tc>
      </w:tr>
      <w:tr w:rsidR="00BC7F22" w:rsidRPr="00CE5D9A" w14:paraId="02B8F078" w14:textId="5A06ECF4" w:rsidTr="006256FD">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3A3AE34F" w14:textId="77777777" w:rsidR="00BC7F22" w:rsidRPr="00CE5D9A" w:rsidRDefault="00BC7F22">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Braki w infrastrukturze publicznej</w:t>
            </w:r>
          </w:p>
        </w:tc>
        <w:tc>
          <w:tcPr>
            <w:tcW w:w="149" w:type="pct"/>
            <w:tcBorders>
              <w:top w:val="single" w:sz="4" w:space="0" w:color="auto"/>
              <w:left w:val="nil"/>
              <w:bottom w:val="single" w:sz="4" w:space="0" w:color="auto"/>
              <w:right w:val="single" w:sz="4" w:space="0" w:color="auto"/>
            </w:tcBorders>
            <w:vAlign w:val="center"/>
          </w:tcPr>
          <w:p w14:paraId="002F1543"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w:t>
            </w:r>
          </w:p>
        </w:tc>
        <w:tc>
          <w:tcPr>
            <w:tcW w:w="567" w:type="pct"/>
            <w:gridSpan w:val="2"/>
            <w:tcBorders>
              <w:top w:val="single" w:sz="4" w:space="0" w:color="auto"/>
              <w:left w:val="nil"/>
              <w:bottom w:val="single" w:sz="4" w:space="0" w:color="auto"/>
              <w:right w:val="single" w:sz="4" w:space="0" w:color="auto"/>
            </w:tcBorders>
            <w:vAlign w:val="center"/>
          </w:tcPr>
          <w:p w14:paraId="294F4A5D"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Rozbudowa oferty infrastruktury publicznej </w:t>
            </w:r>
          </w:p>
        </w:tc>
        <w:tc>
          <w:tcPr>
            <w:tcW w:w="603" w:type="pct"/>
            <w:tcBorders>
              <w:top w:val="single" w:sz="4" w:space="0" w:color="auto"/>
              <w:left w:val="nil"/>
              <w:bottom w:val="single" w:sz="4" w:space="0" w:color="auto"/>
              <w:right w:val="single" w:sz="4" w:space="0" w:color="auto"/>
            </w:tcBorders>
            <w:vAlign w:val="center"/>
          </w:tcPr>
          <w:p w14:paraId="61E48CE7"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Doposażenie instytucji kultury, budowa </w:t>
            </w:r>
            <w:r w:rsidRPr="00CE5D9A">
              <w:rPr>
                <w:rFonts w:ascii="Times New Roman" w:eastAsia="Times New Roman" w:hAnsi="Times New Roman"/>
                <w:sz w:val="18"/>
                <w:szCs w:val="18"/>
                <w:lang w:eastAsia="pl-PL"/>
              </w:rPr>
              <w:br/>
              <w:t xml:space="preserve">i rozbudowa infrastruktury publicznej </w:t>
            </w:r>
          </w:p>
        </w:tc>
        <w:tc>
          <w:tcPr>
            <w:tcW w:w="650" w:type="pct"/>
            <w:tcBorders>
              <w:top w:val="single" w:sz="4" w:space="0" w:color="auto"/>
              <w:left w:val="nil"/>
              <w:bottom w:val="single" w:sz="4" w:space="0" w:color="auto"/>
              <w:right w:val="single" w:sz="4" w:space="0" w:color="auto"/>
            </w:tcBorders>
            <w:vAlign w:val="center"/>
          </w:tcPr>
          <w:p w14:paraId="17FE6E36"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4C371B">
              <w:rPr>
                <w:rFonts w:ascii="Times New Roman" w:eastAsia="Times New Roman" w:hAnsi="Times New Roman"/>
                <w:sz w:val="18"/>
                <w:szCs w:val="18"/>
                <w:lang w:eastAsia="pl-PL"/>
              </w:rPr>
              <w:t xml:space="preserve">6. Poprawa dostępu do małej infrastruktury publicznej; </w:t>
            </w:r>
            <w:r w:rsidRPr="004C371B">
              <w:rPr>
                <w:rFonts w:ascii="Times New Roman" w:eastAsia="Times New Roman" w:hAnsi="Times New Roman"/>
                <w:sz w:val="18"/>
                <w:szCs w:val="18"/>
                <w:lang w:eastAsia="pl-PL"/>
              </w:rPr>
              <w:br/>
              <w:t>inwestycyjny</w:t>
            </w:r>
          </w:p>
        </w:tc>
        <w:tc>
          <w:tcPr>
            <w:tcW w:w="536" w:type="pct"/>
            <w:tcBorders>
              <w:top w:val="single" w:sz="4" w:space="0" w:color="auto"/>
              <w:left w:val="nil"/>
              <w:bottom w:val="single" w:sz="4" w:space="0" w:color="auto"/>
              <w:right w:val="single" w:sz="4" w:space="0" w:color="auto"/>
            </w:tcBorders>
            <w:vAlign w:val="center"/>
          </w:tcPr>
          <w:p w14:paraId="16D6BD80" w14:textId="05A2F827" w:rsidR="00BC7F22" w:rsidRPr="00CE5D9A" w:rsidRDefault="00BC7F22" w:rsidP="0030731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 PLN</w:t>
            </w:r>
          </w:p>
          <w:p w14:paraId="2CB505F8" w14:textId="4FB2CE07" w:rsidR="00BC7F22" w:rsidRPr="00CE5D9A" w:rsidRDefault="00BC7F22" w:rsidP="0030731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Max.</w:t>
            </w:r>
            <w:r w:rsidR="00D47E0B">
              <w:rPr>
                <w:rFonts w:ascii="Times New Roman" w:eastAsia="Times New Roman" w:hAnsi="Times New Roman"/>
                <w:sz w:val="18"/>
                <w:szCs w:val="18"/>
                <w:lang w:eastAsia="pl-PL"/>
              </w:rPr>
              <w:t xml:space="preserve"> wysokość wsparcia 500 000 PLN </w:t>
            </w:r>
          </w:p>
          <w:p w14:paraId="37B2B756" w14:textId="25FE33E8" w:rsidR="00BC7F22" w:rsidRPr="00CE5D9A" w:rsidRDefault="00BC7F22" w:rsidP="0030731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75% kosztów kwalifikowalnych dla JST pozostali 100%</w:t>
            </w:r>
          </w:p>
        </w:tc>
        <w:tc>
          <w:tcPr>
            <w:tcW w:w="494" w:type="pct"/>
            <w:tcBorders>
              <w:top w:val="single" w:sz="4" w:space="0" w:color="auto"/>
              <w:left w:val="nil"/>
              <w:bottom w:val="single" w:sz="4" w:space="0" w:color="auto"/>
              <w:right w:val="single" w:sz="4" w:space="0" w:color="auto"/>
            </w:tcBorders>
            <w:vAlign w:val="center"/>
          </w:tcPr>
          <w:p w14:paraId="5E303994"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JSFP/ </w:t>
            </w:r>
          </w:p>
          <w:p w14:paraId="7B1DCCB6" w14:textId="77777777" w:rsidR="00BC7F22" w:rsidRPr="00CE5D9A" w:rsidRDefault="00BC7F22">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stowarzyszenie</w:t>
            </w:r>
          </w:p>
        </w:tc>
        <w:tc>
          <w:tcPr>
            <w:tcW w:w="455" w:type="pct"/>
            <w:tcBorders>
              <w:top w:val="single" w:sz="4" w:space="0" w:color="auto"/>
              <w:left w:val="nil"/>
              <w:bottom w:val="single" w:sz="4" w:space="0" w:color="auto"/>
              <w:right w:val="single" w:sz="4" w:space="0" w:color="auto"/>
            </w:tcBorders>
            <w:vAlign w:val="center"/>
          </w:tcPr>
          <w:p w14:paraId="41435C2D" w14:textId="3FF32D91" w:rsidR="00BC7F22" w:rsidRPr="00F477E7" w:rsidRDefault="00F477E7" w:rsidP="00F477E7">
            <w:pPr>
              <w:spacing w:after="0" w:line="240" w:lineRule="auto"/>
              <w:jc w:val="center"/>
              <w:rPr>
                <w:rFonts w:ascii="Times New Roman" w:eastAsia="Times New Roman" w:hAnsi="Times New Roman"/>
                <w:sz w:val="18"/>
                <w:szCs w:val="18"/>
                <w:lang w:eastAsia="pl-PL"/>
              </w:rPr>
            </w:pPr>
            <w:r w:rsidRPr="00F477E7">
              <w:rPr>
                <w:rFonts w:ascii="Times New Roman" w:eastAsia="Times New Roman" w:hAnsi="Times New Roman"/>
                <w:sz w:val="18"/>
                <w:szCs w:val="18"/>
                <w:lang w:eastAsia="pl-PL"/>
              </w:rPr>
              <w:t>Mieszkańcy</w:t>
            </w:r>
          </w:p>
        </w:tc>
        <w:tc>
          <w:tcPr>
            <w:tcW w:w="324" w:type="pct"/>
            <w:tcBorders>
              <w:top w:val="single" w:sz="4" w:space="0" w:color="auto"/>
              <w:left w:val="nil"/>
              <w:bottom w:val="single" w:sz="4" w:space="0" w:color="auto"/>
              <w:right w:val="single" w:sz="4" w:space="0" w:color="auto"/>
            </w:tcBorders>
            <w:vAlign w:val="center"/>
          </w:tcPr>
          <w:p w14:paraId="50340024" w14:textId="77777777" w:rsidR="00BC7F22" w:rsidRPr="00CE5D9A" w:rsidRDefault="00BC7F22" w:rsidP="00086F74">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75F63E17" w14:textId="58B13FBE" w:rsidR="00BC7F22" w:rsidRPr="00CE5D9A" w:rsidRDefault="00BC7F22" w:rsidP="000572D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 </w:t>
            </w:r>
            <w:r w:rsidRPr="000572DD">
              <w:rPr>
                <w:rFonts w:ascii="Times New Roman" w:eastAsia="Times New Roman" w:hAnsi="Times New Roman"/>
                <w:color w:val="FF0000"/>
                <w:sz w:val="18"/>
                <w:szCs w:val="18"/>
                <w:lang w:eastAsia="pl-PL"/>
              </w:rPr>
              <w:t xml:space="preserve">€ </w:t>
            </w:r>
            <w:r w:rsidR="00851AAB">
              <w:rPr>
                <w:rFonts w:ascii="Times New Roman" w:eastAsia="Times New Roman" w:hAnsi="Times New Roman"/>
                <w:color w:val="FF0000"/>
                <w:sz w:val="18"/>
                <w:szCs w:val="18"/>
                <w:lang w:eastAsia="pl-PL"/>
              </w:rPr>
              <w:t>1 20</w:t>
            </w:r>
            <w:r w:rsidRPr="000572DD">
              <w:rPr>
                <w:rFonts w:ascii="Times New Roman" w:eastAsia="Times New Roman" w:hAnsi="Times New Roman"/>
                <w:color w:val="FF0000"/>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56BD3DEE" w14:textId="3DD63CDC" w:rsidR="00BC7F22" w:rsidRPr="00CE5D9A" w:rsidRDefault="006256FD" w:rsidP="006256FD">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728E963D" w14:textId="7A5CB697" w:rsidTr="000572DD">
        <w:trPr>
          <w:trHeight w:val="276"/>
        </w:trPr>
        <w:tc>
          <w:tcPr>
            <w:tcW w:w="606" w:type="pct"/>
            <w:tcBorders>
              <w:top w:val="single" w:sz="4" w:space="0" w:color="auto"/>
              <w:left w:val="single" w:sz="4" w:space="0" w:color="auto"/>
              <w:bottom w:val="single" w:sz="4" w:space="0" w:color="auto"/>
              <w:right w:val="single" w:sz="4" w:space="0" w:color="auto"/>
            </w:tcBorders>
            <w:vAlign w:val="center"/>
          </w:tcPr>
          <w:p w14:paraId="7B5DE421"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Niewystarczająca aktywność osób z niepełnosprawnościami</w:t>
            </w:r>
          </w:p>
        </w:tc>
        <w:tc>
          <w:tcPr>
            <w:tcW w:w="149" w:type="pct"/>
            <w:tcBorders>
              <w:top w:val="single" w:sz="4" w:space="0" w:color="auto"/>
              <w:left w:val="nil"/>
              <w:bottom w:val="single" w:sz="4" w:space="0" w:color="auto"/>
              <w:right w:val="single" w:sz="4" w:space="0" w:color="auto"/>
            </w:tcBorders>
            <w:vAlign w:val="center"/>
          </w:tcPr>
          <w:p w14:paraId="5C05CEBB" w14:textId="2E9D92E9" w:rsidR="00F03728" w:rsidRPr="00C21863" w:rsidRDefault="00C21863" w:rsidP="00C21863">
            <w:pPr>
              <w:spacing w:after="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1.2</w:t>
            </w:r>
          </w:p>
        </w:tc>
        <w:tc>
          <w:tcPr>
            <w:tcW w:w="567" w:type="pct"/>
            <w:gridSpan w:val="2"/>
            <w:tcBorders>
              <w:top w:val="single" w:sz="4" w:space="0" w:color="auto"/>
              <w:left w:val="nil"/>
              <w:bottom w:val="single" w:sz="4" w:space="0" w:color="auto"/>
              <w:right w:val="single" w:sz="4" w:space="0" w:color="auto"/>
            </w:tcBorders>
            <w:vAlign w:val="center"/>
          </w:tcPr>
          <w:p w14:paraId="65D8C8CD" w14:textId="39B6814B"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Integracja</w:t>
            </w:r>
            <w:r w:rsidRPr="00CE5D9A">
              <w:rPr>
                <w:rFonts w:ascii="Times New Roman" w:eastAsia="Times New Roman" w:hAnsi="Times New Roman"/>
                <w:sz w:val="18"/>
                <w:szCs w:val="18"/>
                <w:lang w:eastAsia="pl-PL"/>
              </w:rPr>
              <w:br/>
              <w:t xml:space="preserve"> i wzmacnianie aktywności osób </w:t>
            </w:r>
            <w:r w:rsidRPr="00CE5D9A">
              <w:rPr>
                <w:rFonts w:ascii="Times New Roman" w:eastAsia="Times New Roman" w:hAnsi="Times New Roman"/>
                <w:sz w:val="18"/>
                <w:szCs w:val="18"/>
                <w:lang w:eastAsia="pl-PL"/>
              </w:rPr>
              <w:br/>
              <w:t xml:space="preserve">w niekorzystnej sytuacji – osoby </w:t>
            </w:r>
            <w:r w:rsidRPr="00CE5D9A">
              <w:rPr>
                <w:rFonts w:ascii="Times New Roman" w:eastAsia="Times New Roman" w:hAnsi="Times New Roman"/>
                <w:sz w:val="18"/>
                <w:szCs w:val="18"/>
                <w:lang w:eastAsia="pl-PL"/>
              </w:rPr>
              <w:br/>
              <w:t>z niepełnosprawnościami i ich opiekunowie</w:t>
            </w:r>
          </w:p>
        </w:tc>
        <w:tc>
          <w:tcPr>
            <w:tcW w:w="603" w:type="pct"/>
            <w:tcBorders>
              <w:top w:val="single" w:sz="4" w:space="0" w:color="auto"/>
              <w:left w:val="nil"/>
              <w:bottom w:val="single" w:sz="4" w:space="0" w:color="auto"/>
              <w:right w:val="single" w:sz="4" w:space="0" w:color="auto"/>
            </w:tcBorders>
            <w:vAlign w:val="center"/>
          </w:tcPr>
          <w:p w14:paraId="489C5DC1"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Organizacja wydarzeń edukacyjnych, kulturalnych </w:t>
            </w:r>
            <w:r w:rsidRPr="00CE5D9A">
              <w:rPr>
                <w:rFonts w:ascii="Times New Roman" w:eastAsia="Times New Roman" w:hAnsi="Times New Roman"/>
                <w:sz w:val="18"/>
                <w:szCs w:val="18"/>
                <w:lang w:eastAsia="pl-PL"/>
              </w:rPr>
              <w:br/>
              <w:t>i integracyjnych</w:t>
            </w:r>
          </w:p>
        </w:tc>
        <w:tc>
          <w:tcPr>
            <w:tcW w:w="650" w:type="pct"/>
            <w:tcBorders>
              <w:top w:val="single" w:sz="4" w:space="0" w:color="auto"/>
              <w:left w:val="nil"/>
              <w:bottom w:val="single" w:sz="4" w:space="0" w:color="auto"/>
              <w:right w:val="single" w:sz="4" w:space="0" w:color="auto"/>
            </w:tcBorders>
            <w:vAlign w:val="center"/>
          </w:tcPr>
          <w:p w14:paraId="31C58390" w14:textId="11602967" w:rsidR="006256FD" w:rsidRPr="00CE5D9A" w:rsidRDefault="006256FD" w:rsidP="00D14E5E">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br/>
            </w:r>
            <w:r w:rsidRPr="00CE5D9A">
              <w:rPr>
                <w:rFonts w:ascii="Times New Roman" w:eastAsia="Times New Roman" w:hAnsi="Times New Roman"/>
                <w:sz w:val="18"/>
                <w:szCs w:val="18"/>
                <w:lang w:eastAsia="pl-PL"/>
              </w:rPr>
              <w:t xml:space="preserve">8. Włączenie społeczne seniorów, ludzi młodych </w:t>
            </w:r>
            <w:r w:rsidRPr="00CE5D9A">
              <w:rPr>
                <w:rFonts w:ascii="Times New Roman" w:eastAsia="Times New Roman" w:hAnsi="Times New Roman"/>
                <w:sz w:val="18"/>
                <w:szCs w:val="18"/>
                <w:lang w:eastAsia="pl-PL"/>
              </w:rPr>
              <w:br/>
              <w:t>i osób w niekorzystnej sytuacji;</w:t>
            </w:r>
            <w:r w:rsidRPr="00CE5D9A">
              <w:rPr>
                <w:rFonts w:ascii="Times New Roman" w:eastAsia="Times New Roman" w:hAnsi="Times New Roman"/>
                <w:sz w:val="18"/>
                <w:szCs w:val="18"/>
                <w:lang w:eastAsia="pl-PL"/>
              </w:rPr>
              <w:br/>
              <w:t xml:space="preserve"> </w:t>
            </w:r>
            <w:r>
              <w:rPr>
                <w:rFonts w:ascii="Times New Roman" w:eastAsia="Times New Roman" w:hAnsi="Times New Roman"/>
                <w:sz w:val="18"/>
                <w:szCs w:val="18"/>
                <w:lang w:eastAsia="pl-PL"/>
              </w:rPr>
              <w:t>nie inwestycyjny</w:t>
            </w:r>
          </w:p>
        </w:tc>
        <w:tc>
          <w:tcPr>
            <w:tcW w:w="536" w:type="pct"/>
            <w:tcBorders>
              <w:top w:val="single" w:sz="4" w:space="0" w:color="auto"/>
              <w:left w:val="nil"/>
              <w:bottom w:val="single" w:sz="4" w:space="0" w:color="auto"/>
              <w:right w:val="single" w:sz="4" w:space="0" w:color="auto"/>
            </w:tcBorders>
            <w:vAlign w:val="center"/>
          </w:tcPr>
          <w:p w14:paraId="01550BF9"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 PLN</w:t>
            </w:r>
          </w:p>
          <w:p w14:paraId="36B90F12" w14:textId="7A485906" w:rsidR="006256FD" w:rsidRPr="000572DD" w:rsidRDefault="006256FD" w:rsidP="00D44D97">
            <w:pPr>
              <w:spacing w:after="0" w:line="240" w:lineRule="auto"/>
              <w:jc w:val="center"/>
              <w:rPr>
                <w:rFonts w:ascii="Times New Roman" w:eastAsia="Times New Roman" w:hAnsi="Times New Roman"/>
                <w:strike/>
                <w:color w:val="FF0000"/>
                <w:sz w:val="18"/>
                <w:szCs w:val="18"/>
                <w:lang w:eastAsia="pl-PL"/>
              </w:rPr>
            </w:pPr>
            <w:r w:rsidRPr="000572DD">
              <w:rPr>
                <w:rFonts w:ascii="Times New Roman" w:eastAsia="Times New Roman" w:hAnsi="Times New Roman"/>
                <w:strike/>
                <w:color w:val="FF0000"/>
                <w:sz w:val="18"/>
                <w:szCs w:val="18"/>
                <w:lang w:eastAsia="pl-PL"/>
              </w:rPr>
              <w:t>Max. wysokość wsparcia 500 000 PLN</w:t>
            </w:r>
          </w:p>
          <w:p w14:paraId="7484078B"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p>
          <w:p w14:paraId="08225B4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kosztów kwalifikowalnych</w:t>
            </w:r>
          </w:p>
        </w:tc>
        <w:tc>
          <w:tcPr>
            <w:tcW w:w="494" w:type="pct"/>
            <w:tcBorders>
              <w:top w:val="single" w:sz="4" w:space="0" w:color="auto"/>
              <w:left w:val="nil"/>
              <w:bottom w:val="single" w:sz="4" w:space="0" w:color="auto"/>
              <w:right w:val="single" w:sz="4" w:space="0" w:color="auto"/>
            </w:tcBorders>
            <w:vAlign w:val="center"/>
          </w:tcPr>
          <w:p w14:paraId="29148F55"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LGD/ stowarzyszenia</w:t>
            </w:r>
          </w:p>
        </w:tc>
        <w:tc>
          <w:tcPr>
            <w:tcW w:w="455" w:type="pct"/>
            <w:tcBorders>
              <w:top w:val="single" w:sz="4" w:space="0" w:color="auto"/>
              <w:left w:val="nil"/>
              <w:bottom w:val="single" w:sz="4" w:space="0" w:color="auto"/>
              <w:right w:val="single" w:sz="4" w:space="0" w:color="auto"/>
            </w:tcBorders>
            <w:vAlign w:val="center"/>
          </w:tcPr>
          <w:p w14:paraId="14CB6FD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Mieszkańcy, </w:t>
            </w:r>
            <w:r w:rsidRPr="00CE5D9A">
              <w:rPr>
                <w:rFonts w:ascii="Times New Roman" w:eastAsia="Times New Roman" w:hAnsi="Times New Roman"/>
                <w:sz w:val="18"/>
                <w:szCs w:val="18"/>
                <w:lang w:eastAsia="pl-PL"/>
              </w:rPr>
              <w:br/>
              <w:t>osoby z niepełnosprawnościami i ich opiekunowie</w:t>
            </w:r>
          </w:p>
        </w:tc>
        <w:tc>
          <w:tcPr>
            <w:tcW w:w="324" w:type="pct"/>
            <w:tcBorders>
              <w:top w:val="single" w:sz="4" w:space="0" w:color="auto"/>
              <w:left w:val="nil"/>
              <w:bottom w:val="single" w:sz="4" w:space="0" w:color="auto"/>
              <w:right w:val="single" w:sz="4" w:space="0" w:color="auto"/>
            </w:tcBorders>
            <w:vAlign w:val="center"/>
          </w:tcPr>
          <w:p w14:paraId="5B8F7622" w14:textId="357873C5"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 operacja własna</w:t>
            </w:r>
          </w:p>
        </w:tc>
        <w:tc>
          <w:tcPr>
            <w:tcW w:w="325" w:type="pct"/>
            <w:tcBorders>
              <w:top w:val="single" w:sz="4" w:space="0" w:color="auto"/>
              <w:left w:val="nil"/>
              <w:bottom w:val="single" w:sz="4" w:space="0" w:color="auto"/>
              <w:right w:val="single" w:sz="4" w:space="0" w:color="auto"/>
            </w:tcBorders>
            <w:vAlign w:val="center"/>
          </w:tcPr>
          <w:p w14:paraId="29B3D211" w14:textId="4ADC61F3" w:rsidR="006256FD" w:rsidRPr="00CE5D9A" w:rsidRDefault="00F24E20"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 € 6</w:t>
            </w:r>
            <w:r w:rsidR="006256FD" w:rsidRPr="00CE5D9A">
              <w:rPr>
                <w:rFonts w:ascii="Times New Roman" w:eastAsia="Times New Roman" w:hAnsi="Times New Roman"/>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51D5AA9A" w14:textId="6D14EDBA" w:rsidR="006256FD" w:rsidRPr="00CE5D9A" w:rsidRDefault="000572DD" w:rsidP="000572DD">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425F99B9" w14:textId="0CFEB76E" w:rsidTr="004F506B">
        <w:trPr>
          <w:trHeight w:val="63"/>
        </w:trPr>
        <w:tc>
          <w:tcPr>
            <w:tcW w:w="606" w:type="pct"/>
            <w:tcBorders>
              <w:top w:val="single" w:sz="4" w:space="0" w:color="auto"/>
              <w:left w:val="single" w:sz="4" w:space="0" w:color="auto"/>
              <w:bottom w:val="single" w:sz="4" w:space="0" w:color="auto"/>
              <w:right w:val="single" w:sz="4" w:space="0" w:color="auto"/>
            </w:tcBorders>
            <w:vAlign w:val="center"/>
          </w:tcPr>
          <w:p w14:paraId="6326879C"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Niewystarczająca oferta rozwoju </w:t>
            </w:r>
            <w:r w:rsidRPr="00CE5D9A">
              <w:rPr>
                <w:rFonts w:ascii="Times New Roman" w:eastAsia="Times New Roman" w:hAnsi="Times New Roman"/>
                <w:i/>
                <w:iCs/>
                <w:sz w:val="18"/>
                <w:szCs w:val="18"/>
                <w:lang w:eastAsia="pl-PL"/>
              </w:rPr>
              <w:br/>
              <w:t xml:space="preserve">i zagospodarowania czasu wolnego </w:t>
            </w:r>
          </w:p>
        </w:tc>
        <w:tc>
          <w:tcPr>
            <w:tcW w:w="149" w:type="pct"/>
            <w:tcBorders>
              <w:top w:val="single" w:sz="4" w:space="0" w:color="auto"/>
              <w:left w:val="nil"/>
              <w:bottom w:val="single" w:sz="4" w:space="0" w:color="auto"/>
              <w:right w:val="single" w:sz="4" w:space="0" w:color="auto"/>
            </w:tcBorders>
            <w:vAlign w:val="center"/>
          </w:tcPr>
          <w:p w14:paraId="582D69C6" w14:textId="2E9A8A78" w:rsidR="006256FD" w:rsidRPr="00CE5D9A" w:rsidRDefault="00C21863"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1.3</w:t>
            </w:r>
          </w:p>
        </w:tc>
        <w:tc>
          <w:tcPr>
            <w:tcW w:w="567" w:type="pct"/>
            <w:gridSpan w:val="2"/>
            <w:tcBorders>
              <w:top w:val="single" w:sz="4" w:space="0" w:color="auto"/>
              <w:left w:val="nil"/>
              <w:bottom w:val="single" w:sz="4" w:space="0" w:color="auto"/>
              <w:right w:val="single" w:sz="4" w:space="0" w:color="auto"/>
            </w:tcBorders>
            <w:vAlign w:val="center"/>
          </w:tcPr>
          <w:p w14:paraId="613FC5AB"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Poznanie i zachowanie dziedzictwa kulturowego </w:t>
            </w:r>
            <w:r w:rsidRPr="00CE5D9A">
              <w:rPr>
                <w:rFonts w:ascii="Times New Roman" w:eastAsia="Times New Roman" w:hAnsi="Times New Roman"/>
                <w:sz w:val="18"/>
                <w:szCs w:val="18"/>
                <w:lang w:eastAsia="pl-PL"/>
              </w:rPr>
              <w:br/>
              <w:t>i naturalnego</w:t>
            </w:r>
          </w:p>
        </w:tc>
        <w:tc>
          <w:tcPr>
            <w:tcW w:w="603" w:type="pct"/>
            <w:tcBorders>
              <w:top w:val="single" w:sz="4" w:space="0" w:color="auto"/>
              <w:left w:val="nil"/>
              <w:bottom w:val="single" w:sz="4" w:space="0" w:color="auto"/>
              <w:right w:val="single" w:sz="4" w:space="0" w:color="auto"/>
            </w:tcBorders>
            <w:vAlign w:val="center"/>
          </w:tcPr>
          <w:p w14:paraId="668F0AC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Organizacja wydarzeń edukacyjnych, kulturalnych </w:t>
            </w:r>
            <w:r w:rsidRPr="00CE5D9A">
              <w:rPr>
                <w:rFonts w:ascii="Times New Roman" w:eastAsia="Times New Roman" w:hAnsi="Times New Roman"/>
                <w:sz w:val="18"/>
                <w:szCs w:val="18"/>
                <w:lang w:eastAsia="pl-PL"/>
              </w:rPr>
              <w:br/>
              <w:t>i integracyjnych</w:t>
            </w:r>
          </w:p>
        </w:tc>
        <w:tc>
          <w:tcPr>
            <w:tcW w:w="650" w:type="pct"/>
            <w:tcBorders>
              <w:top w:val="single" w:sz="4" w:space="0" w:color="auto"/>
              <w:left w:val="nil"/>
              <w:bottom w:val="single" w:sz="4" w:space="0" w:color="auto"/>
              <w:right w:val="single" w:sz="4" w:space="0" w:color="auto"/>
            </w:tcBorders>
            <w:vAlign w:val="center"/>
          </w:tcPr>
          <w:p w14:paraId="189E914D"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8. Włączenie społeczne seniorów, ludzi młodych </w:t>
            </w:r>
            <w:r w:rsidRPr="00CE5D9A">
              <w:rPr>
                <w:rFonts w:ascii="Times New Roman" w:eastAsia="Times New Roman" w:hAnsi="Times New Roman"/>
                <w:sz w:val="18"/>
                <w:szCs w:val="18"/>
                <w:lang w:eastAsia="pl-PL"/>
              </w:rPr>
              <w:br/>
              <w:t xml:space="preserve">i osób w niekorzystnej sytuacji; </w:t>
            </w:r>
            <w:r w:rsidRPr="00CE5D9A">
              <w:rPr>
                <w:rFonts w:ascii="Times New Roman" w:eastAsia="Times New Roman" w:hAnsi="Times New Roman"/>
                <w:sz w:val="18"/>
                <w:szCs w:val="18"/>
                <w:lang w:eastAsia="pl-PL"/>
              </w:rPr>
              <w:br/>
              <w:t>nieinwestycyjny</w:t>
            </w:r>
          </w:p>
        </w:tc>
        <w:tc>
          <w:tcPr>
            <w:tcW w:w="536" w:type="pct"/>
            <w:tcBorders>
              <w:top w:val="single" w:sz="4" w:space="0" w:color="auto"/>
              <w:left w:val="nil"/>
              <w:bottom w:val="single" w:sz="4" w:space="0" w:color="auto"/>
              <w:right w:val="single" w:sz="4" w:space="0" w:color="auto"/>
            </w:tcBorders>
            <w:vAlign w:val="center"/>
          </w:tcPr>
          <w:p w14:paraId="1638F23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p>
          <w:p w14:paraId="21B20200" w14:textId="1BF4E1D5" w:rsidR="006256FD" w:rsidRPr="000572DD" w:rsidRDefault="006256FD" w:rsidP="00D44D97">
            <w:pPr>
              <w:spacing w:after="0" w:line="240" w:lineRule="auto"/>
              <w:jc w:val="center"/>
              <w:rPr>
                <w:rFonts w:ascii="Times New Roman" w:eastAsia="Times New Roman" w:hAnsi="Times New Roman"/>
                <w:strike/>
                <w:color w:val="FF0000"/>
                <w:sz w:val="18"/>
                <w:szCs w:val="18"/>
                <w:lang w:eastAsia="pl-PL"/>
              </w:rPr>
            </w:pPr>
            <w:r w:rsidRPr="000572DD">
              <w:rPr>
                <w:rFonts w:ascii="Times New Roman" w:eastAsia="Times New Roman" w:hAnsi="Times New Roman"/>
                <w:strike/>
                <w:color w:val="FF0000"/>
                <w:sz w:val="18"/>
                <w:szCs w:val="18"/>
                <w:lang w:eastAsia="pl-PL"/>
              </w:rPr>
              <w:t>Max. wysokość wsparcia 500 000 PLN</w:t>
            </w:r>
          </w:p>
          <w:p w14:paraId="45038CCC"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p>
          <w:p w14:paraId="343D3CE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kosztów kwalifikowalnych</w:t>
            </w:r>
          </w:p>
        </w:tc>
        <w:tc>
          <w:tcPr>
            <w:tcW w:w="494" w:type="pct"/>
            <w:tcBorders>
              <w:top w:val="single" w:sz="4" w:space="0" w:color="auto"/>
              <w:left w:val="nil"/>
              <w:bottom w:val="single" w:sz="4" w:space="0" w:color="auto"/>
              <w:right w:val="single" w:sz="4" w:space="0" w:color="auto"/>
            </w:tcBorders>
            <w:vAlign w:val="center"/>
          </w:tcPr>
          <w:p w14:paraId="2C5779F6" w14:textId="226B6496" w:rsidR="006256FD" w:rsidRPr="00CE5D9A" w:rsidRDefault="006256FD" w:rsidP="00D44D97">
            <w:pPr>
              <w:spacing w:after="0" w:line="240" w:lineRule="auto"/>
              <w:jc w:val="center"/>
              <w:rPr>
                <w:rFonts w:ascii="Times New Roman" w:eastAsia="Times New Roman" w:hAnsi="Times New Roman"/>
                <w:sz w:val="18"/>
                <w:szCs w:val="18"/>
                <w:lang w:eastAsia="pl-PL"/>
              </w:rPr>
            </w:pPr>
            <w:r w:rsidRPr="00D14E5E">
              <w:rPr>
                <w:rFonts w:ascii="Times New Roman" w:eastAsia="Times New Roman" w:hAnsi="Times New Roman"/>
                <w:strike/>
                <w:color w:val="FF0000"/>
                <w:sz w:val="18"/>
                <w:szCs w:val="18"/>
                <w:lang w:eastAsia="pl-PL"/>
              </w:rPr>
              <w:t>Stowarzyszenia</w:t>
            </w:r>
            <w:r w:rsidRPr="00CE5D9A">
              <w:rPr>
                <w:rFonts w:ascii="Times New Roman" w:eastAsia="Times New Roman" w:hAnsi="Times New Roman"/>
                <w:sz w:val="18"/>
                <w:szCs w:val="18"/>
                <w:lang w:eastAsia="pl-PL"/>
              </w:rPr>
              <w:t xml:space="preserve"> /LGD</w:t>
            </w:r>
          </w:p>
        </w:tc>
        <w:tc>
          <w:tcPr>
            <w:tcW w:w="455" w:type="pct"/>
            <w:tcBorders>
              <w:top w:val="single" w:sz="4" w:space="0" w:color="auto"/>
              <w:left w:val="nil"/>
              <w:bottom w:val="single" w:sz="4" w:space="0" w:color="auto"/>
              <w:right w:val="single" w:sz="4" w:space="0" w:color="auto"/>
            </w:tcBorders>
            <w:vAlign w:val="center"/>
          </w:tcPr>
          <w:p w14:paraId="32EEA3B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 do 25. roku życia</w:t>
            </w:r>
          </w:p>
        </w:tc>
        <w:tc>
          <w:tcPr>
            <w:tcW w:w="324" w:type="pct"/>
            <w:tcBorders>
              <w:top w:val="single" w:sz="4" w:space="0" w:color="auto"/>
              <w:left w:val="nil"/>
              <w:bottom w:val="single" w:sz="4" w:space="0" w:color="auto"/>
              <w:right w:val="single" w:sz="4" w:space="0" w:color="auto"/>
            </w:tcBorders>
            <w:vAlign w:val="center"/>
          </w:tcPr>
          <w:p w14:paraId="080C6D8B" w14:textId="62F6CFDB" w:rsidR="006256FD" w:rsidRPr="00CE5D9A" w:rsidRDefault="006256FD" w:rsidP="00D7426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Projekt grantowy</w:t>
            </w:r>
          </w:p>
        </w:tc>
        <w:tc>
          <w:tcPr>
            <w:tcW w:w="325" w:type="pct"/>
            <w:tcBorders>
              <w:top w:val="single" w:sz="4" w:space="0" w:color="auto"/>
              <w:left w:val="nil"/>
              <w:bottom w:val="single" w:sz="4" w:space="0" w:color="auto"/>
              <w:right w:val="single" w:sz="4" w:space="0" w:color="auto"/>
            </w:tcBorders>
            <w:vAlign w:val="center"/>
          </w:tcPr>
          <w:p w14:paraId="5FD325D7" w14:textId="2CF1D3C7" w:rsidR="006256FD" w:rsidRPr="00CE5D9A" w:rsidRDefault="00F24E20"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 € 6</w:t>
            </w:r>
            <w:r w:rsidR="006256FD" w:rsidRPr="00CE5D9A">
              <w:rPr>
                <w:rFonts w:ascii="Times New Roman" w:eastAsia="Times New Roman" w:hAnsi="Times New Roman"/>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22CFB681" w14:textId="0FBDAAB3"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4B21AA9D" w14:textId="1599278A" w:rsidTr="00182F9A">
        <w:trPr>
          <w:trHeight w:val="416"/>
        </w:trPr>
        <w:tc>
          <w:tcPr>
            <w:tcW w:w="606" w:type="pct"/>
            <w:tcBorders>
              <w:top w:val="single" w:sz="4" w:space="0" w:color="auto"/>
              <w:left w:val="single" w:sz="4" w:space="0" w:color="auto"/>
              <w:bottom w:val="single" w:sz="4" w:space="0" w:color="auto"/>
              <w:right w:val="single" w:sz="4" w:space="0" w:color="auto"/>
            </w:tcBorders>
            <w:vAlign w:val="center"/>
          </w:tcPr>
          <w:p w14:paraId="68992845"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Niewystarczająca oferta rozwoju </w:t>
            </w:r>
            <w:r w:rsidRPr="00CE5D9A">
              <w:rPr>
                <w:rFonts w:ascii="Times New Roman" w:eastAsia="Times New Roman" w:hAnsi="Times New Roman"/>
                <w:i/>
                <w:iCs/>
                <w:sz w:val="18"/>
                <w:szCs w:val="18"/>
                <w:lang w:eastAsia="pl-PL"/>
              </w:rPr>
              <w:br/>
              <w:t xml:space="preserve">i zagospodarowania czasu wolnego </w:t>
            </w:r>
          </w:p>
        </w:tc>
        <w:tc>
          <w:tcPr>
            <w:tcW w:w="149" w:type="pct"/>
            <w:tcBorders>
              <w:top w:val="single" w:sz="4" w:space="0" w:color="auto"/>
              <w:left w:val="nil"/>
              <w:bottom w:val="single" w:sz="4" w:space="0" w:color="auto"/>
              <w:right w:val="single" w:sz="4" w:space="0" w:color="auto"/>
            </w:tcBorders>
            <w:vAlign w:val="center"/>
          </w:tcPr>
          <w:p w14:paraId="56AAC5A4" w14:textId="1D80F5F4" w:rsidR="006256FD" w:rsidRPr="00CE5D9A" w:rsidRDefault="00C21863"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1.4</w:t>
            </w:r>
          </w:p>
        </w:tc>
        <w:tc>
          <w:tcPr>
            <w:tcW w:w="567" w:type="pct"/>
            <w:gridSpan w:val="2"/>
            <w:tcBorders>
              <w:top w:val="single" w:sz="4" w:space="0" w:color="auto"/>
              <w:left w:val="nil"/>
              <w:bottom w:val="single" w:sz="4" w:space="0" w:color="auto"/>
              <w:right w:val="single" w:sz="4" w:space="0" w:color="auto"/>
            </w:tcBorders>
            <w:vAlign w:val="center"/>
          </w:tcPr>
          <w:p w14:paraId="706D17F7"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Włączenia cyfrowe </w:t>
            </w:r>
            <w:r w:rsidRPr="00CE5D9A">
              <w:rPr>
                <w:rFonts w:ascii="Times New Roman" w:eastAsia="Times New Roman" w:hAnsi="Times New Roman"/>
                <w:sz w:val="18"/>
                <w:szCs w:val="18"/>
                <w:lang w:eastAsia="pl-PL"/>
              </w:rPr>
              <w:br/>
              <w:t xml:space="preserve">i aktywizacja </w:t>
            </w:r>
          </w:p>
        </w:tc>
        <w:tc>
          <w:tcPr>
            <w:tcW w:w="603" w:type="pct"/>
            <w:tcBorders>
              <w:top w:val="single" w:sz="4" w:space="0" w:color="auto"/>
              <w:left w:val="nil"/>
              <w:bottom w:val="single" w:sz="4" w:space="0" w:color="auto"/>
              <w:right w:val="single" w:sz="4" w:space="0" w:color="auto"/>
            </w:tcBorders>
            <w:vAlign w:val="center"/>
          </w:tcPr>
          <w:p w14:paraId="243D5472"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Organizacja wydarzeń edukacyjnych, kulturalnych </w:t>
            </w:r>
            <w:r w:rsidRPr="00CE5D9A">
              <w:rPr>
                <w:rFonts w:ascii="Times New Roman" w:eastAsia="Times New Roman" w:hAnsi="Times New Roman"/>
                <w:sz w:val="18"/>
                <w:szCs w:val="18"/>
                <w:lang w:eastAsia="pl-PL"/>
              </w:rPr>
              <w:br/>
              <w:t>i integracyjnych</w:t>
            </w:r>
          </w:p>
        </w:tc>
        <w:tc>
          <w:tcPr>
            <w:tcW w:w="650" w:type="pct"/>
            <w:tcBorders>
              <w:top w:val="single" w:sz="4" w:space="0" w:color="auto"/>
              <w:left w:val="nil"/>
              <w:bottom w:val="single" w:sz="4" w:space="0" w:color="auto"/>
              <w:right w:val="single" w:sz="4" w:space="0" w:color="auto"/>
            </w:tcBorders>
            <w:vAlign w:val="center"/>
          </w:tcPr>
          <w:p w14:paraId="5FDD5AAD"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8. Włączenie społeczne seniorów, ludzi młodych </w:t>
            </w:r>
            <w:r w:rsidRPr="00CE5D9A">
              <w:rPr>
                <w:rFonts w:ascii="Times New Roman" w:eastAsia="Times New Roman" w:hAnsi="Times New Roman"/>
                <w:sz w:val="18"/>
                <w:szCs w:val="18"/>
                <w:lang w:eastAsia="pl-PL"/>
              </w:rPr>
              <w:br/>
              <w:t xml:space="preserve">i osób w niekorzystnej sytuacji; </w:t>
            </w:r>
            <w:r w:rsidRPr="00CE5D9A">
              <w:rPr>
                <w:rFonts w:ascii="Times New Roman" w:eastAsia="Times New Roman" w:hAnsi="Times New Roman"/>
                <w:sz w:val="18"/>
                <w:szCs w:val="18"/>
                <w:lang w:eastAsia="pl-PL"/>
              </w:rPr>
              <w:br/>
              <w:t>nieinwestycyjny</w:t>
            </w:r>
          </w:p>
        </w:tc>
        <w:tc>
          <w:tcPr>
            <w:tcW w:w="536" w:type="pct"/>
            <w:tcBorders>
              <w:top w:val="single" w:sz="4" w:space="0" w:color="auto"/>
              <w:left w:val="nil"/>
              <w:bottom w:val="single" w:sz="4" w:space="0" w:color="auto"/>
              <w:right w:val="single" w:sz="4" w:space="0" w:color="auto"/>
            </w:tcBorders>
          </w:tcPr>
          <w:p w14:paraId="11125BC6" w14:textId="02CE9732" w:rsidR="006256FD" w:rsidRPr="00CE5D9A" w:rsidRDefault="006256FD" w:rsidP="00B37FDF">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r w:rsidRPr="00CE5D9A">
              <w:rPr>
                <w:rFonts w:ascii="Times New Roman" w:eastAsia="Times New Roman" w:hAnsi="Times New Roman"/>
                <w:sz w:val="18"/>
                <w:szCs w:val="18"/>
                <w:lang w:eastAsia="pl-PL"/>
              </w:rPr>
              <w:br/>
              <w:t>Max. wysokość wsparcia 500 000 PLN</w:t>
            </w:r>
          </w:p>
          <w:p w14:paraId="0857815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100% kosztów </w:t>
            </w:r>
            <w:r w:rsidRPr="00CE5D9A">
              <w:rPr>
                <w:rFonts w:ascii="Times New Roman" w:eastAsia="Times New Roman" w:hAnsi="Times New Roman"/>
                <w:sz w:val="18"/>
                <w:szCs w:val="18"/>
                <w:lang w:eastAsia="pl-PL"/>
              </w:rPr>
              <w:lastRenderedPageBreak/>
              <w:t>kwalifikowalnych</w:t>
            </w:r>
          </w:p>
        </w:tc>
        <w:tc>
          <w:tcPr>
            <w:tcW w:w="494" w:type="pct"/>
            <w:tcBorders>
              <w:top w:val="single" w:sz="4" w:space="0" w:color="auto"/>
              <w:left w:val="nil"/>
              <w:bottom w:val="single" w:sz="4" w:space="0" w:color="auto"/>
              <w:right w:val="single" w:sz="4" w:space="0" w:color="auto"/>
            </w:tcBorders>
            <w:vAlign w:val="center"/>
          </w:tcPr>
          <w:p w14:paraId="200A9CBC" w14:textId="4D3D5673" w:rsidR="006256FD" w:rsidRPr="00CE5D9A" w:rsidRDefault="006256FD" w:rsidP="004647AB">
            <w:pPr>
              <w:spacing w:after="0" w:line="240" w:lineRule="auto"/>
              <w:jc w:val="center"/>
              <w:rPr>
                <w:rFonts w:ascii="Times New Roman" w:eastAsia="Times New Roman" w:hAnsi="Times New Roman"/>
                <w:sz w:val="18"/>
                <w:szCs w:val="18"/>
                <w:lang w:eastAsia="pl-PL"/>
              </w:rPr>
            </w:pPr>
            <w:r w:rsidRPr="00D14E5E">
              <w:rPr>
                <w:rFonts w:ascii="Times New Roman" w:eastAsia="Times New Roman" w:hAnsi="Times New Roman"/>
                <w:strike/>
                <w:color w:val="FF0000"/>
                <w:sz w:val="18"/>
                <w:szCs w:val="18"/>
                <w:lang w:eastAsia="pl-PL"/>
              </w:rPr>
              <w:lastRenderedPageBreak/>
              <w:t>Stowarzyszenia</w:t>
            </w:r>
            <w:r>
              <w:rPr>
                <w:rFonts w:ascii="Times New Roman" w:eastAsia="Times New Roman" w:hAnsi="Times New Roman"/>
                <w:sz w:val="18"/>
                <w:szCs w:val="18"/>
                <w:lang w:eastAsia="pl-PL"/>
              </w:rPr>
              <w:t xml:space="preserve"> </w:t>
            </w:r>
            <w:r w:rsidRPr="00D14E5E">
              <w:rPr>
                <w:rFonts w:ascii="Times New Roman" w:eastAsia="Times New Roman" w:hAnsi="Times New Roman"/>
                <w:color w:val="FF0000"/>
                <w:sz w:val="18"/>
                <w:szCs w:val="18"/>
                <w:lang w:eastAsia="pl-PL"/>
              </w:rPr>
              <w:t>LGD</w:t>
            </w:r>
          </w:p>
        </w:tc>
        <w:tc>
          <w:tcPr>
            <w:tcW w:w="455" w:type="pct"/>
            <w:tcBorders>
              <w:top w:val="single" w:sz="4" w:space="0" w:color="auto"/>
              <w:left w:val="nil"/>
              <w:bottom w:val="single" w:sz="4" w:space="0" w:color="auto"/>
              <w:right w:val="single" w:sz="4" w:space="0" w:color="auto"/>
            </w:tcBorders>
            <w:vAlign w:val="center"/>
          </w:tcPr>
          <w:p w14:paraId="522BAAD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 powyżej 60. roku życia</w:t>
            </w:r>
          </w:p>
        </w:tc>
        <w:tc>
          <w:tcPr>
            <w:tcW w:w="324" w:type="pct"/>
            <w:tcBorders>
              <w:top w:val="single" w:sz="4" w:space="0" w:color="auto"/>
              <w:left w:val="nil"/>
              <w:bottom w:val="single" w:sz="4" w:space="0" w:color="auto"/>
              <w:right w:val="single" w:sz="4" w:space="0" w:color="auto"/>
            </w:tcBorders>
            <w:vAlign w:val="center"/>
          </w:tcPr>
          <w:p w14:paraId="7046E6EE" w14:textId="64BC17E7" w:rsidR="006256FD" w:rsidRPr="00CE5D9A" w:rsidRDefault="006256FD" w:rsidP="00D7426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Projekt grantowy</w:t>
            </w:r>
          </w:p>
        </w:tc>
        <w:tc>
          <w:tcPr>
            <w:tcW w:w="325" w:type="pct"/>
            <w:tcBorders>
              <w:top w:val="single" w:sz="4" w:space="0" w:color="auto"/>
              <w:left w:val="nil"/>
              <w:bottom w:val="single" w:sz="4" w:space="0" w:color="auto"/>
              <w:right w:val="single" w:sz="4" w:space="0" w:color="auto"/>
            </w:tcBorders>
            <w:vAlign w:val="center"/>
          </w:tcPr>
          <w:p w14:paraId="6B1621F5" w14:textId="583A4744" w:rsidR="006256FD" w:rsidRPr="00CE5D9A" w:rsidRDefault="00F24E20"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 € 6</w:t>
            </w:r>
            <w:r w:rsidR="006256FD" w:rsidRPr="00CE5D9A">
              <w:rPr>
                <w:rFonts w:ascii="Times New Roman" w:eastAsia="Times New Roman" w:hAnsi="Times New Roman"/>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2F8EA736" w14:textId="7E85E55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439D8AAE" w14:textId="0EB18070"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29C26A1B" w14:textId="226D639B" w:rsidR="006256FD" w:rsidRPr="00830009" w:rsidRDefault="006256FD" w:rsidP="00D44D97">
            <w:pPr>
              <w:spacing w:after="0" w:line="240" w:lineRule="auto"/>
              <w:jc w:val="center"/>
              <w:rPr>
                <w:rFonts w:ascii="Times New Roman" w:eastAsia="Times New Roman" w:hAnsi="Times New Roman"/>
                <w:i/>
                <w:iCs/>
                <w:strike/>
                <w:color w:val="FF0000"/>
                <w:sz w:val="18"/>
                <w:szCs w:val="18"/>
                <w:lang w:eastAsia="pl-PL"/>
              </w:rPr>
            </w:pPr>
            <w:r w:rsidRPr="00830009">
              <w:rPr>
                <w:rFonts w:ascii="Times New Roman" w:eastAsia="Times New Roman" w:hAnsi="Times New Roman"/>
                <w:i/>
                <w:iCs/>
                <w:strike/>
                <w:color w:val="FF0000"/>
                <w:sz w:val="18"/>
                <w:szCs w:val="18"/>
                <w:lang w:eastAsia="pl-PL"/>
              </w:rPr>
              <w:t>Mała akt</w:t>
            </w:r>
            <w:r w:rsidR="00A509A0" w:rsidRPr="00830009">
              <w:rPr>
                <w:rFonts w:ascii="Times New Roman" w:eastAsia="Times New Roman" w:hAnsi="Times New Roman"/>
                <w:i/>
                <w:iCs/>
                <w:strike/>
                <w:color w:val="FF0000"/>
                <w:sz w:val="18"/>
                <w:szCs w:val="18"/>
                <w:lang w:eastAsia="pl-PL"/>
              </w:rPr>
              <w:t>ywność organizacji pozarządowych</w:t>
            </w:r>
          </w:p>
          <w:p w14:paraId="7340261C" w14:textId="77777777" w:rsidR="00A509A0" w:rsidRPr="00830009" w:rsidRDefault="00A509A0" w:rsidP="00D44D97">
            <w:pPr>
              <w:spacing w:after="0" w:line="240" w:lineRule="auto"/>
              <w:jc w:val="center"/>
              <w:rPr>
                <w:rFonts w:ascii="Times New Roman" w:eastAsia="Times New Roman" w:hAnsi="Times New Roman"/>
                <w:i/>
                <w:iCs/>
                <w:strike/>
                <w:color w:val="FF0000"/>
                <w:sz w:val="18"/>
                <w:szCs w:val="18"/>
                <w:lang w:eastAsia="pl-PL"/>
              </w:rPr>
            </w:pPr>
          </w:p>
          <w:p w14:paraId="659B378D" w14:textId="437E4734" w:rsidR="004F506B" w:rsidRPr="00830009" w:rsidRDefault="004F506B" w:rsidP="00D44D97">
            <w:pPr>
              <w:spacing w:after="0" w:line="240" w:lineRule="auto"/>
              <w:jc w:val="center"/>
              <w:rPr>
                <w:rFonts w:ascii="Times New Roman" w:eastAsia="Times New Roman" w:hAnsi="Times New Roman"/>
                <w:i/>
                <w:iCs/>
                <w:color w:val="FF0000"/>
                <w:sz w:val="18"/>
                <w:szCs w:val="18"/>
                <w:lang w:eastAsia="pl-PL"/>
              </w:rPr>
            </w:pPr>
            <w:r w:rsidRPr="00830009">
              <w:rPr>
                <w:rFonts w:ascii="Times New Roman" w:eastAsia="Times New Roman" w:hAnsi="Times New Roman"/>
                <w:i/>
                <w:iCs/>
                <w:color w:val="FF0000"/>
                <w:sz w:val="18"/>
                <w:szCs w:val="18"/>
                <w:lang w:eastAsia="pl-PL"/>
              </w:rPr>
              <w:t>Postępująca degradacja</w:t>
            </w:r>
            <w:r w:rsidR="00D47E0B" w:rsidRPr="00830009">
              <w:rPr>
                <w:rFonts w:ascii="Times New Roman" w:eastAsia="Times New Roman" w:hAnsi="Times New Roman"/>
                <w:i/>
                <w:iCs/>
                <w:color w:val="FF0000"/>
                <w:sz w:val="18"/>
                <w:szCs w:val="18"/>
                <w:lang w:eastAsia="pl-PL"/>
              </w:rPr>
              <w:t>, erozja</w:t>
            </w:r>
            <w:r w:rsidRPr="00830009">
              <w:rPr>
                <w:rFonts w:ascii="Times New Roman" w:eastAsia="Times New Roman" w:hAnsi="Times New Roman"/>
                <w:i/>
                <w:iCs/>
                <w:color w:val="FF0000"/>
                <w:sz w:val="18"/>
                <w:szCs w:val="18"/>
                <w:lang w:eastAsia="pl-PL"/>
              </w:rPr>
              <w:t xml:space="preserve"> zabytków,</w:t>
            </w:r>
          </w:p>
        </w:tc>
        <w:tc>
          <w:tcPr>
            <w:tcW w:w="149" w:type="pct"/>
            <w:tcBorders>
              <w:top w:val="single" w:sz="4" w:space="0" w:color="auto"/>
              <w:left w:val="nil"/>
              <w:bottom w:val="single" w:sz="4" w:space="0" w:color="auto"/>
              <w:right w:val="single" w:sz="4" w:space="0" w:color="auto"/>
            </w:tcBorders>
            <w:vAlign w:val="center"/>
          </w:tcPr>
          <w:p w14:paraId="0EAF195B" w14:textId="79926809" w:rsidR="006256FD" w:rsidRPr="00830009" w:rsidRDefault="00C21863" w:rsidP="00D44D97">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1.5</w:t>
            </w:r>
          </w:p>
        </w:tc>
        <w:tc>
          <w:tcPr>
            <w:tcW w:w="567" w:type="pct"/>
            <w:gridSpan w:val="2"/>
            <w:tcBorders>
              <w:top w:val="single" w:sz="4" w:space="0" w:color="auto"/>
              <w:left w:val="nil"/>
              <w:bottom w:val="single" w:sz="4" w:space="0" w:color="auto"/>
              <w:right w:val="single" w:sz="4" w:space="0" w:color="auto"/>
            </w:tcBorders>
            <w:vAlign w:val="center"/>
          </w:tcPr>
          <w:p w14:paraId="6804B4CF" w14:textId="1CBD0A17" w:rsidR="00A509A0" w:rsidRPr="00830009" w:rsidRDefault="006256FD" w:rsidP="005F2C1D">
            <w:pPr>
              <w:spacing w:after="0" w:line="240" w:lineRule="auto"/>
              <w:jc w:val="center"/>
              <w:rPr>
                <w:rFonts w:ascii="Times New Roman" w:eastAsia="Times New Roman" w:hAnsi="Times New Roman"/>
                <w:strike/>
                <w:color w:val="FF0000"/>
                <w:sz w:val="18"/>
                <w:szCs w:val="18"/>
                <w:lang w:eastAsia="pl-PL"/>
              </w:rPr>
            </w:pPr>
            <w:r w:rsidRPr="00830009">
              <w:rPr>
                <w:rFonts w:ascii="Times New Roman" w:eastAsia="Times New Roman" w:hAnsi="Times New Roman"/>
                <w:strike/>
                <w:color w:val="FF0000"/>
                <w:sz w:val="18"/>
                <w:szCs w:val="18"/>
                <w:lang w:eastAsia="pl-PL"/>
              </w:rPr>
              <w:t xml:space="preserve">Zwiększenie oferty spędzania czasu wolnego wykorzystującej dziedzictwo naturalne i/lub kulturowe w ramach realizowanych działań, w tym wynikających z Koncepcji Smart Village </w:t>
            </w:r>
          </w:p>
          <w:p w14:paraId="6E6C7892" w14:textId="235055D6" w:rsidR="00A509A0" w:rsidRPr="00830009" w:rsidRDefault="004F506B" w:rsidP="005F2C1D">
            <w:pPr>
              <w:spacing w:after="0" w:line="240" w:lineRule="auto"/>
              <w:jc w:val="center"/>
              <w:rPr>
                <w:rFonts w:ascii="Times New Roman" w:eastAsia="Times New Roman" w:hAnsi="Times New Roman"/>
                <w:color w:val="FF0000"/>
                <w:sz w:val="18"/>
                <w:szCs w:val="18"/>
                <w:lang w:eastAsia="pl-PL"/>
              </w:rPr>
            </w:pPr>
            <w:r w:rsidRPr="00830009">
              <w:rPr>
                <w:rFonts w:ascii="Times New Roman" w:eastAsia="Times New Roman" w:hAnsi="Times New Roman"/>
                <w:color w:val="FF0000"/>
                <w:sz w:val="18"/>
                <w:szCs w:val="18"/>
                <w:lang w:eastAsia="pl-PL"/>
              </w:rPr>
              <w:t>Ochrona lub rewitalizacja zabytków lub ich remonty lub konserwacja</w:t>
            </w:r>
          </w:p>
        </w:tc>
        <w:tc>
          <w:tcPr>
            <w:tcW w:w="603" w:type="pct"/>
            <w:tcBorders>
              <w:top w:val="single" w:sz="4" w:space="0" w:color="auto"/>
              <w:left w:val="nil"/>
              <w:bottom w:val="single" w:sz="4" w:space="0" w:color="auto"/>
              <w:right w:val="single" w:sz="4" w:space="0" w:color="auto"/>
            </w:tcBorders>
            <w:vAlign w:val="center"/>
          </w:tcPr>
          <w:p w14:paraId="45AFED01" w14:textId="77777777" w:rsidR="006256FD" w:rsidRPr="00830009" w:rsidRDefault="006256FD" w:rsidP="00D44D97">
            <w:pPr>
              <w:spacing w:after="0" w:line="240" w:lineRule="auto"/>
              <w:jc w:val="center"/>
              <w:rPr>
                <w:rFonts w:ascii="Times New Roman" w:eastAsia="Times New Roman" w:hAnsi="Times New Roman"/>
                <w:strike/>
                <w:color w:val="FF0000"/>
                <w:sz w:val="18"/>
                <w:szCs w:val="18"/>
                <w:lang w:eastAsia="pl-PL"/>
              </w:rPr>
            </w:pPr>
            <w:r w:rsidRPr="00830009">
              <w:rPr>
                <w:rFonts w:ascii="Times New Roman" w:eastAsia="Times New Roman" w:hAnsi="Times New Roman"/>
                <w:strike/>
                <w:color w:val="FF0000"/>
                <w:sz w:val="18"/>
                <w:szCs w:val="18"/>
                <w:lang w:eastAsia="pl-PL"/>
              </w:rPr>
              <w:t xml:space="preserve">Organizacja wydarzeń edukacyjnych, kulturalnych </w:t>
            </w:r>
            <w:r w:rsidRPr="00830009">
              <w:rPr>
                <w:rFonts w:ascii="Times New Roman" w:eastAsia="Times New Roman" w:hAnsi="Times New Roman"/>
                <w:strike/>
                <w:color w:val="FF0000"/>
                <w:sz w:val="18"/>
                <w:szCs w:val="18"/>
                <w:lang w:eastAsia="pl-PL"/>
              </w:rPr>
              <w:br/>
              <w:t>i integracyjnych</w:t>
            </w:r>
          </w:p>
          <w:p w14:paraId="11F3D15B" w14:textId="77777777" w:rsidR="002037CD" w:rsidRPr="00830009" w:rsidRDefault="002037CD" w:rsidP="00D44D97">
            <w:pPr>
              <w:spacing w:after="0" w:line="240" w:lineRule="auto"/>
              <w:jc w:val="center"/>
              <w:rPr>
                <w:rFonts w:ascii="Times New Roman" w:eastAsia="Times New Roman" w:hAnsi="Times New Roman"/>
                <w:strike/>
                <w:color w:val="FF0000"/>
                <w:sz w:val="18"/>
                <w:szCs w:val="18"/>
                <w:lang w:eastAsia="pl-PL"/>
              </w:rPr>
            </w:pPr>
          </w:p>
          <w:p w14:paraId="525A61F0" w14:textId="122CA6F6" w:rsidR="002037CD" w:rsidRPr="00830009" w:rsidRDefault="002037CD" w:rsidP="00D44D97">
            <w:pPr>
              <w:spacing w:after="0" w:line="240" w:lineRule="auto"/>
              <w:jc w:val="center"/>
              <w:rPr>
                <w:rFonts w:ascii="Times New Roman" w:eastAsia="Times New Roman" w:hAnsi="Times New Roman"/>
                <w:color w:val="FF0000"/>
                <w:sz w:val="18"/>
                <w:szCs w:val="18"/>
                <w:lang w:eastAsia="pl-PL"/>
              </w:rPr>
            </w:pPr>
            <w:r w:rsidRPr="00830009">
              <w:rPr>
                <w:rFonts w:ascii="Times New Roman" w:eastAsia="Times New Roman" w:hAnsi="Times New Roman"/>
                <w:color w:val="FF0000"/>
                <w:sz w:val="18"/>
                <w:szCs w:val="18"/>
                <w:lang w:eastAsia="pl-PL"/>
              </w:rPr>
              <w:t>Prace konserwatorskie, restauratorskie lub roboty budowlane przy zabytkach</w:t>
            </w:r>
          </w:p>
        </w:tc>
        <w:tc>
          <w:tcPr>
            <w:tcW w:w="650" w:type="pct"/>
            <w:tcBorders>
              <w:top w:val="single" w:sz="4" w:space="0" w:color="auto"/>
              <w:left w:val="nil"/>
              <w:bottom w:val="single" w:sz="4" w:space="0" w:color="auto"/>
              <w:right w:val="single" w:sz="4" w:space="0" w:color="auto"/>
            </w:tcBorders>
            <w:vAlign w:val="center"/>
          </w:tcPr>
          <w:p w14:paraId="16E2F73B" w14:textId="77777777" w:rsidR="00D255F0" w:rsidRDefault="006256FD" w:rsidP="00D44D97">
            <w:pPr>
              <w:spacing w:after="0" w:line="240" w:lineRule="auto"/>
              <w:jc w:val="center"/>
              <w:rPr>
                <w:rFonts w:ascii="Times New Roman" w:eastAsia="Times New Roman" w:hAnsi="Times New Roman"/>
                <w:strike/>
                <w:color w:val="FF0000"/>
                <w:sz w:val="18"/>
                <w:szCs w:val="18"/>
                <w:lang w:eastAsia="pl-PL"/>
              </w:rPr>
            </w:pPr>
            <w:r w:rsidRPr="0033638B">
              <w:rPr>
                <w:rFonts w:ascii="Times New Roman" w:eastAsia="Times New Roman" w:hAnsi="Times New Roman"/>
                <w:strike/>
                <w:color w:val="FF0000"/>
                <w:sz w:val="18"/>
                <w:szCs w:val="18"/>
                <w:lang w:eastAsia="pl-PL"/>
              </w:rPr>
              <w:t xml:space="preserve">4. Poprawa dostępu do usług dla lokalnych społeczności; </w:t>
            </w:r>
            <w:r w:rsidR="0033638B">
              <w:rPr>
                <w:rFonts w:ascii="Times New Roman" w:eastAsia="Times New Roman" w:hAnsi="Times New Roman"/>
                <w:strike/>
                <w:color w:val="FF0000"/>
                <w:sz w:val="18"/>
                <w:szCs w:val="18"/>
                <w:lang w:eastAsia="pl-PL"/>
              </w:rPr>
              <w:t xml:space="preserve">nie inwestycyjny </w:t>
            </w:r>
          </w:p>
          <w:p w14:paraId="706C196A" w14:textId="1C335D24" w:rsidR="006256FD" w:rsidRPr="0033638B" w:rsidRDefault="0033638B" w:rsidP="00D44D97">
            <w:pPr>
              <w:spacing w:after="0" w:line="240" w:lineRule="auto"/>
              <w:jc w:val="center"/>
              <w:rPr>
                <w:rFonts w:ascii="Times New Roman" w:eastAsia="Times New Roman" w:hAnsi="Times New Roman"/>
                <w:strike/>
                <w:color w:val="FF0000"/>
                <w:sz w:val="18"/>
                <w:szCs w:val="18"/>
                <w:lang w:eastAsia="pl-PL"/>
              </w:rPr>
            </w:pPr>
            <w:r>
              <w:rPr>
                <w:rFonts w:ascii="Times New Roman" w:eastAsia="Times New Roman" w:hAnsi="Times New Roman"/>
                <w:strike/>
                <w:color w:val="FF0000"/>
                <w:sz w:val="18"/>
                <w:szCs w:val="18"/>
                <w:lang w:eastAsia="pl-PL"/>
              </w:rPr>
              <w:br/>
            </w:r>
            <w:r w:rsidRPr="0033638B">
              <w:rPr>
                <w:rFonts w:ascii="Times New Roman" w:eastAsia="Times New Roman" w:hAnsi="Times New Roman"/>
                <w:color w:val="FF0000"/>
                <w:sz w:val="18"/>
                <w:szCs w:val="18"/>
                <w:lang w:eastAsia="pl-PL"/>
              </w:rPr>
              <w:t>9. Ochrona dziedzictwa kulturowego i przyrodniczego polskiej wsi</w:t>
            </w:r>
          </w:p>
        </w:tc>
        <w:tc>
          <w:tcPr>
            <w:tcW w:w="536" w:type="pct"/>
            <w:tcBorders>
              <w:top w:val="single" w:sz="4" w:space="0" w:color="auto"/>
              <w:left w:val="nil"/>
              <w:bottom w:val="single" w:sz="4" w:space="0" w:color="auto"/>
              <w:right w:val="single" w:sz="4" w:space="0" w:color="auto"/>
            </w:tcBorders>
          </w:tcPr>
          <w:p w14:paraId="79466FDD" w14:textId="6F7A3A57" w:rsidR="00A509A0" w:rsidRDefault="006256FD" w:rsidP="00B37FDF">
            <w:pPr>
              <w:spacing w:after="0" w:line="240" w:lineRule="auto"/>
              <w:jc w:val="center"/>
              <w:rPr>
                <w:rFonts w:ascii="Times New Roman" w:eastAsia="Times New Roman" w:hAnsi="Times New Roman"/>
                <w:color w:val="FF0000"/>
                <w:sz w:val="18"/>
                <w:szCs w:val="18"/>
                <w:lang w:eastAsia="pl-PL"/>
              </w:rPr>
            </w:pPr>
            <w:r w:rsidRPr="00A509A0">
              <w:rPr>
                <w:rFonts w:ascii="Times New Roman" w:eastAsia="Times New Roman" w:hAnsi="Times New Roman"/>
                <w:color w:val="FF0000"/>
                <w:sz w:val="18"/>
                <w:szCs w:val="18"/>
                <w:lang w:eastAsia="pl-PL"/>
              </w:rPr>
              <w:t>Min. wysokość wsparcia 50</w:t>
            </w:r>
            <w:r w:rsidR="00A509A0">
              <w:rPr>
                <w:rFonts w:ascii="Times New Roman" w:eastAsia="Times New Roman" w:hAnsi="Times New Roman"/>
                <w:color w:val="FF0000"/>
                <w:sz w:val="18"/>
                <w:szCs w:val="18"/>
                <w:lang w:eastAsia="pl-PL"/>
              </w:rPr>
              <w:t> </w:t>
            </w:r>
            <w:r w:rsidRPr="00A509A0">
              <w:rPr>
                <w:rFonts w:ascii="Times New Roman" w:eastAsia="Times New Roman" w:hAnsi="Times New Roman"/>
                <w:color w:val="FF0000"/>
                <w:sz w:val="18"/>
                <w:szCs w:val="18"/>
                <w:lang w:eastAsia="pl-PL"/>
              </w:rPr>
              <w:t>000</w:t>
            </w:r>
          </w:p>
          <w:p w14:paraId="750E9AE6" w14:textId="1E3E6C78" w:rsidR="006256FD" w:rsidRDefault="006256FD" w:rsidP="00B37FDF">
            <w:pPr>
              <w:spacing w:after="0" w:line="240" w:lineRule="auto"/>
              <w:jc w:val="center"/>
              <w:rPr>
                <w:rFonts w:ascii="Times New Roman" w:eastAsia="Times New Roman" w:hAnsi="Times New Roman"/>
                <w:strike/>
                <w:color w:val="FF0000"/>
                <w:sz w:val="18"/>
                <w:szCs w:val="18"/>
                <w:lang w:eastAsia="pl-PL"/>
              </w:rPr>
            </w:pPr>
            <w:r w:rsidRPr="0033638B">
              <w:rPr>
                <w:rFonts w:ascii="Times New Roman" w:eastAsia="Times New Roman" w:hAnsi="Times New Roman"/>
                <w:strike/>
                <w:color w:val="FF0000"/>
                <w:sz w:val="18"/>
                <w:szCs w:val="18"/>
                <w:lang w:eastAsia="pl-PL"/>
              </w:rPr>
              <w:br/>
              <w:t>Max. wysokość wsparcia 500 000 PLN</w:t>
            </w:r>
          </w:p>
          <w:p w14:paraId="3F1D1D75" w14:textId="77777777" w:rsidR="00A509A0" w:rsidRPr="0033638B" w:rsidRDefault="00A509A0" w:rsidP="00B37FDF">
            <w:pPr>
              <w:spacing w:after="0" w:line="240" w:lineRule="auto"/>
              <w:jc w:val="center"/>
              <w:rPr>
                <w:rFonts w:ascii="Times New Roman" w:eastAsia="Times New Roman" w:hAnsi="Times New Roman"/>
                <w:strike/>
                <w:color w:val="FF0000"/>
                <w:sz w:val="18"/>
                <w:szCs w:val="18"/>
                <w:lang w:eastAsia="pl-PL"/>
              </w:rPr>
            </w:pPr>
          </w:p>
          <w:p w14:paraId="4C595860" w14:textId="77777777" w:rsidR="006256FD" w:rsidRPr="00A509A0" w:rsidRDefault="006256FD" w:rsidP="00D44D97">
            <w:pPr>
              <w:spacing w:after="0" w:line="240" w:lineRule="auto"/>
              <w:jc w:val="center"/>
              <w:rPr>
                <w:rFonts w:ascii="Times New Roman" w:eastAsia="Times New Roman" w:hAnsi="Times New Roman"/>
                <w:color w:val="FF0000"/>
                <w:sz w:val="18"/>
                <w:szCs w:val="18"/>
                <w:lang w:eastAsia="pl-PL"/>
              </w:rPr>
            </w:pPr>
            <w:r w:rsidRPr="00A509A0">
              <w:rPr>
                <w:rFonts w:ascii="Times New Roman" w:eastAsia="Times New Roman" w:hAnsi="Times New Roman"/>
                <w:color w:val="FF0000"/>
                <w:sz w:val="18"/>
                <w:szCs w:val="18"/>
                <w:lang w:eastAsia="pl-PL"/>
              </w:rPr>
              <w:t>100% kosztów kwalifikowalnych</w:t>
            </w:r>
          </w:p>
        </w:tc>
        <w:tc>
          <w:tcPr>
            <w:tcW w:w="494" w:type="pct"/>
            <w:tcBorders>
              <w:top w:val="single" w:sz="4" w:space="0" w:color="auto"/>
              <w:left w:val="nil"/>
              <w:bottom w:val="single" w:sz="4" w:space="0" w:color="auto"/>
              <w:right w:val="single" w:sz="4" w:space="0" w:color="auto"/>
            </w:tcBorders>
            <w:vAlign w:val="center"/>
          </w:tcPr>
          <w:p w14:paraId="1AA0273B" w14:textId="07F7EAC3" w:rsidR="006256FD" w:rsidRPr="00CE5D9A" w:rsidRDefault="006256FD" w:rsidP="00F47A74">
            <w:pPr>
              <w:spacing w:after="0" w:line="240" w:lineRule="auto"/>
              <w:jc w:val="center"/>
              <w:rPr>
                <w:rFonts w:ascii="Times New Roman" w:eastAsia="Times New Roman" w:hAnsi="Times New Roman"/>
                <w:sz w:val="18"/>
                <w:szCs w:val="18"/>
                <w:lang w:eastAsia="pl-PL"/>
              </w:rPr>
            </w:pPr>
            <w:r w:rsidRPr="0033638B">
              <w:rPr>
                <w:rFonts w:ascii="Times New Roman" w:eastAsia="Times New Roman" w:hAnsi="Times New Roman"/>
                <w:strike/>
                <w:color w:val="FF0000"/>
                <w:sz w:val="18"/>
                <w:szCs w:val="18"/>
                <w:lang w:eastAsia="pl-PL"/>
              </w:rPr>
              <w:t>Stowarzyszenia</w:t>
            </w:r>
            <w:r w:rsidR="0033638B" w:rsidRPr="0033638B">
              <w:rPr>
                <w:rFonts w:ascii="Times New Roman" w:eastAsia="Times New Roman" w:hAnsi="Times New Roman"/>
                <w:strike/>
                <w:color w:val="FF0000"/>
                <w:sz w:val="18"/>
                <w:szCs w:val="18"/>
                <w:lang w:eastAsia="pl-PL"/>
              </w:rPr>
              <w:t xml:space="preserve"> </w:t>
            </w:r>
            <w:r w:rsidR="00F47A74">
              <w:rPr>
                <w:rFonts w:ascii="Times New Roman" w:eastAsia="Times New Roman" w:hAnsi="Times New Roman"/>
                <w:color w:val="FF0000"/>
                <w:sz w:val="18"/>
                <w:szCs w:val="18"/>
                <w:lang w:eastAsia="pl-PL"/>
              </w:rPr>
              <w:t>stowarzyszenia, kościoły i związki wyznaniowe</w:t>
            </w:r>
            <w:r w:rsidR="002037CD">
              <w:rPr>
                <w:rFonts w:ascii="Times New Roman" w:eastAsia="Times New Roman" w:hAnsi="Times New Roman"/>
                <w:color w:val="FF0000"/>
                <w:sz w:val="18"/>
                <w:szCs w:val="18"/>
                <w:lang w:eastAsia="pl-PL"/>
              </w:rPr>
              <w:t xml:space="preserve">, </w:t>
            </w:r>
          </w:p>
        </w:tc>
        <w:tc>
          <w:tcPr>
            <w:tcW w:w="455" w:type="pct"/>
            <w:tcBorders>
              <w:top w:val="single" w:sz="4" w:space="0" w:color="auto"/>
              <w:left w:val="nil"/>
              <w:bottom w:val="single" w:sz="4" w:space="0" w:color="auto"/>
              <w:right w:val="single" w:sz="4" w:space="0" w:color="auto"/>
            </w:tcBorders>
            <w:vAlign w:val="center"/>
          </w:tcPr>
          <w:p w14:paraId="0D0DB96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 organizacje pozarządowe</w:t>
            </w:r>
          </w:p>
        </w:tc>
        <w:tc>
          <w:tcPr>
            <w:tcW w:w="324" w:type="pct"/>
            <w:tcBorders>
              <w:top w:val="single" w:sz="4" w:space="0" w:color="auto"/>
              <w:left w:val="nil"/>
              <w:bottom w:val="single" w:sz="4" w:space="0" w:color="auto"/>
              <w:right w:val="single" w:sz="4" w:space="0" w:color="auto"/>
            </w:tcBorders>
            <w:vAlign w:val="center"/>
          </w:tcPr>
          <w:p w14:paraId="4E8C5B31" w14:textId="77777777" w:rsidR="006256FD" w:rsidRPr="00CE5D9A" w:rsidRDefault="006256FD" w:rsidP="005F2C1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p w14:paraId="628F973C" w14:textId="64019BA7" w:rsidR="006256FD" w:rsidRPr="00CE5D9A" w:rsidRDefault="006256FD" w:rsidP="005F2C1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Projekty partnerskie</w:t>
            </w:r>
          </w:p>
        </w:tc>
        <w:tc>
          <w:tcPr>
            <w:tcW w:w="325" w:type="pct"/>
            <w:tcBorders>
              <w:top w:val="single" w:sz="4" w:space="0" w:color="auto"/>
              <w:left w:val="nil"/>
              <w:bottom w:val="single" w:sz="4" w:space="0" w:color="auto"/>
              <w:right w:val="single" w:sz="4" w:space="0" w:color="auto"/>
            </w:tcBorders>
            <w:vAlign w:val="center"/>
          </w:tcPr>
          <w:p w14:paraId="39A9D6AD" w14:textId="19186916" w:rsidR="006256FD" w:rsidRPr="003B577F" w:rsidRDefault="00851AAB" w:rsidP="00D44D97">
            <w:pPr>
              <w:spacing w:after="0" w:line="240" w:lineRule="auto"/>
              <w:jc w:val="center"/>
              <w:rPr>
                <w:rFonts w:ascii="Times New Roman" w:eastAsia="Times New Roman" w:hAnsi="Times New Roman"/>
                <w:color w:val="FF0000"/>
                <w:sz w:val="18"/>
                <w:szCs w:val="18"/>
                <w:lang w:eastAsia="pl-PL"/>
              </w:rPr>
            </w:pPr>
            <w:r w:rsidRPr="003B577F">
              <w:rPr>
                <w:rFonts w:ascii="Times New Roman" w:eastAsia="Times New Roman" w:hAnsi="Times New Roman"/>
                <w:color w:val="FF0000"/>
                <w:sz w:val="18"/>
                <w:szCs w:val="18"/>
                <w:lang w:eastAsia="pl-PL"/>
              </w:rPr>
              <w:t xml:space="preserve"> € 63</w:t>
            </w:r>
            <w:r w:rsidR="006256FD" w:rsidRPr="003B577F">
              <w:rPr>
                <w:rFonts w:ascii="Times New Roman" w:eastAsia="Times New Roman" w:hAnsi="Times New Roman"/>
                <w:color w:val="FF0000"/>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4A98F68B" w14:textId="519C54C9"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4551D923" w14:textId="693712A0" w:rsidTr="00F477E7">
        <w:trPr>
          <w:trHeight w:val="558"/>
        </w:trPr>
        <w:tc>
          <w:tcPr>
            <w:tcW w:w="606" w:type="pct"/>
            <w:tcBorders>
              <w:top w:val="single" w:sz="4" w:space="0" w:color="auto"/>
              <w:left w:val="single" w:sz="4" w:space="0" w:color="auto"/>
              <w:bottom w:val="single" w:sz="4" w:space="0" w:color="auto"/>
              <w:right w:val="single" w:sz="4" w:space="0" w:color="auto"/>
            </w:tcBorders>
            <w:vAlign w:val="center"/>
          </w:tcPr>
          <w:p w14:paraId="0DDE1B44"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Mała aktywność organizacji pozarządowych</w:t>
            </w:r>
          </w:p>
        </w:tc>
        <w:tc>
          <w:tcPr>
            <w:tcW w:w="149" w:type="pct"/>
            <w:tcBorders>
              <w:top w:val="single" w:sz="4" w:space="0" w:color="auto"/>
              <w:left w:val="nil"/>
              <w:bottom w:val="single" w:sz="4" w:space="0" w:color="auto"/>
              <w:right w:val="single" w:sz="4" w:space="0" w:color="auto"/>
            </w:tcBorders>
            <w:vAlign w:val="center"/>
          </w:tcPr>
          <w:p w14:paraId="1CC8C251" w14:textId="59338518" w:rsidR="006256FD" w:rsidRPr="00CE5D9A" w:rsidRDefault="00C21863"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1.6</w:t>
            </w:r>
          </w:p>
        </w:tc>
        <w:tc>
          <w:tcPr>
            <w:tcW w:w="567" w:type="pct"/>
            <w:gridSpan w:val="2"/>
            <w:tcBorders>
              <w:top w:val="single" w:sz="4" w:space="0" w:color="auto"/>
              <w:left w:val="nil"/>
              <w:bottom w:val="single" w:sz="4" w:space="0" w:color="auto"/>
              <w:right w:val="single" w:sz="4" w:space="0" w:color="auto"/>
            </w:tcBorders>
            <w:vAlign w:val="center"/>
          </w:tcPr>
          <w:p w14:paraId="5CD36342" w14:textId="3E23D86C"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Kojarzenie partnerów </w:t>
            </w:r>
            <w:r w:rsidRPr="00CE5D9A">
              <w:rPr>
                <w:rFonts w:ascii="Times New Roman" w:eastAsia="Times New Roman" w:hAnsi="Times New Roman"/>
                <w:sz w:val="18"/>
                <w:szCs w:val="18"/>
                <w:lang w:eastAsia="pl-PL"/>
              </w:rPr>
              <w:br/>
              <w:t>i animowanie do realizacji wspólnych projektów, w tym przygotowanie do wdrożenia idei Smart Villages</w:t>
            </w:r>
          </w:p>
        </w:tc>
        <w:tc>
          <w:tcPr>
            <w:tcW w:w="603" w:type="pct"/>
            <w:tcBorders>
              <w:top w:val="single" w:sz="4" w:space="0" w:color="auto"/>
              <w:left w:val="nil"/>
              <w:bottom w:val="single" w:sz="4" w:space="0" w:color="auto"/>
              <w:right w:val="single" w:sz="4" w:space="0" w:color="auto"/>
            </w:tcBorders>
            <w:vAlign w:val="center"/>
          </w:tcPr>
          <w:p w14:paraId="3493BFE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Organizacja wydarzeń edukacyjnych, kulturalnych </w:t>
            </w:r>
            <w:r w:rsidRPr="00CE5D9A">
              <w:rPr>
                <w:rFonts w:ascii="Times New Roman" w:eastAsia="Times New Roman" w:hAnsi="Times New Roman"/>
                <w:sz w:val="18"/>
                <w:szCs w:val="18"/>
                <w:lang w:eastAsia="pl-PL"/>
              </w:rPr>
              <w:br/>
              <w:t>i integracyjnych</w:t>
            </w:r>
          </w:p>
        </w:tc>
        <w:tc>
          <w:tcPr>
            <w:tcW w:w="650" w:type="pct"/>
            <w:tcBorders>
              <w:top w:val="single" w:sz="4" w:space="0" w:color="auto"/>
              <w:left w:val="nil"/>
              <w:bottom w:val="single" w:sz="4" w:space="0" w:color="auto"/>
              <w:right w:val="single" w:sz="4" w:space="0" w:color="auto"/>
            </w:tcBorders>
            <w:vAlign w:val="center"/>
          </w:tcPr>
          <w:p w14:paraId="2335F476"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7. Kształtowanie świadomości obywatelskiej </w:t>
            </w:r>
            <w:r w:rsidRPr="00CE5D9A">
              <w:rPr>
                <w:rFonts w:ascii="Times New Roman" w:eastAsia="Times New Roman" w:hAnsi="Times New Roman"/>
                <w:sz w:val="18"/>
                <w:szCs w:val="18"/>
                <w:lang w:eastAsia="pl-PL"/>
              </w:rPr>
              <w:br/>
              <w:t xml:space="preserve">(…), a także wzmacnianie programów edukacji liderów życia publicznego </w:t>
            </w:r>
            <w:r w:rsidRPr="00CE5D9A">
              <w:rPr>
                <w:rFonts w:ascii="Times New Roman" w:eastAsia="Times New Roman" w:hAnsi="Times New Roman"/>
                <w:sz w:val="18"/>
                <w:szCs w:val="18"/>
                <w:lang w:eastAsia="pl-PL"/>
              </w:rPr>
              <w:br/>
              <w:t>i społecznego; nieinwestycyjny</w:t>
            </w:r>
          </w:p>
        </w:tc>
        <w:tc>
          <w:tcPr>
            <w:tcW w:w="536" w:type="pct"/>
            <w:tcBorders>
              <w:top w:val="single" w:sz="4" w:space="0" w:color="auto"/>
              <w:left w:val="nil"/>
              <w:bottom w:val="single" w:sz="4" w:space="0" w:color="auto"/>
              <w:right w:val="single" w:sz="4" w:space="0" w:color="auto"/>
            </w:tcBorders>
          </w:tcPr>
          <w:p w14:paraId="67F009CA" w14:textId="77777777" w:rsidR="006256FD" w:rsidRPr="00CE5D9A" w:rsidRDefault="006256FD" w:rsidP="00826CF0">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p>
          <w:p w14:paraId="7EB469B0" w14:textId="25CF1B2A" w:rsidR="006256FD" w:rsidRPr="00CE5D9A" w:rsidRDefault="006256FD" w:rsidP="00826CF0">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Max. wysokość wsparcia 500 000 PLN</w:t>
            </w:r>
          </w:p>
          <w:p w14:paraId="6A4786F0" w14:textId="77777777" w:rsidR="006256FD" w:rsidRPr="00CE5D9A" w:rsidRDefault="006256FD" w:rsidP="00826CF0">
            <w:pPr>
              <w:spacing w:after="0" w:line="240" w:lineRule="auto"/>
              <w:jc w:val="center"/>
              <w:rPr>
                <w:rFonts w:ascii="Times New Roman" w:eastAsia="Times New Roman" w:hAnsi="Times New Roman"/>
                <w:sz w:val="18"/>
                <w:szCs w:val="18"/>
                <w:lang w:eastAsia="pl-PL"/>
              </w:rPr>
            </w:pPr>
          </w:p>
          <w:p w14:paraId="551084B8" w14:textId="77777777" w:rsidR="006256FD" w:rsidRPr="00CE5D9A" w:rsidRDefault="006256FD" w:rsidP="00826CF0">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kosztów kwalifikowalnych</w:t>
            </w:r>
          </w:p>
        </w:tc>
        <w:tc>
          <w:tcPr>
            <w:tcW w:w="494" w:type="pct"/>
            <w:tcBorders>
              <w:top w:val="single" w:sz="4" w:space="0" w:color="auto"/>
              <w:left w:val="nil"/>
              <w:bottom w:val="single" w:sz="4" w:space="0" w:color="auto"/>
              <w:right w:val="single" w:sz="4" w:space="0" w:color="auto"/>
            </w:tcBorders>
            <w:vAlign w:val="center"/>
          </w:tcPr>
          <w:p w14:paraId="75C07762"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20"/>
                <w:szCs w:val="20"/>
                <w:lang w:eastAsia="pl-PL"/>
              </w:rPr>
              <w:t>LGD i inne osoby prawne</w:t>
            </w:r>
          </w:p>
        </w:tc>
        <w:tc>
          <w:tcPr>
            <w:tcW w:w="455" w:type="pct"/>
            <w:tcBorders>
              <w:top w:val="single" w:sz="4" w:space="0" w:color="auto"/>
              <w:left w:val="nil"/>
              <w:bottom w:val="single" w:sz="4" w:space="0" w:color="auto"/>
              <w:right w:val="single" w:sz="4" w:space="0" w:color="auto"/>
            </w:tcBorders>
            <w:vAlign w:val="center"/>
          </w:tcPr>
          <w:p w14:paraId="73B0E40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 organizacje pozarządowe</w:t>
            </w:r>
          </w:p>
        </w:tc>
        <w:tc>
          <w:tcPr>
            <w:tcW w:w="324" w:type="pct"/>
            <w:tcBorders>
              <w:top w:val="single" w:sz="4" w:space="0" w:color="auto"/>
              <w:left w:val="nil"/>
              <w:bottom w:val="single" w:sz="4" w:space="0" w:color="auto"/>
              <w:right w:val="single" w:sz="4" w:space="0" w:color="auto"/>
            </w:tcBorders>
            <w:vAlign w:val="center"/>
          </w:tcPr>
          <w:p w14:paraId="6429FE38" w14:textId="19032F7C"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  / Projekty partnerskie / Operacja własna</w:t>
            </w:r>
          </w:p>
        </w:tc>
        <w:tc>
          <w:tcPr>
            <w:tcW w:w="325" w:type="pct"/>
            <w:tcBorders>
              <w:top w:val="single" w:sz="4" w:space="0" w:color="auto"/>
              <w:left w:val="nil"/>
              <w:bottom w:val="single" w:sz="4" w:space="0" w:color="auto"/>
              <w:right w:val="single" w:sz="4" w:space="0" w:color="auto"/>
            </w:tcBorders>
            <w:vAlign w:val="center"/>
          </w:tcPr>
          <w:p w14:paraId="3A0AA467" w14:textId="5782DF50" w:rsidR="006256FD" w:rsidRPr="00CE5D9A" w:rsidRDefault="00F24E20"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 € 20</w:t>
            </w:r>
            <w:r w:rsidR="006256FD" w:rsidRPr="00CE5D9A">
              <w:rPr>
                <w:rFonts w:ascii="Times New Roman" w:eastAsia="Times New Roman" w:hAnsi="Times New Roman"/>
                <w:sz w:val="18"/>
                <w:szCs w:val="18"/>
                <w:lang w:eastAsia="pl-PL"/>
              </w:rPr>
              <w:t xml:space="preserve"> 000 </w:t>
            </w:r>
          </w:p>
        </w:tc>
        <w:tc>
          <w:tcPr>
            <w:tcW w:w="291" w:type="pct"/>
            <w:tcBorders>
              <w:top w:val="single" w:sz="4" w:space="0" w:color="auto"/>
              <w:left w:val="nil"/>
              <w:bottom w:val="single" w:sz="4" w:space="0" w:color="auto"/>
              <w:right w:val="single" w:sz="4" w:space="0" w:color="auto"/>
            </w:tcBorders>
            <w:vAlign w:val="center"/>
          </w:tcPr>
          <w:p w14:paraId="00D2860E" w14:textId="04C9F05E"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47C8BA89" w14:textId="276D7937" w:rsidTr="004F506B">
        <w:trPr>
          <w:trHeight w:val="1304"/>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4BB1B4F" w14:textId="528C72C6"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Mała aktywność organizacji pozarządowych </w:t>
            </w:r>
          </w:p>
        </w:tc>
        <w:tc>
          <w:tcPr>
            <w:tcW w:w="149" w:type="pct"/>
            <w:tcBorders>
              <w:top w:val="single" w:sz="4" w:space="0" w:color="auto"/>
              <w:left w:val="nil"/>
              <w:bottom w:val="single" w:sz="4" w:space="0" w:color="auto"/>
              <w:right w:val="single" w:sz="4" w:space="0" w:color="auto"/>
            </w:tcBorders>
            <w:shd w:val="clear" w:color="auto" w:fill="auto"/>
            <w:vAlign w:val="center"/>
          </w:tcPr>
          <w:p w14:paraId="191368C3" w14:textId="30A424FC" w:rsidR="006256FD" w:rsidRPr="00CE5D9A" w:rsidRDefault="00C21863" w:rsidP="005F2C1D">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1.7</w:t>
            </w:r>
          </w:p>
        </w:tc>
        <w:tc>
          <w:tcPr>
            <w:tcW w:w="567" w:type="pct"/>
            <w:gridSpan w:val="2"/>
            <w:tcBorders>
              <w:top w:val="single" w:sz="4" w:space="0" w:color="auto"/>
              <w:left w:val="nil"/>
              <w:bottom w:val="single" w:sz="4" w:space="0" w:color="auto"/>
              <w:right w:val="single" w:sz="4" w:space="0" w:color="auto"/>
            </w:tcBorders>
            <w:shd w:val="clear" w:color="auto" w:fill="auto"/>
            <w:vAlign w:val="center"/>
          </w:tcPr>
          <w:p w14:paraId="18A6CA1F" w14:textId="574BAFED"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Opracowanie Koncepcji Smart Village – inteligentnej wsi </w:t>
            </w:r>
          </w:p>
        </w:tc>
        <w:tc>
          <w:tcPr>
            <w:tcW w:w="603" w:type="pct"/>
            <w:tcBorders>
              <w:top w:val="single" w:sz="4" w:space="0" w:color="auto"/>
              <w:left w:val="nil"/>
              <w:bottom w:val="single" w:sz="4" w:space="0" w:color="auto"/>
              <w:right w:val="single" w:sz="4" w:space="0" w:color="auto"/>
            </w:tcBorders>
            <w:shd w:val="clear" w:color="auto" w:fill="auto"/>
            <w:vAlign w:val="center"/>
          </w:tcPr>
          <w:p w14:paraId="51A4D377" w14:textId="0DA90C84"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Opracowanie dokumentu</w:t>
            </w:r>
          </w:p>
        </w:tc>
        <w:tc>
          <w:tcPr>
            <w:tcW w:w="650" w:type="pct"/>
            <w:tcBorders>
              <w:top w:val="single" w:sz="4" w:space="0" w:color="auto"/>
              <w:left w:val="nil"/>
              <w:bottom w:val="single" w:sz="4" w:space="0" w:color="auto"/>
              <w:right w:val="single" w:sz="4" w:space="0" w:color="auto"/>
            </w:tcBorders>
            <w:shd w:val="clear" w:color="auto" w:fill="auto"/>
            <w:vAlign w:val="center"/>
          </w:tcPr>
          <w:p w14:paraId="3B514BA8" w14:textId="2951C945"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5. Przygotowanie koncepcji inteligentnej wsi; </w:t>
            </w:r>
            <w:r w:rsidRPr="00CE5D9A">
              <w:rPr>
                <w:rFonts w:ascii="Times New Roman" w:eastAsia="Times New Roman" w:hAnsi="Times New Roman"/>
                <w:sz w:val="18"/>
                <w:szCs w:val="18"/>
                <w:lang w:eastAsia="pl-PL"/>
              </w:rPr>
              <w:br/>
              <w:t>nieinwestycyjny</w:t>
            </w:r>
          </w:p>
        </w:tc>
        <w:tc>
          <w:tcPr>
            <w:tcW w:w="536" w:type="pct"/>
            <w:tcBorders>
              <w:top w:val="single" w:sz="4" w:space="0" w:color="auto"/>
              <w:left w:val="nil"/>
              <w:bottom w:val="single" w:sz="4" w:space="0" w:color="auto"/>
              <w:right w:val="single" w:sz="4" w:space="0" w:color="auto"/>
            </w:tcBorders>
            <w:shd w:val="clear" w:color="auto" w:fill="auto"/>
          </w:tcPr>
          <w:p w14:paraId="55C57936" w14:textId="77777777" w:rsidR="006256FD" w:rsidRPr="00CE5D9A" w:rsidRDefault="006256FD" w:rsidP="00826CF0">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Max. wysokość wsparcia 4 000 PLN</w:t>
            </w:r>
          </w:p>
          <w:p w14:paraId="13C80149" w14:textId="77777777" w:rsidR="006256FD" w:rsidRPr="00CE5D9A" w:rsidRDefault="006256FD" w:rsidP="00826CF0">
            <w:pPr>
              <w:spacing w:after="0" w:line="240" w:lineRule="auto"/>
              <w:jc w:val="center"/>
              <w:rPr>
                <w:rFonts w:ascii="Times New Roman" w:eastAsia="Times New Roman" w:hAnsi="Times New Roman"/>
                <w:sz w:val="18"/>
                <w:szCs w:val="18"/>
                <w:lang w:eastAsia="pl-PL"/>
              </w:rPr>
            </w:pPr>
          </w:p>
          <w:p w14:paraId="38D03430" w14:textId="7AE5F9E0" w:rsidR="006256FD" w:rsidRPr="00CE5D9A" w:rsidRDefault="006256FD" w:rsidP="00826CF0">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kosztów kwalifikowalnych</w:t>
            </w:r>
          </w:p>
        </w:tc>
        <w:tc>
          <w:tcPr>
            <w:tcW w:w="494" w:type="pct"/>
            <w:tcBorders>
              <w:top w:val="single" w:sz="4" w:space="0" w:color="auto"/>
              <w:left w:val="nil"/>
              <w:bottom w:val="single" w:sz="4" w:space="0" w:color="auto"/>
              <w:right w:val="single" w:sz="4" w:space="0" w:color="auto"/>
            </w:tcBorders>
            <w:shd w:val="clear" w:color="auto" w:fill="auto"/>
            <w:vAlign w:val="center"/>
          </w:tcPr>
          <w:p w14:paraId="266EEC35" w14:textId="2A38BAE8"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LGD</w:t>
            </w:r>
          </w:p>
        </w:tc>
        <w:tc>
          <w:tcPr>
            <w:tcW w:w="455" w:type="pct"/>
            <w:tcBorders>
              <w:top w:val="single" w:sz="4" w:space="0" w:color="auto"/>
              <w:left w:val="nil"/>
              <w:bottom w:val="single" w:sz="4" w:space="0" w:color="auto"/>
              <w:right w:val="single" w:sz="4" w:space="0" w:color="auto"/>
            </w:tcBorders>
            <w:shd w:val="clear" w:color="auto" w:fill="auto"/>
            <w:vAlign w:val="center"/>
          </w:tcPr>
          <w:p w14:paraId="08686DC5" w14:textId="5D672A6D"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 organizacje pozarządowe</w:t>
            </w:r>
          </w:p>
        </w:tc>
        <w:tc>
          <w:tcPr>
            <w:tcW w:w="324" w:type="pct"/>
            <w:tcBorders>
              <w:top w:val="single" w:sz="4" w:space="0" w:color="auto"/>
              <w:left w:val="nil"/>
              <w:bottom w:val="single" w:sz="4" w:space="0" w:color="auto"/>
              <w:right w:val="single" w:sz="4" w:space="0" w:color="auto"/>
            </w:tcBorders>
            <w:shd w:val="clear" w:color="auto" w:fill="auto"/>
            <w:vAlign w:val="center"/>
          </w:tcPr>
          <w:p w14:paraId="2947E11B" w14:textId="59D370C3"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Projekt grantowy</w:t>
            </w:r>
          </w:p>
        </w:tc>
        <w:tc>
          <w:tcPr>
            <w:tcW w:w="325" w:type="pct"/>
            <w:tcBorders>
              <w:top w:val="single" w:sz="4" w:space="0" w:color="auto"/>
              <w:left w:val="nil"/>
              <w:bottom w:val="single" w:sz="4" w:space="0" w:color="auto"/>
              <w:right w:val="single" w:sz="4" w:space="0" w:color="auto"/>
            </w:tcBorders>
            <w:shd w:val="clear" w:color="auto" w:fill="auto"/>
            <w:vAlign w:val="center"/>
          </w:tcPr>
          <w:p w14:paraId="459387AC" w14:textId="74042E6B"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 € 5 000 </w:t>
            </w:r>
          </w:p>
        </w:tc>
        <w:tc>
          <w:tcPr>
            <w:tcW w:w="291" w:type="pct"/>
            <w:tcBorders>
              <w:top w:val="single" w:sz="4" w:space="0" w:color="auto"/>
              <w:left w:val="nil"/>
              <w:bottom w:val="single" w:sz="4" w:space="0" w:color="auto"/>
              <w:right w:val="single" w:sz="4" w:space="0" w:color="auto"/>
            </w:tcBorders>
            <w:vAlign w:val="center"/>
          </w:tcPr>
          <w:p w14:paraId="2DCFFA51" w14:textId="3BED3C83"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13CAB1C9" w14:textId="1EC2B169"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7003E5C2"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Niewystarczająca </w:t>
            </w:r>
            <w:r w:rsidRPr="00CE5D9A">
              <w:rPr>
                <w:rFonts w:ascii="Times New Roman" w:eastAsia="Times New Roman" w:hAnsi="Times New Roman"/>
                <w:i/>
                <w:iCs/>
                <w:sz w:val="18"/>
                <w:szCs w:val="18"/>
                <w:lang w:eastAsia="pl-PL"/>
              </w:rPr>
              <w:br/>
              <w:t>przedsiębiorczość</w:t>
            </w:r>
          </w:p>
          <w:p w14:paraId="60923FB5"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mieszkańców</w:t>
            </w:r>
          </w:p>
        </w:tc>
        <w:tc>
          <w:tcPr>
            <w:tcW w:w="149" w:type="pct"/>
            <w:tcBorders>
              <w:top w:val="single" w:sz="4" w:space="0" w:color="auto"/>
              <w:left w:val="nil"/>
              <w:bottom w:val="single" w:sz="4" w:space="0" w:color="auto"/>
              <w:right w:val="single" w:sz="4" w:space="0" w:color="auto"/>
            </w:tcBorders>
            <w:vAlign w:val="center"/>
          </w:tcPr>
          <w:p w14:paraId="65A2E2E3" w14:textId="5B2D52C0" w:rsidR="006256FD" w:rsidRPr="00CE5D9A" w:rsidRDefault="00C21863" w:rsidP="005F2C1D">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1.8</w:t>
            </w:r>
          </w:p>
        </w:tc>
        <w:tc>
          <w:tcPr>
            <w:tcW w:w="567" w:type="pct"/>
            <w:gridSpan w:val="2"/>
            <w:tcBorders>
              <w:top w:val="single" w:sz="4" w:space="0" w:color="auto"/>
              <w:left w:val="nil"/>
              <w:bottom w:val="single" w:sz="4" w:space="0" w:color="auto"/>
              <w:right w:val="single" w:sz="4" w:space="0" w:color="auto"/>
            </w:tcBorders>
            <w:vAlign w:val="center"/>
          </w:tcPr>
          <w:p w14:paraId="34E6FA07"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Podejmowanie działalności gospodarczej</w:t>
            </w:r>
          </w:p>
        </w:tc>
        <w:tc>
          <w:tcPr>
            <w:tcW w:w="603" w:type="pct"/>
            <w:tcBorders>
              <w:top w:val="single" w:sz="4" w:space="0" w:color="auto"/>
              <w:left w:val="nil"/>
              <w:bottom w:val="single" w:sz="4" w:space="0" w:color="auto"/>
              <w:right w:val="single" w:sz="4" w:space="0" w:color="auto"/>
            </w:tcBorders>
            <w:vAlign w:val="center"/>
          </w:tcPr>
          <w:p w14:paraId="1C12B709"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Budowa, rozbudowa </w:t>
            </w:r>
            <w:r w:rsidRPr="00CE5D9A">
              <w:rPr>
                <w:rFonts w:ascii="Times New Roman" w:eastAsia="Times New Roman" w:hAnsi="Times New Roman"/>
                <w:sz w:val="18"/>
                <w:szCs w:val="18"/>
                <w:lang w:eastAsia="pl-PL"/>
              </w:rPr>
              <w:br/>
              <w:t>i wyposażenie</w:t>
            </w:r>
          </w:p>
        </w:tc>
        <w:tc>
          <w:tcPr>
            <w:tcW w:w="650" w:type="pct"/>
            <w:tcBorders>
              <w:top w:val="single" w:sz="4" w:space="0" w:color="auto"/>
              <w:left w:val="nil"/>
              <w:bottom w:val="single" w:sz="4" w:space="0" w:color="auto"/>
              <w:right w:val="single" w:sz="4" w:space="0" w:color="auto"/>
            </w:tcBorders>
            <w:vAlign w:val="center"/>
          </w:tcPr>
          <w:p w14:paraId="15049B9B"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1. Rozwój przedsiębiorczości, </w:t>
            </w:r>
            <w:r w:rsidRPr="00CE5D9A">
              <w:rPr>
                <w:rFonts w:ascii="Times New Roman" w:eastAsia="Times New Roman" w:hAnsi="Times New Roman"/>
                <w:sz w:val="18"/>
                <w:szCs w:val="18"/>
                <w:lang w:eastAsia="pl-PL"/>
              </w:rPr>
              <w:br/>
              <w:t xml:space="preserve">w tym rozwój biogospodarki lub zielonej gospodarki – </w:t>
            </w:r>
            <w:r w:rsidRPr="00CE5D9A">
              <w:rPr>
                <w:rFonts w:ascii="Times New Roman" w:eastAsia="Times New Roman" w:hAnsi="Times New Roman"/>
                <w:sz w:val="18"/>
                <w:szCs w:val="18"/>
                <w:lang w:eastAsia="pl-PL"/>
              </w:rPr>
              <w:br/>
              <w:t>a. podejmowanie pozarolniczej działalności gospodarczej przez osoby fizyczne; inwestycyjny</w:t>
            </w:r>
          </w:p>
        </w:tc>
        <w:tc>
          <w:tcPr>
            <w:tcW w:w="536" w:type="pct"/>
            <w:tcBorders>
              <w:top w:val="single" w:sz="4" w:space="0" w:color="auto"/>
              <w:left w:val="nil"/>
              <w:bottom w:val="single" w:sz="4" w:space="0" w:color="auto"/>
              <w:right w:val="single" w:sz="4" w:space="0" w:color="auto"/>
            </w:tcBorders>
          </w:tcPr>
          <w:p w14:paraId="6CD239C9" w14:textId="0E9BE2EA"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r w:rsidRPr="00CE5D9A">
              <w:rPr>
                <w:rFonts w:ascii="Times New Roman" w:eastAsia="Times New Roman" w:hAnsi="Times New Roman"/>
                <w:sz w:val="18"/>
                <w:szCs w:val="18"/>
                <w:lang w:eastAsia="pl-PL"/>
              </w:rPr>
              <w:br/>
              <w:t>Max. wysokość wsparcia 150 000 PLN</w:t>
            </w:r>
          </w:p>
          <w:p w14:paraId="57FFC1DD"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p>
          <w:p w14:paraId="09BD203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65% kosztów kwalifikowalnych</w:t>
            </w:r>
          </w:p>
        </w:tc>
        <w:tc>
          <w:tcPr>
            <w:tcW w:w="494" w:type="pct"/>
            <w:tcBorders>
              <w:top w:val="single" w:sz="4" w:space="0" w:color="auto"/>
              <w:left w:val="nil"/>
              <w:bottom w:val="single" w:sz="4" w:space="0" w:color="auto"/>
              <w:right w:val="single" w:sz="4" w:space="0" w:color="auto"/>
            </w:tcBorders>
            <w:vAlign w:val="center"/>
          </w:tcPr>
          <w:p w14:paraId="3789AB2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Osoby fizyczne</w:t>
            </w:r>
          </w:p>
        </w:tc>
        <w:tc>
          <w:tcPr>
            <w:tcW w:w="455" w:type="pct"/>
            <w:tcBorders>
              <w:top w:val="single" w:sz="4" w:space="0" w:color="auto"/>
              <w:left w:val="nil"/>
              <w:bottom w:val="single" w:sz="4" w:space="0" w:color="auto"/>
              <w:right w:val="single" w:sz="4" w:space="0" w:color="auto"/>
            </w:tcBorders>
            <w:vAlign w:val="center"/>
          </w:tcPr>
          <w:p w14:paraId="3777FAD1"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w:t>
            </w:r>
          </w:p>
        </w:tc>
        <w:tc>
          <w:tcPr>
            <w:tcW w:w="324" w:type="pct"/>
            <w:tcBorders>
              <w:top w:val="single" w:sz="4" w:space="0" w:color="auto"/>
              <w:left w:val="nil"/>
              <w:bottom w:val="single" w:sz="4" w:space="0" w:color="auto"/>
              <w:right w:val="single" w:sz="4" w:space="0" w:color="auto"/>
            </w:tcBorders>
            <w:vAlign w:val="center"/>
          </w:tcPr>
          <w:p w14:paraId="10DE033D"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302EF06F" w14:textId="0C62ACB7" w:rsidR="006256FD" w:rsidRPr="00CE5D9A" w:rsidRDefault="00412CF4"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 € 535</w:t>
            </w:r>
            <w:r w:rsidR="006256FD" w:rsidRPr="00CE5D9A">
              <w:rPr>
                <w:rFonts w:ascii="Times New Roman" w:eastAsia="Times New Roman" w:hAnsi="Times New Roman"/>
                <w:sz w:val="18"/>
                <w:szCs w:val="18"/>
                <w:lang w:eastAsia="pl-PL"/>
              </w:rPr>
              <w:t xml:space="preserve"> 000 </w:t>
            </w:r>
          </w:p>
        </w:tc>
        <w:tc>
          <w:tcPr>
            <w:tcW w:w="291" w:type="pct"/>
            <w:tcBorders>
              <w:top w:val="single" w:sz="4" w:space="0" w:color="auto"/>
              <w:left w:val="nil"/>
              <w:bottom w:val="single" w:sz="4" w:space="0" w:color="auto"/>
              <w:right w:val="single" w:sz="4" w:space="0" w:color="auto"/>
            </w:tcBorders>
            <w:vAlign w:val="center"/>
          </w:tcPr>
          <w:p w14:paraId="2E1CB8EA" w14:textId="3B6D85FA"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72D5DF26" w14:textId="1EEEA7D6"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62132F3A"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lastRenderedPageBreak/>
              <w:t xml:space="preserve">Niewystarczająca </w:t>
            </w:r>
            <w:r w:rsidRPr="00CE5D9A">
              <w:rPr>
                <w:rFonts w:ascii="Times New Roman" w:eastAsia="Times New Roman" w:hAnsi="Times New Roman"/>
                <w:i/>
                <w:iCs/>
                <w:sz w:val="18"/>
                <w:szCs w:val="18"/>
                <w:lang w:eastAsia="pl-PL"/>
              </w:rPr>
              <w:br/>
              <w:t>przedsiębiorczość</w:t>
            </w:r>
          </w:p>
          <w:p w14:paraId="1507C1A7"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mieszkańców</w:t>
            </w:r>
          </w:p>
          <w:p w14:paraId="659CE7A0" w14:textId="77777777" w:rsidR="006256FD" w:rsidRPr="00CE5D9A" w:rsidRDefault="006256FD" w:rsidP="00D44D97">
            <w:pPr>
              <w:spacing w:after="0" w:line="240" w:lineRule="auto"/>
              <w:jc w:val="center"/>
              <w:rPr>
                <w:rFonts w:ascii="Times New Roman" w:eastAsia="Times New Roman" w:hAnsi="Times New Roman"/>
                <w:i/>
                <w:iCs/>
                <w:strike/>
                <w:sz w:val="18"/>
                <w:szCs w:val="18"/>
                <w:lang w:eastAsia="pl-PL"/>
              </w:rPr>
            </w:pPr>
          </w:p>
        </w:tc>
        <w:tc>
          <w:tcPr>
            <w:tcW w:w="149" w:type="pct"/>
            <w:tcBorders>
              <w:top w:val="single" w:sz="4" w:space="0" w:color="auto"/>
              <w:left w:val="nil"/>
              <w:bottom w:val="single" w:sz="4" w:space="0" w:color="auto"/>
              <w:right w:val="single" w:sz="4" w:space="0" w:color="auto"/>
            </w:tcBorders>
            <w:vAlign w:val="center"/>
          </w:tcPr>
          <w:p w14:paraId="4F6EDBA9" w14:textId="399F99F8" w:rsidR="006256FD" w:rsidRPr="00CE5D9A" w:rsidRDefault="00C21863"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1.9</w:t>
            </w:r>
          </w:p>
        </w:tc>
        <w:tc>
          <w:tcPr>
            <w:tcW w:w="567" w:type="pct"/>
            <w:gridSpan w:val="2"/>
            <w:tcBorders>
              <w:top w:val="single" w:sz="4" w:space="0" w:color="auto"/>
              <w:left w:val="nil"/>
              <w:bottom w:val="single" w:sz="4" w:space="0" w:color="auto"/>
              <w:right w:val="single" w:sz="4" w:space="0" w:color="auto"/>
            </w:tcBorders>
            <w:vAlign w:val="center"/>
          </w:tcPr>
          <w:p w14:paraId="6AEDC9D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działalności gospodarczej</w:t>
            </w:r>
          </w:p>
        </w:tc>
        <w:tc>
          <w:tcPr>
            <w:tcW w:w="603" w:type="pct"/>
            <w:tcBorders>
              <w:top w:val="single" w:sz="4" w:space="0" w:color="auto"/>
              <w:left w:val="nil"/>
              <w:bottom w:val="single" w:sz="4" w:space="0" w:color="auto"/>
              <w:right w:val="single" w:sz="4" w:space="0" w:color="auto"/>
            </w:tcBorders>
            <w:vAlign w:val="center"/>
          </w:tcPr>
          <w:p w14:paraId="3F6643E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Budowa, rozbudowa </w:t>
            </w:r>
            <w:r w:rsidRPr="00CE5D9A">
              <w:rPr>
                <w:rFonts w:ascii="Times New Roman" w:eastAsia="Times New Roman" w:hAnsi="Times New Roman"/>
                <w:sz w:val="18"/>
                <w:szCs w:val="18"/>
                <w:lang w:eastAsia="pl-PL"/>
              </w:rPr>
              <w:br/>
              <w:t>i wyposażenie</w:t>
            </w:r>
          </w:p>
        </w:tc>
        <w:tc>
          <w:tcPr>
            <w:tcW w:w="650" w:type="pct"/>
            <w:tcBorders>
              <w:top w:val="single" w:sz="4" w:space="0" w:color="auto"/>
              <w:left w:val="nil"/>
              <w:bottom w:val="single" w:sz="4" w:space="0" w:color="auto"/>
              <w:right w:val="single" w:sz="4" w:space="0" w:color="auto"/>
            </w:tcBorders>
            <w:vAlign w:val="center"/>
          </w:tcPr>
          <w:p w14:paraId="5148EC15"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1. Rozwój przedsiębiorczości, </w:t>
            </w:r>
          </w:p>
          <w:p w14:paraId="7595CDAC"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w tym rozwój biogospodarki lub zielonej gospodarki: </w:t>
            </w:r>
            <w:r w:rsidRPr="00CE5D9A">
              <w:rPr>
                <w:rFonts w:ascii="Times New Roman" w:eastAsia="Times New Roman" w:hAnsi="Times New Roman"/>
                <w:sz w:val="18"/>
                <w:szCs w:val="18"/>
                <w:lang w:eastAsia="pl-PL"/>
              </w:rPr>
              <w:br/>
              <w:t>b. rozwijanie pozarolniczej działalności gospodarczej; inwestycyjny</w:t>
            </w:r>
          </w:p>
        </w:tc>
        <w:tc>
          <w:tcPr>
            <w:tcW w:w="536" w:type="pct"/>
            <w:tcBorders>
              <w:top w:val="single" w:sz="4" w:space="0" w:color="auto"/>
              <w:left w:val="nil"/>
              <w:bottom w:val="single" w:sz="4" w:space="0" w:color="auto"/>
              <w:right w:val="single" w:sz="4" w:space="0" w:color="auto"/>
            </w:tcBorders>
          </w:tcPr>
          <w:p w14:paraId="0F003CD8" w14:textId="6CA56780"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r w:rsidRPr="00CE5D9A">
              <w:rPr>
                <w:rFonts w:ascii="Times New Roman" w:eastAsia="Times New Roman" w:hAnsi="Times New Roman"/>
                <w:sz w:val="18"/>
                <w:szCs w:val="18"/>
                <w:lang w:eastAsia="pl-PL"/>
              </w:rPr>
              <w:br/>
              <w:t>PLN</w:t>
            </w:r>
          </w:p>
          <w:p w14:paraId="61EAA616" w14:textId="5FC822E7" w:rsidR="006256FD" w:rsidRPr="00CE5D9A" w:rsidRDefault="006256FD" w:rsidP="00B37FDF">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Max. wysokość wsparcia 300 000 PLN</w:t>
            </w:r>
          </w:p>
          <w:p w14:paraId="01F27C3A"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65% kosztów kwalifikowalnych</w:t>
            </w:r>
          </w:p>
        </w:tc>
        <w:tc>
          <w:tcPr>
            <w:tcW w:w="494" w:type="pct"/>
            <w:tcBorders>
              <w:top w:val="single" w:sz="4" w:space="0" w:color="auto"/>
              <w:left w:val="nil"/>
              <w:bottom w:val="single" w:sz="4" w:space="0" w:color="auto"/>
              <w:right w:val="single" w:sz="4" w:space="0" w:color="auto"/>
            </w:tcBorders>
            <w:vAlign w:val="center"/>
          </w:tcPr>
          <w:p w14:paraId="4E947591"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Mikro- przedsiębiorstwo albo małe przedsiębiorstwo</w:t>
            </w:r>
          </w:p>
        </w:tc>
        <w:tc>
          <w:tcPr>
            <w:tcW w:w="455" w:type="pct"/>
            <w:tcBorders>
              <w:top w:val="single" w:sz="4" w:space="0" w:color="auto"/>
              <w:left w:val="nil"/>
              <w:bottom w:val="single" w:sz="4" w:space="0" w:color="auto"/>
              <w:right w:val="single" w:sz="4" w:space="0" w:color="auto"/>
            </w:tcBorders>
            <w:vAlign w:val="center"/>
          </w:tcPr>
          <w:p w14:paraId="306F13DF"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w:t>
            </w:r>
          </w:p>
        </w:tc>
        <w:tc>
          <w:tcPr>
            <w:tcW w:w="324" w:type="pct"/>
            <w:tcBorders>
              <w:top w:val="single" w:sz="4" w:space="0" w:color="auto"/>
              <w:left w:val="nil"/>
              <w:bottom w:val="single" w:sz="4" w:space="0" w:color="auto"/>
              <w:right w:val="single" w:sz="4" w:space="0" w:color="auto"/>
            </w:tcBorders>
            <w:vAlign w:val="center"/>
          </w:tcPr>
          <w:p w14:paraId="305A1479"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0AD04438" w14:textId="58776816" w:rsidR="006256FD" w:rsidRPr="000572DD" w:rsidRDefault="00412CF4" w:rsidP="000572DD">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 xml:space="preserve"> € 60</w:t>
            </w:r>
            <w:r w:rsidR="006256FD" w:rsidRPr="000572DD">
              <w:rPr>
                <w:rFonts w:ascii="Times New Roman" w:eastAsia="Times New Roman" w:hAnsi="Times New Roman"/>
                <w:color w:val="FF0000"/>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44A98F20" w14:textId="09BDD23B"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1F700D" w:rsidRPr="00CE5D9A" w14:paraId="12FA239D" w14:textId="77777777"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2E8A11E0" w14:textId="2F92B717" w:rsidR="001F700D" w:rsidRPr="00CE5D9A" w:rsidRDefault="001F700D" w:rsidP="001F700D">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Niewystarczająca oferta rozwoju </w:t>
            </w:r>
            <w:r w:rsidRPr="00CE5D9A">
              <w:rPr>
                <w:rFonts w:ascii="Times New Roman" w:eastAsia="Times New Roman" w:hAnsi="Times New Roman"/>
                <w:i/>
                <w:iCs/>
                <w:sz w:val="18"/>
                <w:szCs w:val="18"/>
                <w:lang w:eastAsia="pl-PL"/>
              </w:rPr>
              <w:br/>
              <w:t xml:space="preserve">i zagospodarowania czasu wolnego </w:t>
            </w:r>
          </w:p>
        </w:tc>
        <w:tc>
          <w:tcPr>
            <w:tcW w:w="149" w:type="pct"/>
            <w:tcBorders>
              <w:top w:val="single" w:sz="4" w:space="0" w:color="auto"/>
              <w:left w:val="nil"/>
              <w:bottom w:val="single" w:sz="4" w:space="0" w:color="auto"/>
              <w:right w:val="single" w:sz="4" w:space="0" w:color="auto"/>
            </w:tcBorders>
            <w:vAlign w:val="center"/>
          </w:tcPr>
          <w:p w14:paraId="01DC961F" w14:textId="0D10B7CF" w:rsidR="001F700D"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1.12</w:t>
            </w:r>
          </w:p>
        </w:tc>
        <w:tc>
          <w:tcPr>
            <w:tcW w:w="567" w:type="pct"/>
            <w:gridSpan w:val="2"/>
            <w:tcBorders>
              <w:top w:val="single" w:sz="4" w:space="0" w:color="auto"/>
              <w:left w:val="nil"/>
              <w:bottom w:val="single" w:sz="4" w:space="0" w:color="auto"/>
              <w:right w:val="single" w:sz="4" w:space="0" w:color="auto"/>
            </w:tcBorders>
            <w:vAlign w:val="center"/>
          </w:tcPr>
          <w:p w14:paraId="0677CB47" w14:textId="19DE0229"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Utworzenie lub rozwój gospodarstwa agroturystycznego</w:t>
            </w:r>
          </w:p>
        </w:tc>
        <w:tc>
          <w:tcPr>
            <w:tcW w:w="603" w:type="pct"/>
            <w:tcBorders>
              <w:top w:val="single" w:sz="4" w:space="0" w:color="auto"/>
              <w:left w:val="nil"/>
              <w:bottom w:val="single" w:sz="4" w:space="0" w:color="auto"/>
              <w:right w:val="single" w:sz="4" w:space="0" w:color="auto"/>
            </w:tcBorders>
            <w:vAlign w:val="center"/>
          </w:tcPr>
          <w:p w14:paraId="3CBE161F" w14:textId="750599DC"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Budowa, rozbudowa </w:t>
            </w:r>
            <w:r w:rsidRPr="00CE5D9A">
              <w:rPr>
                <w:rFonts w:ascii="Times New Roman" w:eastAsia="Times New Roman" w:hAnsi="Times New Roman"/>
                <w:sz w:val="18"/>
                <w:szCs w:val="18"/>
                <w:lang w:eastAsia="pl-PL"/>
              </w:rPr>
              <w:br/>
              <w:t>i wyposażenie</w:t>
            </w:r>
          </w:p>
        </w:tc>
        <w:tc>
          <w:tcPr>
            <w:tcW w:w="650" w:type="pct"/>
            <w:tcBorders>
              <w:top w:val="single" w:sz="4" w:space="0" w:color="auto"/>
              <w:left w:val="nil"/>
              <w:bottom w:val="single" w:sz="4" w:space="0" w:color="auto"/>
              <w:right w:val="single" w:sz="4" w:space="0" w:color="auto"/>
            </w:tcBorders>
            <w:vAlign w:val="center"/>
          </w:tcPr>
          <w:p w14:paraId="63637DFD" w14:textId="72EC8B40"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2. Rozwój pozarolniczych funkcji małych gospodarstw rolnych w zakresie tworzenia lub rozwijania: </w:t>
            </w:r>
            <w:r w:rsidRPr="00CE5D9A">
              <w:rPr>
                <w:rFonts w:ascii="Times New Roman" w:eastAsia="Times New Roman" w:hAnsi="Times New Roman"/>
                <w:sz w:val="18"/>
                <w:szCs w:val="18"/>
                <w:lang w:eastAsia="pl-PL"/>
              </w:rPr>
              <w:br/>
              <w:t>b. gospodarstwa agroturystyczne; inwestycyjny</w:t>
            </w:r>
          </w:p>
        </w:tc>
        <w:tc>
          <w:tcPr>
            <w:tcW w:w="536" w:type="pct"/>
            <w:tcBorders>
              <w:top w:val="single" w:sz="4" w:space="0" w:color="auto"/>
              <w:left w:val="nil"/>
              <w:bottom w:val="single" w:sz="4" w:space="0" w:color="auto"/>
              <w:right w:val="single" w:sz="4" w:space="0" w:color="auto"/>
            </w:tcBorders>
          </w:tcPr>
          <w:p w14:paraId="77A6F9AD" w14:textId="77777777"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r w:rsidRPr="00CE5D9A">
              <w:rPr>
                <w:rFonts w:ascii="Times New Roman" w:eastAsia="Times New Roman" w:hAnsi="Times New Roman"/>
                <w:sz w:val="18"/>
                <w:szCs w:val="18"/>
                <w:lang w:eastAsia="pl-PL"/>
              </w:rPr>
              <w:br/>
              <w:t>Max. wysokość wsparcia 200 000 PLN</w:t>
            </w:r>
          </w:p>
          <w:p w14:paraId="5BC5638C" w14:textId="77777777" w:rsidR="001F700D" w:rsidRPr="00CE5D9A" w:rsidRDefault="001F700D" w:rsidP="001F700D">
            <w:pPr>
              <w:spacing w:after="0" w:line="240" w:lineRule="auto"/>
              <w:jc w:val="center"/>
              <w:rPr>
                <w:rFonts w:ascii="Times New Roman" w:eastAsia="Times New Roman" w:hAnsi="Times New Roman"/>
                <w:sz w:val="18"/>
                <w:szCs w:val="18"/>
                <w:lang w:eastAsia="pl-PL"/>
              </w:rPr>
            </w:pPr>
          </w:p>
          <w:p w14:paraId="7AE5428D" w14:textId="3E88DBE2"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85% kosztów kwalifikowalnych</w:t>
            </w:r>
          </w:p>
        </w:tc>
        <w:tc>
          <w:tcPr>
            <w:tcW w:w="494" w:type="pct"/>
            <w:tcBorders>
              <w:top w:val="single" w:sz="4" w:space="0" w:color="auto"/>
              <w:left w:val="nil"/>
              <w:bottom w:val="single" w:sz="4" w:space="0" w:color="auto"/>
              <w:right w:val="single" w:sz="4" w:space="0" w:color="auto"/>
            </w:tcBorders>
            <w:vAlign w:val="center"/>
          </w:tcPr>
          <w:p w14:paraId="48370DCA" w14:textId="236847C4"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Rolnik lub domownik będący właścicielem lub współwłaścicielem małego gospodarstwa, w którym prowadzona jest działalność rolnicza</w:t>
            </w:r>
          </w:p>
        </w:tc>
        <w:tc>
          <w:tcPr>
            <w:tcW w:w="455" w:type="pct"/>
            <w:tcBorders>
              <w:top w:val="single" w:sz="4" w:space="0" w:color="auto"/>
              <w:left w:val="nil"/>
              <w:bottom w:val="single" w:sz="4" w:space="0" w:color="auto"/>
              <w:right w:val="single" w:sz="4" w:space="0" w:color="auto"/>
            </w:tcBorders>
            <w:vAlign w:val="center"/>
          </w:tcPr>
          <w:p w14:paraId="0318CDE3" w14:textId="7295FBCC"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w:t>
            </w:r>
          </w:p>
        </w:tc>
        <w:tc>
          <w:tcPr>
            <w:tcW w:w="324" w:type="pct"/>
            <w:tcBorders>
              <w:top w:val="single" w:sz="4" w:space="0" w:color="auto"/>
              <w:left w:val="nil"/>
              <w:bottom w:val="single" w:sz="4" w:space="0" w:color="auto"/>
              <w:right w:val="single" w:sz="4" w:space="0" w:color="auto"/>
            </w:tcBorders>
            <w:vAlign w:val="center"/>
          </w:tcPr>
          <w:p w14:paraId="699F2639" w14:textId="7EE9B9E4" w:rsidR="001F700D" w:rsidRPr="00CE5D9A" w:rsidRDefault="001F700D" w:rsidP="001F700D">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198A51B9" w14:textId="0BEDEF24" w:rsidR="001F700D" w:rsidRPr="000572DD" w:rsidRDefault="001F700D" w:rsidP="001F700D">
            <w:pPr>
              <w:spacing w:after="0" w:line="240" w:lineRule="auto"/>
              <w:jc w:val="center"/>
              <w:rPr>
                <w:rFonts w:ascii="Times New Roman" w:eastAsia="Times New Roman" w:hAnsi="Times New Roman"/>
                <w:color w:val="FF0000"/>
                <w:sz w:val="18"/>
                <w:szCs w:val="18"/>
                <w:lang w:eastAsia="pl-PL"/>
              </w:rPr>
            </w:pPr>
            <w:r w:rsidRPr="00CE5D9A">
              <w:rPr>
                <w:rFonts w:ascii="Times New Roman" w:eastAsia="Times New Roman" w:hAnsi="Times New Roman"/>
                <w:sz w:val="18"/>
                <w:szCs w:val="18"/>
                <w:lang w:eastAsia="pl-PL"/>
              </w:rPr>
              <w:t xml:space="preserve"> </w:t>
            </w:r>
            <w:r w:rsidR="00412CF4">
              <w:rPr>
                <w:rFonts w:ascii="Times New Roman" w:eastAsia="Times New Roman" w:hAnsi="Times New Roman"/>
                <w:sz w:val="18"/>
                <w:szCs w:val="18"/>
                <w:highlight w:val="yellow"/>
                <w:lang w:eastAsia="pl-PL"/>
              </w:rPr>
              <w:t>€ 4</w:t>
            </w:r>
            <w:r w:rsidRPr="001F700D">
              <w:rPr>
                <w:rFonts w:ascii="Times New Roman" w:eastAsia="Times New Roman" w:hAnsi="Times New Roman"/>
                <w:sz w:val="18"/>
                <w:szCs w:val="18"/>
                <w:highlight w:val="yellow"/>
                <w:lang w:eastAsia="pl-PL"/>
              </w:rPr>
              <w:t>0 000</w:t>
            </w:r>
            <w:r w:rsidRPr="00CE5D9A">
              <w:rPr>
                <w:rFonts w:ascii="Times New Roman" w:eastAsia="Times New Roman" w:hAnsi="Times New Roman"/>
                <w:sz w:val="18"/>
                <w:szCs w:val="18"/>
                <w:lang w:eastAsia="pl-PL"/>
              </w:rPr>
              <w:t xml:space="preserve"> </w:t>
            </w:r>
          </w:p>
        </w:tc>
        <w:tc>
          <w:tcPr>
            <w:tcW w:w="291" w:type="pct"/>
            <w:tcBorders>
              <w:top w:val="single" w:sz="4" w:space="0" w:color="auto"/>
              <w:left w:val="nil"/>
              <w:bottom w:val="single" w:sz="4" w:space="0" w:color="auto"/>
              <w:right w:val="single" w:sz="4" w:space="0" w:color="auto"/>
            </w:tcBorders>
            <w:vAlign w:val="center"/>
          </w:tcPr>
          <w:p w14:paraId="6A6DD7BB" w14:textId="3BB8EED2" w:rsidR="001F700D" w:rsidRPr="006256FD" w:rsidRDefault="001F700D" w:rsidP="001F700D">
            <w:pPr>
              <w:spacing w:after="0" w:line="240" w:lineRule="auto"/>
              <w:jc w:val="center"/>
              <w:rPr>
                <w:rFonts w:ascii="Times New Roman" w:eastAsia="Times New Roman" w:hAnsi="Times New Roman"/>
                <w:sz w:val="16"/>
                <w:szCs w:val="18"/>
                <w:lang w:eastAsia="pl-PL"/>
              </w:rPr>
            </w:pPr>
            <w:r w:rsidRPr="006256FD">
              <w:rPr>
                <w:rFonts w:ascii="Times New Roman" w:eastAsia="Times New Roman" w:hAnsi="Times New Roman"/>
                <w:sz w:val="16"/>
                <w:szCs w:val="18"/>
                <w:lang w:eastAsia="pl-PL"/>
              </w:rPr>
              <w:t>EFRROW</w:t>
            </w:r>
          </w:p>
        </w:tc>
      </w:tr>
      <w:tr w:rsidR="006256FD" w:rsidRPr="00CE5D9A" w14:paraId="636E88C2" w14:textId="3BC8D845" w:rsidTr="00F477E7">
        <w:trPr>
          <w:trHeight w:val="418"/>
        </w:trPr>
        <w:tc>
          <w:tcPr>
            <w:tcW w:w="606" w:type="pct"/>
            <w:tcBorders>
              <w:top w:val="single" w:sz="4" w:space="0" w:color="auto"/>
              <w:left w:val="single" w:sz="4" w:space="0" w:color="auto"/>
              <w:bottom w:val="single" w:sz="4" w:space="0" w:color="auto"/>
              <w:right w:val="single" w:sz="4" w:space="0" w:color="auto"/>
            </w:tcBorders>
            <w:vAlign w:val="center"/>
          </w:tcPr>
          <w:p w14:paraId="4D4069C6"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 xml:space="preserve">Niewystarczająca oferta rozwoju </w:t>
            </w:r>
            <w:r w:rsidRPr="00CE5D9A">
              <w:rPr>
                <w:rFonts w:ascii="Times New Roman" w:eastAsia="Times New Roman" w:hAnsi="Times New Roman"/>
                <w:i/>
                <w:iCs/>
                <w:sz w:val="18"/>
                <w:szCs w:val="18"/>
                <w:lang w:eastAsia="pl-PL"/>
              </w:rPr>
              <w:br/>
              <w:t xml:space="preserve">i zagospodarowania czasu wolnego </w:t>
            </w:r>
          </w:p>
        </w:tc>
        <w:tc>
          <w:tcPr>
            <w:tcW w:w="149" w:type="pct"/>
            <w:tcBorders>
              <w:top w:val="single" w:sz="4" w:space="0" w:color="auto"/>
              <w:left w:val="nil"/>
              <w:bottom w:val="single" w:sz="4" w:space="0" w:color="auto"/>
              <w:right w:val="single" w:sz="4" w:space="0" w:color="auto"/>
            </w:tcBorders>
            <w:vAlign w:val="center"/>
          </w:tcPr>
          <w:p w14:paraId="3B26B0B0" w14:textId="5ADA588C" w:rsidR="006256FD" w:rsidRPr="00CE5D9A" w:rsidRDefault="0061486F" w:rsidP="005F2C1D">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1.11</w:t>
            </w:r>
          </w:p>
        </w:tc>
        <w:tc>
          <w:tcPr>
            <w:tcW w:w="567" w:type="pct"/>
            <w:gridSpan w:val="2"/>
            <w:tcBorders>
              <w:top w:val="single" w:sz="4" w:space="0" w:color="auto"/>
              <w:left w:val="nil"/>
              <w:bottom w:val="single" w:sz="4" w:space="0" w:color="auto"/>
              <w:right w:val="single" w:sz="4" w:space="0" w:color="auto"/>
            </w:tcBorders>
            <w:vAlign w:val="center"/>
          </w:tcPr>
          <w:p w14:paraId="56552F05"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Utworzenia lub rozwój zagrody edukacyjnej</w:t>
            </w:r>
          </w:p>
        </w:tc>
        <w:tc>
          <w:tcPr>
            <w:tcW w:w="603" w:type="pct"/>
            <w:tcBorders>
              <w:top w:val="single" w:sz="4" w:space="0" w:color="auto"/>
              <w:left w:val="nil"/>
              <w:bottom w:val="single" w:sz="4" w:space="0" w:color="auto"/>
              <w:right w:val="single" w:sz="4" w:space="0" w:color="auto"/>
            </w:tcBorders>
            <w:vAlign w:val="center"/>
          </w:tcPr>
          <w:p w14:paraId="1CF9BFEA"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Budowa, rozbudowa </w:t>
            </w:r>
            <w:r w:rsidRPr="00CE5D9A">
              <w:rPr>
                <w:rFonts w:ascii="Times New Roman" w:eastAsia="Times New Roman" w:hAnsi="Times New Roman"/>
                <w:sz w:val="18"/>
                <w:szCs w:val="18"/>
                <w:lang w:eastAsia="pl-PL"/>
              </w:rPr>
              <w:br/>
              <w:t>i wyposażenie</w:t>
            </w:r>
          </w:p>
        </w:tc>
        <w:tc>
          <w:tcPr>
            <w:tcW w:w="650" w:type="pct"/>
            <w:tcBorders>
              <w:top w:val="single" w:sz="4" w:space="0" w:color="auto"/>
              <w:left w:val="nil"/>
              <w:bottom w:val="single" w:sz="4" w:space="0" w:color="auto"/>
              <w:right w:val="single" w:sz="4" w:space="0" w:color="auto"/>
            </w:tcBorders>
            <w:vAlign w:val="center"/>
          </w:tcPr>
          <w:p w14:paraId="3444397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 Rozwój pozarolniczych funkcji małych gospodarstw rolnych w zakresie tworzenia lub rozwijania: b. Zagroda edukacyjna; inwestycyjny</w:t>
            </w:r>
          </w:p>
        </w:tc>
        <w:tc>
          <w:tcPr>
            <w:tcW w:w="536" w:type="pct"/>
            <w:tcBorders>
              <w:top w:val="single" w:sz="4" w:space="0" w:color="auto"/>
              <w:left w:val="nil"/>
              <w:bottom w:val="single" w:sz="4" w:space="0" w:color="auto"/>
              <w:right w:val="single" w:sz="4" w:space="0" w:color="auto"/>
            </w:tcBorders>
          </w:tcPr>
          <w:p w14:paraId="385D72AE" w14:textId="25676536"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r w:rsidRPr="00CE5D9A">
              <w:rPr>
                <w:rFonts w:ascii="Times New Roman" w:eastAsia="Times New Roman" w:hAnsi="Times New Roman"/>
                <w:sz w:val="18"/>
                <w:szCs w:val="18"/>
                <w:lang w:eastAsia="pl-PL"/>
              </w:rPr>
              <w:br/>
              <w:t>Max. wysokość wsparcia 200 000 PLN</w:t>
            </w:r>
          </w:p>
          <w:p w14:paraId="74055EFD"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p>
          <w:p w14:paraId="0D1A11B0"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85% kosztów kwalifikowalnych</w:t>
            </w:r>
          </w:p>
        </w:tc>
        <w:tc>
          <w:tcPr>
            <w:tcW w:w="494" w:type="pct"/>
            <w:tcBorders>
              <w:top w:val="single" w:sz="4" w:space="0" w:color="auto"/>
              <w:left w:val="nil"/>
              <w:bottom w:val="single" w:sz="4" w:space="0" w:color="auto"/>
              <w:right w:val="single" w:sz="4" w:space="0" w:color="auto"/>
            </w:tcBorders>
            <w:vAlign w:val="center"/>
          </w:tcPr>
          <w:p w14:paraId="3C25577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Rolnik lub domownik będący właścicielem lub współwłaścicielem małego gospodarstwa, w którym prowadzona jest działalność rolnicza</w:t>
            </w:r>
          </w:p>
        </w:tc>
        <w:tc>
          <w:tcPr>
            <w:tcW w:w="455" w:type="pct"/>
            <w:tcBorders>
              <w:top w:val="single" w:sz="4" w:space="0" w:color="auto"/>
              <w:left w:val="nil"/>
              <w:bottom w:val="single" w:sz="4" w:space="0" w:color="auto"/>
              <w:right w:val="single" w:sz="4" w:space="0" w:color="auto"/>
            </w:tcBorders>
            <w:vAlign w:val="center"/>
          </w:tcPr>
          <w:p w14:paraId="7F9A4C58"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w:t>
            </w:r>
          </w:p>
        </w:tc>
        <w:tc>
          <w:tcPr>
            <w:tcW w:w="324" w:type="pct"/>
            <w:tcBorders>
              <w:top w:val="single" w:sz="4" w:space="0" w:color="auto"/>
              <w:left w:val="nil"/>
              <w:bottom w:val="single" w:sz="4" w:space="0" w:color="auto"/>
              <w:right w:val="single" w:sz="4" w:space="0" w:color="auto"/>
            </w:tcBorders>
            <w:vAlign w:val="center"/>
          </w:tcPr>
          <w:p w14:paraId="5D6FC86C"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2468CC33" w14:textId="0DD55DCC" w:rsidR="006256FD" w:rsidRPr="000572DD" w:rsidRDefault="006256FD" w:rsidP="000572DD">
            <w:pPr>
              <w:spacing w:after="0" w:line="240" w:lineRule="auto"/>
              <w:jc w:val="center"/>
              <w:rPr>
                <w:rFonts w:ascii="Times New Roman" w:eastAsia="Times New Roman" w:hAnsi="Times New Roman"/>
                <w:color w:val="FF0000"/>
                <w:sz w:val="18"/>
                <w:szCs w:val="18"/>
                <w:lang w:eastAsia="pl-PL"/>
              </w:rPr>
            </w:pPr>
            <w:r w:rsidRPr="000572DD">
              <w:rPr>
                <w:rFonts w:ascii="Times New Roman" w:eastAsia="Times New Roman" w:hAnsi="Times New Roman"/>
                <w:color w:val="FF0000"/>
                <w:sz w:val="18"/>
                <w:szCs w:val="18"/>
                <w:lang w:eastAsia="pl-PL"/>
              </w:rPr>
              <w:t xml:space="preserve"> € </w:t>
            </w:r>
            <w:r w:rsidR="00412CF4">
              <w:rPr>
                <w:rFonts w:ascii="Times New Roman" w:eastAsia="Times New Roman" w:hAnsi="Times New Roman"/>
                <w:color w:val="FF0000"/>
                <w:sz w:val="18"/>
                <w:szCs w:val="18"/>
                <w:lang w:eastAsia="pl-PL"/>
              </w:rPr>
              <w:t>4</w:t>
            </w:r>
            <w:r w:rsidRPr="000572DD">
              <w:rPr>
                <w:rFonts w:ascii="Times New Roman" w:eastAsia="Times New Roman" w:hAnsi="Times New Roman"/>
                <w:color w:val="FF0000"/>
                <w:sz w:val="18"/>
                <w:szCs w:val="18"/>
                <w:lang w:eastAsia="pl-PL"/>
              </w:rPr>
              <w:t xml:space="preserve">0 000 </w:t>
            </w:r>
          </w:p>
        </w:tc>
        <w:tc>
          <w:tcPr>
            <w:tcW w:w="291" w:type="pct"/>
            <w:tcBorders>
              <w:top w:val="single" w:sz="4" w:space="0" w:color="auto"/>
              <w:left w:val="nil"/>
              <w:bottom w:val="single" w:sz="4" w:space="0" w:color="auto"/>
              <w:right w:val="single" w:sz="4" w:space="0" w:color="auto"/>
            </w:tcBorders>
            <w:vAlign w:val="center"/>
          </w:tcPr>
          <w:p w14:paraId="231DB113" w14:textId="31E08D59" w:rsidR="006256FD" w:rsidRPr="00CE5D9A" w:rsidRDefault="006256FD" w:rsidP="00D44D97">
            <w:pPr>
              <w:spacing w:after="0" w:line="240" w:lineRule="auto"/>
              <w:jc w:val="center"/>
              <w:rPr>
                <w:rFonts w:ascii="Times New Roman" w:eastAsia="Times New Roman" w:hAnsi="Times New Roman"/>
                <w:sz w:val="18"/>
                <w:szCs w:val="18"/>
                <w:lang w:eastAsia="pl-PL"/>
              </w:rPr>
            </w:pPr>
            <w:r w:rsidRPr="006256FD">
              <w:rPr>
                <w:rFonts w:ascii="Times New Roman" w:eastAsia="Times New Roman" w:hAnsi="Times New Roman"/>
                <w:sz w:val="16"/>
                <w:szCs w:val="18"/>
                <w:lang w:eastAsia="pl-PL"/>
              </w:rPr>
              <w:t>EFRROW</w:t>
            </w:r>
          </w:p>
        </w:tc>
      </w:tr>
      <w:tr w:rsidR="006256FD" w:rsidRPr="00CE5D9A" w14:paraId="091875F6" w14:textId="451EEFDB"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22815837" w14:textId="77777777" w:rsidR="006256FD" w:rsidRPr="00CE5D9A" w:rsidRDefault="006256FD"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t>Braki w infrastrukturze publicznej</w:t>
            </w:r>
          </w:p>
        </w:tc>
        <w:tc>
          <w:tcPr>
            <w:tcW w:w="149" w:type="pct"/>
            <w:tcBorders>
              <w:top w:val="single" w:sz="4" w:space="0" w:color="auto"/>
              <w:left w:val="nil"/>
              <w:bottom w:val="single" w:sz="4" w:space="0" w:color="auto"/>
              <w:right w:val="single" w:sz="4" w:space="0" w:color="auto"/>
            </w:tcBorders>
            <w:vAlign w:val="center"/>
          </w:tcPr>
          <w:p w14:paraId="5721F25F" w14:textId="47E3BE94" w:rsidR="006256FD" w:rsidRPr="00CE5D9A" w:rsidRDefault="0061486F" w:rsidP="005F2C1D">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1.12</w:t>
            </w:r>
          </w:p>
        </w:tc>
        <w:tc>
          <w:tcPr>
            <w:tcW w:w="567" w:type="pct"/>
            <w:gridSpan w:val="2"/>
            <w:tcBorders>
              <w:top w:val="single" w:sz="4" w:space="0" w:color="auto"/>
              <w:left w:val="nil"/>
              <w:bottom w:val="single" w:sz="4" w:space="0" w:color="auto"/>
              <w:right w:val="single" w:sz="4" w:space="0" w:color="auto"/>
            </w:tcBorders>
            <w:vAlign w:val="center"/>
          </w:tcPr>
          <w:p w14:paraId="4C5C0FC9"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Rozwój kultury, </w:t>
            </w:r>
            <w:r w:rsidRPr="00ED7CC1">
              <w:rPr>
                <w:rFonts w:ascii="Times New Roman" w:eastAsia="Times New Roman" w:hAnsi="Times New Roman"/>
                <w:strike/>
                <w:color w:val="FF0000"/>
                <w:sz w:val="18"/>
                <w:szCs w:val="18"/>
                <w:lang w:eastAsia="pl-PL"/>
              </w:rPr>
              <w:t>dziedzictwa kulturowego</w:t>
            </w:r>
            <w:r w:rsidRPr="00CE5D9A">
              <w:rPr>
                <w:rFonts w:ascii="Times New Roman" w:eastAsia="Times New Roman" w:hAnsi="Times New Roman"/>
                <w:sz w:val="18"/>
                <w:szCs w:val="18"/>
                <w:lang w:eastAsia="pl-PL"/>
              </w:rPr>
              <w:t xml:space="preserve"> </w:t>
            </w:r>
            <w:r w:rsidRPr="00182F9A">
              <w:rPr>
                <w:rFonts w:ascii="Times New Roman" w:eastAsia="Times New Roman" w:hAnsi="Times New Roman"/>
                <w:strike/>
                <w:color w:val="FF0000"/>
                <w:sz w:val="18"/>
                <w:szCs w:val="18"/>
                <w:lang w:eastAsia="pl-PL"/>
              </w:rPr>
              <w:t>i turystyki</w:t>
            </w:r>
            <w:r w:rsidRPr="00182F9A">
              <w:rPr>
                <w:rFonts w:ascii="Times New Roman" w:eastAsia="Times New Roman" w:hAnsi="Times New Roman"/>
                <w:color w:val="FF0000"/>
                <w:sz w:val="18"/>
                <w:szCs w:val="18"/>
                <w:lang w:eastAsia="pl-PL"/>
              </w:rPr>
              <w:t xml:space="preserve"> </w:t>
            </w:r>
            <w:r w:rsidRPr="00CE5D9A">
              <w:rPr>
                <w:rFonts w:ascii="Times New Roman" w:eastAsia="Times New Roman" w:hAnsi="Times New Roman"/>
                <w:sz w:val="18"/>
                <w:szCs w:val="18"/>
                <w:lang w:eastAsia="pl-PL"/>
              </w:rPr>
              <w:t>(FEM EFRR)</w:t>
            </w:r>
          </w:p>
        </w:tc>
        <w:tc>
          <w:tcPr>
            <w:tcW w:w="603" w:type="pct"/>
            <w:tcBorders>
              <w:top w:val="single" w:sz="4" w:space="0" w:color="auto"/>
              <w:left w:val="nil"/>
              <w:bottom w:val="single" w:sz="4" w:space="0" w:color="auto"/>
              <w:right w:val="single" w:sz="4" w:space="0" w:color="auto"/>
            </w:tcBorders>
            <w:vAlign w:val="center"/>
          </w:tcPr>
          <w:p w14:paraId="02D673BB" w14:textId="77777777" w:rsidR="006256FD" w:rsidRPr="00CE5D9A" w:rsidRDefault="006256FD" w:rsidP="00D44D97">
            <w:pPr>
              <w:spacing w:after="0" w:line="240" w:lineRule="auto"/>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 ramach celu możliwe będzie:</w:t>
            </w:r>
          </w:p>
          <w:p w14:paraId="78227B03" w14:textId="77777777" w:rsidR="006256FD" w:rsidRPr="00CE5D9A" w:rsidRDefault="006256FD" w:rsidP="00D44D97">
            <w:pPr>
              <w:spacing w:after="0" w:line="240" w:lineRule="auto"/>
              <w:rPr>
                <w:rFonts w:ascii="Times New Roman" w:eastAsia="Times New Roman" w:hAnsi="Times New Roman"/>
                <w:sz w:val="18"/>
                <w:szCs w:val="18"/>
                <w:u w:val="single"/>
                <w:lang w:eastAsia="pl-PL"/>
              </w:rPr>
            </w:pPr>
            <w:r w:rsidRPr="00CE5D9A">
              <w:rPr>
                <w:rFonts w:ascii="Times New Roman" w:eastAsia="Times New Roman" w:hAnsi="Times New Roman"/>
                <w:sz w:val="18"/>
                <w:szCs w:val="18"/>
                <w:u w:val="single"/>
                <w:lang w:eastAsia="pl-PL"/>
              </w:rPr>
              <w:t xml:space="preserve">Rozwój infrastruktury kultury: </w:t>
            </w:r>
          </w:p>
          <w:p w14:paraId="5DD61721" w14:textId="77777777" w:rsidR="006256FD" w:rsidRPr="00CE5D9A" w:rsidRDefault="006256FD" w:rsidP="00D44D97">
            <w:pPr>
              <w:pStyle w:val="Akapitzlist"/>
              <w:numPr>
                <w:ilvl w:val="0"/>
                <w:numId w:val="63"/>
              </w:numPr>
              <w:spacing w:after="0" w:line="240" w:lineRule="auto"/>
              <w:ind w:left="186" w:hanging="186"/>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m.in. domów kultury, bibliotek (mediatek), muzeów, w tym wyposażenie w nowe technologie wzmacniające ofertę kulturalną;</w:t>
            </w:r>
          </w:p>
          <w:p w14:paraId="79423343" w14:textId="77777777" w:rsidR="006256FD" w:rsidRPr="00CE5D9A" w:rsidRDefault="006256FD" w:rsidP="00D44D97">
            <w:pPr>
              <w:pStyle w:val="Akapitzlist"/>
              <w:numPr>
                <w:ilvl w:val="0"/>
                <w:numId w:val="63"/>
              </w:numPr>
              <w:spacing w:after="0" w:line="240" w:lineRule="auto"/>
              <w:ind w:left="186" w:hanging="186"/>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dokumentowanie, zachowanie i upowszechnianie dziedzictwa niematerialnego. </w:t>
            </w:r>
          </w:p>
          <w:p w14:paraId="7BB58F37" w14:textId="77777777" w:rsidR="006256FD" w:rsidRPr="00D72E9A" w:rsidRDefault="006256FD" w:rsidP="00D44D97">
            <w:pPr>
              <w:spacing w:after="0" w:line="240" w:lineRule="auto"/>
              <w:rPr>
                <w:rFonts w:ascii="Times New Roman" w:eastAsia="Times New Roman" w:hAnsi="Times New Roman"/>
                <w:strike/>
                <w:color w:val="FF0000"/>
                <w:sz w:val="18"/>
                <w:szCs w:val="18"/>
                <w:u w:val="single"/>
                <w:lang w:eastAsia="pl-PL"/>
              </w:rPr>
            </w:pPr>
            <w:r w:rsidRPr="00D72E9A">
              <w:rPr>
                <w:rFonts w:ascii="Times New Roman" w:eastAsia="Times New Roman" w:hAnsi="Times New Roman"/>
                <w:strike/>
                <w:color w:val="FF0000"/>
                <w:sz w:val="18"/>
                <w:szCs w:val="18"/>
                <w:u w:val="single"/>
                <w:lang w:eastAsia="pl-PL"/>
              </w:rPr>
              <w:t xml:space="preserve">Ochrona i opieka nad </w:t>
            </w:r>
            <w:r w:rsidRPr="00D72E9A">
              <w:rPr>
                <w:rFonts w:ascii="Times New Roman" w:eastAsia="Times New Roman" w:hAnsi="Times New Roman"/>
                <w:strike/>
                <w:color w:val="FF0000"/>
                <w:sz w:val="18"/>
                <w:szCs w:val="18"/>
                <w:u w:val="single"/>
                <w:lang w:eastAsia="pl-PL"/>
              </w:rPr>
              <w:lastRenderedPageBreak/>
              <w:t xml:space="preserve">zabytkami: </w:t>
            </w:r>
          </w:p>
          <w:p w14:paraId="2DC3D4FA" w14:textId="280CD3B1" w:rsidR="006256FD" w:rsidRPr="00BD0B78" w:rsidRDefault="006256FD" w:rsidP="00BD0B78">
            <w:pPr>
              <w:pStyle w:val="Akapitzlist"/>
              <w:numPr>
                <w:ilvl w:val="0"/>
                <w:numId w:val="63"/>
              </w:numPr>
              <w:spacing w:after="0" w:line="240" w:lineRule="auto"/>
              <w:ind w:left="186" w:hanging="186"/>
              <w:rPr>
                <w:rFonts w:ascii="Times New Roman" w:eastAsia="Times New Roman" w:hAnsi="Times New Roman"/>
                <w:sz w:val="18"/>
                <w:szCs w:val="18"/>
                <w:lang w:eastAsia="pl-PL"/>
              </w:rPr>
            </w:pPr>
            <w:r w:rsidRPr="00D72E9A">
              <w:rPr>
                <w:rFonts w:ascii="Times New Roman" w:eastAsia="Times New Roman" w:hAnsi="Times New Roman"/>
                <w:strike/>
                <w:color w:val="FF0000"/>
                <w:sz w:val="18"/>
                <w:szCs w:val="18"/>
                <w:lang w:eastAsia="pl-PL"/>
              </w:rPr>
              <w:t>wspieranie prac konserwatorskich, restauratorskich i zabezpieczających oraz robót budowalnych przy zabytkach nieruchomych wraz z ich otoczeniem, umożliwiających zachowanie dotychczasowych funkcji zabytków, a także służących nadaniu im nowych funkcji. Objęte wsparciem zabytki będą mogły pełnić funkcje użytkowe, w szczególności kulturalne, edukacyjne, służące lokalnej społeczności oraz turystom.</w:t>
            </w:r>
            <w:r w:rsidRPr="00D72E9A">
              <w:rPr>
                <w:rFonts w:ascii="Times New Roman" w:eastAsia="Times New Roman" w:hAnsi="Times New Roman"/>
                <w:color w:val="FF0000"/>
                <w:sz w:val="18"/>
                <w:szCs w:val="18"/>
                <w:lang w:eastAsia="pl-PL"/>
              </w:rPr>
              <w:t xml:space="preserve"> </w:t>
            </w:r>
          </w:p>
        </w:tc>
        <w:tc>
          <w:tcPr>
            <w:tcW w:w="650" w:type="pct"/>
            <w:tcBorders>
              <w:top w:val="single" w:sz="4" w:space="0" w:color="auto"/>
              <w:left w:val="nil"/>
              <w:bottom w:val="single" w:sz="4" w:space="0" w:color="auto"/>
              <w:right w:val="single" w:sz="4" w:space="0" w:color="auto"/>
            </w:tcBorders>
            <w:vAlign w:val="center"/>
          </w:tcPr>
          <w:p w14:paraId="4CCE4393" w14:textId="77777777" w:rsidR="006256FD" w:rsidRPr="00CE5D9A" w:rsidRDefault="006256FD" w:rsidP="00D44D97">
            <w:pPr>
              <w:spacing w:after="0" w:line="240" w:lineRule="auto"/>
              <w:jc w:val="center"/>
              <w:rPr>
                <w:rFonts w:ascii="Times New Roman" w:eastAsia="Times New Roman" w:hAnsi="Times New Roman"/>
                <w:sz w:val="18"/>
                <w:szCs w:val="20"/>
                <w:lang w:eastAsia="pl-PL"/>
              </w:rPr>
            </w:pPr>
            <w:r w:rsidRPr="00CE5D9A">
              <w:rPr>
                <w:rFonts w:ascii="Times New Roman" w:eastAsia="Times New Roman" w:hAnsi="Times New Roman"/>
                <w:sz w:val="18"/>
                <w:szCs w:val="20"/>
                <w:lang w:eastAsia="pl-PL"/>
              </w:rPr>
              <w:lastRenderedPageBreak/>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536" w:type="pct"/>
            <w:tcBorders>
              <w:top w:val="single" w:sz="4" w:space="0" w:color="auto"/>
              <w:left w:val="nil"/>
              <w:bottom w:val="single" w:sz="4" w:space="0" w:color="auto"/>
              <w:right w:val="single" w:sz="4" w:space="0" w:color="auto"/>
            </w:tcBorders>
            <w:vAlign w:val="center"/>
          </w:tcPr>
          <w:p w14:paraId="2003468E" w14:textId="65A4A185"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Min. wysokość wsparcia </w:t>
            </w:r>
            <w:r w:rsidRPr="005B1E6F">
              <w:rPr>
                <w:rFonts w:ascii="Times New Roman" w:eastAsia="Times New Roman" w:hAnsi="Times New Roman"/>
                <w:color w:val="FF0000"/>
                <w:sz w:val="18"/>
                <w:szCs w:val="18"/>
                <w:lang w:eastAsia="pl-PL"/>
              </w:rPr>
              <w:t>350 000</w:t>
            </w:r>
          </w:p>
          <w:p w14:paraId="4BAC7CAB" w14:textId="616D1356" w:rsidR="006256FD" w:rsidRPr="00D255F0" w:rsidRDefault="006256FD" w:rsidP="002D6A37">
            <w:pPr>
              <w:spacing w:after="0" w:line="240" w:lineRule="auto"/>
              <w:jc w:val="center"/>
              <w:rPr>
                <w:rFonts w:ascii="Times New Roman" w:eastAsia="Times New Roman" w:hAnsi="Times New Roman"/>
                <w:strike/>
                <w:color w:val="FF0000"/>
                <w:sz w:val="18"/>
                <w:szCs w:val="18"/>
                <w:lang w:eastAsia="pl-PL"/>
              </w:rPr>
            </w:pPr>
            <w:r w:rsidRPr="00D255F0">
              <w:rPr>
                <w:rFonts w:ascii="Times New Roman" w:eastAsia="Times New Roman" w:hAnsi="Times New Roman"/>
                <w:strike/>
                <w:color w:val="FF0000"/>
                <w:sz w:val="18"/>
                <w:szCs w:val="18"/>
                <w:lang w:eastAsia="pl-PL"/>
              </w:rPr>
              <w:t>Max. wysokość wsparcia 500 000 PLN</w:t>
            </w:r>
          </w:p>
          <w:p w14:paraId="33379B8A"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85% kosztów kwalifikowalnych</w:t>
            </w:r>
          </w:p>
          <w:p w14:paraId="7756DACA"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p>
        </w:tc>
        <w:tc>
          <w:tcPr>
            <w:tcW w:w="494" w:type="pct"/>
            <w:tcBorders>
              <w:top w:val="single" w:sz="4" w:space="0" w:color="auto"/>
              <w:left w:val="nil"/>
              <w:bottom w:val="single" w:sz="4" w:space="0" w:color="auto"/>
              <w:right w:val="single" w:sz="4" w:space="0" w:color="auto"/>
            </w:tcBorders>
            <w:vAlign w:val="center"/>
          </w:tcPr>
          <w:p w14:paraId="350B8675" w14:textId="77777777" w:rsidR="00EE7AEB" w:rsidRPr="00EE7AEB" w:rsidRDefault="006256FD" w:rsidP="00EE7AEB">
            <w:pPr>
              <w:spacing w:after="0" w:line="240" w:lineRule="auto"/>
              <w:jc w:val="center"/>
              <w:rPr>
                <w:rFonts w:ascii="Times New Roman" w:eastAsia="Times New Roman" w:hAnsi="Times New Roman"/>
                <w:color w:val="FF0000"/>
                <w:sz w:val="20"/>
                <w:szCs w:val="20"/>
                <w:lang w:eastAsia="pl-PL"/>
              </w:rPr>
            </w:pPr>
            <w:r w:rsidRPr="005B1E6F">
              <w:rPr>
                <w:rFonts w:ascii="Times New Roman" w:eastAsia="Times New Roman" w:hAnsi="Times New Roman"/>
                <w:strike/>
                <w:color w:val="FF0000"/>
                <w:sz w:val="20"/>
                <w:szCs w:val="20"/>
                <w:lang w:eastAsia="pl-PL"/>
              </w:rPr>
              <w:t>LGD i inne</w:t>
            </w:r>
            <w:r w:rsidRPr="005B1E6F">
              <w:rPr>
                <w:rFonts w:ascii="Times New Roman" w:eastAsia="Times New Roman" w:hAnsi="Times New Roman"/>
                <w:color w:val="FF0000"/>
                <w:sz w:val="20"/>
                <w:szCs w:val="20"/>
                <w:lang w:eastAsia="pl-PL"/>
              </w:rPr>
              <w:t xml:space="preserve"> </w:t>
            </w:r>
            <w:r w:rsidRPr="004C371B">
              <w:rPr>
                <w:rFonts w:ascii="Times New Roman" w:eastAsia="Times New Roman" w:hAnsi="Times New Roman"/>
                <w:strike/>
                <w:color w:val="FF0000"/>
                <w:sz w:val="20"/>
                <w:szCs w:val="20"/>
                <w:lang w:eastAsia="pl-PL"/>
              </w:rPr>
              <w:t>osoby prawne</w:t>
            </w:r>
            <w:r w:rsidR="00563189">
              <w:rPr>
                <w:rFonts w:ascii="Times New Roman" w:eastAsia="Times New Roman" w:hAnsi="Times New Roman"/>
                <w:sz w:val="20"/>
                <w:szCs w:val="20"/>
                <w:lang w:eastAsia="pl-PL"/>
              </w:rPr>
              <w:t xml:space="preserve">, </w:t>
            </w:r>
            <w:r w:rsidR="00EE7AEB" w:rsidRPr="00EE7AEB">
              <w:rPr>
                <w:rFonts w:ascii="Times New Roman" w:eastAsia="Times New Roman" w:hAnsi="Times New Roman"/>
                <w:color w:val="FF0000"/>
                <w:sz w:val="20"/>
                <w:szCs w:val="20"/>
                <w:lang w:eastAsia="pl-PL"/>
              </w:rPr>
              <w:t xml:space="preserve">JSFP/ </w:t>
            </w:r>
          </w:p>
          <w:p w14:paraId="5A147988" w14:textId="163203E8" w:rsidR="006256FD" w:rsidRPr="00CE5D9A" w:rsidRDefault="00EE7AEB" w:rsidP="00EE7AEB">
            <w:pPr>
              <w:spacing w:after="0" w:line="240" w:lineRule="auto"/>
              <w:jc w:val="center"/>
              <w:rPr>
                <w:rFonts w:ascii="Times New Roman" w:eastAsia="Times New Roman" w:hAnsi="Times New Roman"/>
                <w:sz w:val="18"/>
                <w:szCs w:val="18"/>
                <w:lang w:eastAsia="pl-PL"/>
              </w:rPr>
            </w:pPr>
            <w:r w:rsidRPr="00EE7AEB">
              <w:rPr>
                <w:rFonts w:ascii="Times New Roman" w:eastAsia="Times New Roman" w:hAnsi="Times New Roman"/>
                <w:color w:val="FF0000"/>
                <w:sz w:val="20"/>
                <w:szCs w:val="20"/>
                <w:lang w:eastAsia="pl-PL"/>
              </w:rPr>
              <w:t>stowarzyszenie</w:t>
            </w:r>
          </w:p>
        </w:tc>
        <w:tc>
          <w:tcPr>
            <w:tcW w:w="455" w:type="pct"/>
            <w:tcBorders>
              <w:top w:val="single" w:sz="4" w:space="0" w:color="auto"/>
              <w:left w:val="nil"/>
              <w:bottom w:val="single" w:sz="4" w:space="0" w:color="auto"/>
              <w:right w:val="single" w:sz="4" w:space="0" w:color="auto"/>
            </w:tcBorders>
            <w:vAlign w:val="center"/>
          </w:tcPr>
          <w:p w14:paraId="5E8743E0"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Mieszkańcy,</w:t>
            </w:r>
          </w:p>
          <w:p w14:paraId="0643D0AE" w14:textId="77777777"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turyści</w:t>
            </w:r>
          </w:p>
        </w:tc>
        <w:tc>
          <w:tcPr>
            <w:tcW w:w="324" w:type="pct"/>
            <w:tcBorders>
              <w:top w:val="single" w:sz="4" w:space="0" w:color="auto"/>
              <w:left w:val="nil"/>
              <w:bottom w:val="single" w:sz="4" w:space="0" w:color="auto"/>
              <w:right w:val="single" w:sz="4" w:space="0" w:color="auto"/>
            </w:tcBorders>
            <w:vAlign w:val="center"/>
          </w:tcPr>
          <w:p w14:paraId="72A950B1" w14:textId="65192ABD" w:rsidR="006256FD" w:rsidRPr="00CE5D9A" w:rsidRDefault="006256FD"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Konkurs/ </w:t>
            </w:r>
            <w:r w:rsidRPr="005B1E6F">
              <w:rPr>
                <w:rFonts w:ascii="Times New Roman" w:eastAsia="Times New Roman" w:hAnsi="Times New Roman"/>
                <w:strike/>
                <w:color w:val="FF0000"/>
                <w:sz w:val="18"/>
                <w:szCs w:val="18"/>
                <w:lang w:eastAsia="pl-PL"/>
              </w:rPr>
              <w:t>operacja własna</w:t>
            </w:r>
          </w:p>
        </w:tc>
        <w:tc>
          <w:tcPr>
            <w:tcW w:w="325" w:type="pct"/>
            <w:tcBorders>
              <w:top w:val="single" w:sz="4" w:space="0" w:color="auto"/>
              <w:left w:val="nil"/>
              <w:bottom w:val="single" w:sz="4" w:space="0" w:color="auto"/>
              <w:right w:val="single" w:sz="4" w:space="0" w:color="auto"/>
            </w:tcBorders>
            <w:vAlign w:val="center"/>
          </w:tcPr>
          <w:p w14:paraId="648979F4" w14:textId="6BD6DED0" w:rsidR="006256FD" w:rsidRPr="00CE5D9A" w:rsidRDefault="00DC4F22" w:rsidP="00D44D97">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color w:val="FF0000"/>
                <w:sz w:val="18"/>
                <w:szCs w:val="18"/>
                <w:lang w:eastAsia="pl-PL"/>
              </w:rPr>
              <w:t xml:space="preserve"> € 7</w:t>
            </w:r>
            <w:r w:rsidR="00324AE2">
              <w:rPr>
                <w:rFonts w:ascii="Times New Roman" w:eastAsia="Times New Roman" w:hAnsi="Times New Roman"/>
                <w:color w:val="FF0000"/>
                <w:sz w:val="18"/>
                <w:szCs w:val="18"/>
                <w:lang w:eastAsia="pl-PL"/>
              </w:rPr>
              <w:t>12 000</w:t>
            </w:r>
            <w:r w:rsidR="006256FD" w:rsidRPr="00271659">
              <w:rPr>
                <w:rFonts w:ascii="Times New Roman" w:eastAsia="Times New Roman" w:hAnsi="Times New Roman"/>
                <w:color w:val="FF0000"/>
                <w:sz w:val="18"/>
                <w:szCs w:val="18"/>
                <w:lang w:eastAsia="pl-PL"/>
              </w:rPr>
              <w:t xml:space="preserve"> </w:t>
            </w:r>
          </w:p>
        </w:tc>
        <w:tc>
          <w:tcPr>
            <w:tcW w:w="291" w:type="pct"/>
            <w:tcBorders>
              <w:top w:val="single" w:sz="4" w:space="0" w:color="auto"/>
              <w:left w:val="nil"/>
              <w:bottom w:val="single" w:sz="4" w:space="0" w:color="auto"/>
              <w:right w:val="single" w:sz="4" w:space="0" w:color="auto"/>
            </w:tcBorders>
            <w:vAlign w:val="center"/>
          </w:tcPr>
          <w:p w14:paraId="4EE4891D" w14:textId="6057F30D" w:rsidR="006256FD" w:rsidRPr="00271659" w:rsidRDefault="006256FD" w:rsidP="006256FD">
            <w:pPr>
              <w:spacing w:after="0" w:line="240" w:lineRule="auto"/>
              <w:jc w:val="center"/>
              <w:rPr>
                <w:rFonts w:ascii="Times New Roman" w:eastAsia="Times New Roman" w:hAnsi="Times New Roman"/>
                <w:color w:val="FF0000"/>
                <w:sz w:val="18"/>
                <w:szCs w:val="18"/>
                <w:lang w:eastAsia="pl-PL"/>
              </w:rPr>
            </w:pPr>
            <w:r w:rsidRPr="006256FD">
              <w:rPr>
                <w:rFonts w:ascii="Times New Roman" w:eastAsia="Times New Roman" w:hAnsi="Times New Roman"/>
                <w:sz w:val="16"/>
                <w:szCs w:val="18"/>
                <w:lang w:eastAsia="pl-PL"/>
              </w:rPr>
              <w:t>EFRR</w:t>
            </w:r>
          </w:p>
        </w:tc>
      </w:tr>
      <w:tr w:rsidR="00DC4F22" w:rsidRPr="00CE5D9A" w14:paraId="1D50DA5F" w14:textId="77777777"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30B3F287" w14:textId="3CFB900F" w:rsidR="00DC4F22" w:rsidRPr="00DC4F22" w:rsidRDefault="00DC4F22" w:rsidP="00D44D97">
            <w:pPr>
              <w:spacing w:after="0" w:line="240" w:lineRule="auto"/>
              <w:jc w:val="center"/>
              <w:rPr>
                <w:rFonts w:ascii="Times New Roman" w:eastAsia="Times New Roman" w:hAnsi="Times New Roman"/>
                <w:i/>
                <w:iCs/>
                <w:color w:val="FF0000"/>
                <w:sz w:val="18"/>
                <w:szCs w:val="18"/>
                <w:lang w:eastAsia="pl-PL"/>
              </w:rPr>
            </w:pPr>
            <w:r w:rsidRPr="00DC4F22">
              <w:rPr>
                <w:rFonts w:ascii="Times New Roman" w:eastAsia="Times New Roman" w:hAnsi="Times New Roman"/>
                <w:i/>
                <w:iCs/>
                <w:color w:val="FF0000"/>
                <w:sz w:val="18"/>
                <w:szCs w:val="18"/>
                <w:lang w:eastAsia="pl-PL"/>
              </w:rPr>
              <w:t>Braki w infrastrukturze publicznej</w:t>
            </w:r>
          </w:p>
        </w:tc>
        <w:tc>
          <w:tcPr>
            <w:tcW w:w="149" w:type="pct"/>
            <w:tcBorders>
              <w:top w:val="single" w:sz="4" w:space="0" w:color="auto"/>
              <w:left w:val="nil"/>
              <w:bottom w:val="single" w:sz="4" w:space="0" w:color="auto"/>
              <w:right w:val="single" w:sz="4" w:space="0" w:color="auto"/>
            </w:tcBorders>
            <w:vAlign w:val="center"/>
          </w:tcPr>
          <w:p w14:paraId="026C0255" w14:textId="002AA08A" w:rsidR="00DC4F22" w:rsidRPr="00DC4F22" w:rsidRDefault="0061486F" w:rsidP="005F2C1D">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1.13</w:t>
            </w:r>
          </w:p>
        </w:tc>
        <w:tc>
          <w:tcPr>
            <w:tcW w:w="567" w:type="pct"/>
            <w:gridSpan w:val="2"/>
            <w:tcBorders>
              <w:top w:val="single" w:sz="4" w:space="0" w:color="auto"/>
              <w:left w:val="nil"/>
              <w:bottom w:val="single" w:sz="4" w:space="0" w:color="auto"/>
              <w:right w:val="single" w:sz="4" w:space="0" w:color="auto"/>
            </w:tcBorders>
            <w:vAlign w:val="center"/>
          </w:tcPr>
          <w:p w14:paraId="04A22FD4" w14:textId="09ADB5AD" w:rsidR="00DC4F22" w:rsidRPr="00DC4F22" w:rsidRDefault="00DC4F22" w:rsidP="00ED7CC1">
            <w:pPr>
              <w:spacing w:after="0" w:line="240" w:lineRule="auto"/>
              <w:jc w:val="center"/>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Rozwój turystyki (FEM EFRR)</w:t>
            </w:r>
          </w:p>
        </w:tc>
        <w:tc>
          <w:tcPr>
            <w:tcW w:w="603" w:type="pct"/>
            <w:tcBorders>
              <w:top w:val="single" w:sz="4" w:space="0" w:color="auto"/>
              <w:left w:val="nil"/>
              <w:bottom w:val="single" w:sz="4" w:space="0" w:color="auto"/>
              <w:right w:val="single" w:sz="4" w:space="0" w:color="auto"/>
            </w:tcBorders>
            <w:vAlign w:val="center"/>
          </w:tcPr>
          <w:p w14:paraId="39E2A7B2" w14:textId="77777777" w:rsidR="00DC4F22" w:rsidRPr="00DC4F22" w:rsidRDefault="00DC4F22" w:rsidP="00DC4F22">
            <w:pPr>
              <w:spacing w:after="0" w:line="240" w:lineRule="auto"/>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W ramach celu możliwe będzie:</w:t>
            </w:r>
          </w:p>
          <w:p w14:paraId="78578DB3" w14:textId="77777777" w:rsidR="00DC4F22" w:rsidRPr="00DC4F22" w:rsidRDefault="00DC4F22" w:rsidP="00BD0B78">
            <w:pPr>
              <w:spacing w:after="0" w:line="240" w:lineRule="auto"/>
              <w:rPr>
                <w:rFonts w:ascii="Times New Roman" w:eastAsia="Times New Roman" w:hAnsi="Times New Roman"/>
                <w:color w:val="FF0000"/>
                <w:sz w:val="18"/>
                <w:szCs w:val="18"/>
                <w:u w:val="single"/>
                <w:lang w:eastAsia="pl-PL"/>
              </w:rPr>
            </w:pPr>
            <w:r w:rsidRPr="00DC4F22">
              <w:rPr>
                <w:rFonts w:ascii="Times New Roman" w:eastAsia="Times New Roman" w:hAnsi="Times New Roman"/>
                <w:color w:val="FF0000"/>
                <w:sz w:val="18"/>
                <w:szCs w:val="18"/>
                <w:u w:val="single"/>
                <w:lang w:eastAsia="pl-PL"/>
              </w:rPr>
              <w:t xml:space="preserve">Oferta turystyczna: </w:t>
            </w:r>
          </w:p>
          <w:p w14:paraId="5D118D4A" w14:textId="51E4088F" w:rsidR="00DC4F22" w:rsidRPr="00DC4F22" w:rsidRDefault="00DC4F22" w:rsidP="00BD0B78">
            <w:pPr>
              <w:spacing w:after="0" w:line="240" w:lineRule="auto"/>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rozwój szlaków turystycznych oraz tworzenie produktów turystycznych bazujących na lokalnych potencjałach oraz walorach kulturowych i przyrodniczych, dzięki wsparciu infrastruktury, do potrzeb zrównoważonej turystyki i stworzenia ponadlokalnej oferty turystycznej.</w:t>
            </w:r>
          </w:p>
        </w:tc>
        <w:tc>
          <w:tcPr>
            <w:tcW w:w="650" w:type="pct"/>
            <w:tcBorders>
              <w:top w:val="single" w:sz="4" w:space="0" w:color="auto"/>
              <w:left w:val="nil"/>
              <w:bottom w:val="single" w:sz="4" w:space="0" w:color="auto"/>
              <w:right w:val="single" w:sz="4" w:space="0" w:color="auto"/>
            </w:tcBorders>
            <w:vAlign w:val="center"/>
          </w:tcPr>
          <w:p w14:paraId="05664658" w14:textId="00A2512C" w:rsidR="00DC4F22" w:rsidRPr="00DC4F22" w:rsidRDefault="00DC4F22" w:rsidP="00D44D97">
            <w:pPr>
              <w:spacing w:after="0" w:line="240" w:lineRule="auto"/>
              <w:jc w:val="center"/>
              <w:rPr>
                <w:rFonts w:ascii="Times New Roman" w:eastAsia="Times New Roman" w:hAnsi="Times New Roman"/>
                <w:color w:val="FF0000"/>
                <w:sz w:val="18"/>
                <w:szCs w:val="20"/>
                <w:lang w:eastAsia="pl-PL"/>
              </w:rPr>
            </w:pPr>
            <w:r w:rsidRPr="00DC4F22">
              <w:rPr>
                <w:rFonts w:ascii="Times New Roman" w:eastAsia="Times New Roman" w:hAnsi="Times New Roman"/>
                <w:color w:val="FF0000"/>
                <w:sz w:val="18"/>
                <w:szCs w:val="20"/>
                <w:lang w:eastAsia="pl-PL"/>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536" w:type="pct"/>
            <w:tcBorders>
              <w:top w:val="single" w:sz="4" w:space="0" w:color="auto"/>
              <w:left w:val="nil"/>
              <w:bottom w:val="single" w:sz="4" w:space="0" w:color="auto"/>
              <w:right w:val="single" w:sz="4" w:space="0" w:color="auto"/>
            </w:tcBorders>
            <w:vAlign w:val="center"/>
          </w:tcPr>
          <w:p w14:paraId="6E10B742" w14:textId="007A13C5" w:rsidR="00DC4F22" w:rsidRPr="00DC4F22" w:rsidRDefault="00DC4F22" w:rsidP="00751A82">
            <w:pPr>
              <w:spacing w:after="0" w:line="240" w:lineRule="auto"/>
              <w:jc w:val="center"/>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Min. wysokość wsparcia 350</w:t>
            </w:r>
            <w:r>
              <w:rPr>
                <w:rFonts w:ascii="Times New Roman" w:eastAsia="Times New Roman" w:hAnsi="Times New Roman"/>
                <w:color w:val="FF0000"/>
                <w:sz w:val="18"/>
                <w:szCs w:val="18"/>
                <w:lang w:eastAsia="pl-PL"/>
              </w:rPr>
              <w:t> </w:t>
            </w:r>
            <w:r w:rsidRPr="00DC4F22">
              <w:rPr>
                <w:rFonts w:ascii="Times New Roman" w:eastAsia="Times New Roman" w:hAnsi="Times New Roman"/>
                <w:color w:val="FF0000"/>
                <w:sz w:val="18"/>
                <w:szCs w:val="18"/>
                <w:lang w:eastAsia="pl-PL"/>
              </w:rPr>
              <w:t>000</w:t>
            </w:r>
          </w:p>
          <w:p w14:paraId="6655170C" w14:textId="77777777" w:rsidR="00DC4F22" w:rsidRDefault="00DC4F22" w:rsidP="00751A82">
            <w:pPr>
              <w:spacing w:after="0" w:line="240" w:lineRule="auto"/>
              <w:jc w:val="center"/>
              <w:rPr>
                <w:rFonts w:ascii="Times New Roman" w:eastAsia="Times New Roman" w:hAnsi="Times New Roman"/>
                <w:strike/>
                <w:color w:val="FF0000"/>
                <w:sz w:val="18"/>
                <w:szCs w:val="18"/>
                <w:lang w:eastAsia="pl-PL"/>
              </w:rPr>
            </w:pPr>
          </w:p>
          <w:p w14:paraId="69622730" w14:textId="77777777" w:rsidR="00DC4F22" w:rsidRDefault="00DC4F22" w:rsidP="00751A82">
            <w:pPr>
              <w:spacing w:after="0" w:line="240" w:lineRule="auto"/>
              <w:jc w:val="center"/>
              <w:rPr>
                <w:rFonts w:ascii="Times New Roman" w:eastAsia="Times New Roman" w:hAnsi="Times New Roman"/>
                <w:strike/>
                <w:color w:val="FF0000"/>
                <w:sz w:val="18"/>
                <w:szCs w:val="18"/>
                <w:lang w:eastAsia="pl-PL"/>
              </w:rPr>
            </w:pPr>
          </w:p>
          <w:p w14:paraId="22C7ECD0" w14:textId="77777777" w:rsidR="00DC4F22" w:rsidRPr="00DC4F22" w:rsidRDefault="00DC4F22" w:rsidP="00751A82">
            <w:pPr>
              <w:spacing w:after="0" w:line="240" w:lineRule="auto"/>
              <w:jc w:val="center"/>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85% kosztów kwalifikowalnych</w:t>
            </w:r>
          </w:p>
          <w:p w14:paraId="3FA55079" w14:textId="77777777" w:rsidR="00DC4F22" w:rsidRPr="00DC4F22" w:rsidRDefault="00DC4F22" w:rsidP="00D44D97">
            <w:pPr>
              <w:spacing w:after="0" w:line="240" w:lineRule="auto"/>
              <w:jc w:val="center"/>
              <w:rPr>
                <w:rFonts w:ascii="Times New Roman" w:eastAsia="Times New Roman" w:hAnsi="Times New Roman"/>
                <w:color w:val="FF0000"/>
                <w:sz w:val="18"/>
                <w:szCs w:val="18"/>
                <w:lang w:eastAsia="pl-PL"/>
              </w:rPr>
            </w:pPr>
          </w:p>
        </w:tc>
        <w:tc>
          <w:tcPr>
            <w:tcW w:w="494" w:type="pct"/>
            <w:tcBorders>
              <w:top w:val="single" w:sz="4" w:space="0" w:color="auto"/>
              <w:left w:val="nil"/>
              <w:bottom w:val="single" w:sz="4" w:space="0" w:color="auto"/>
              <w:right w:val="single" w:sz="4" w:space="0" w:color="auto"/>
            </w:tcBorders>
            <w:vAlign w:val="center"/>
          </w:tcPr>
          <w:p w14:paraId="6C29A394" w14:textId="77777777" w:rsidR="00EE7AEB" w:rsidRPr="00EE7AEB" w:rsidRDefault="00DC4F22" w:rsidP="00EE7AEB">
            <w:pPr>
              <w:spacing w:after="0" w:line="240" w:lineRule="auto"/>
              <w:jc w:val="center"/>
              <w:rPr>
                <w:rFonts w:ascii="Times New Roman" w:eastAsia="Times New Roman" w:hAnsi="Times New Roman"/>
                <w:color w:val="FF0000"/>
                <w:sz w:val="20"/>
                <w:szCs w:val="20"/>
                <w:lang w:eastAsia="pl-PL"/>
              </w:rPr>
            </w:pPr>
            <w:r w:rsidRPr="004C371B">
              <w:rPr>
                <w:rFonts w:ascii="Times New Roman" w:eastAsia="Times New Roman" w:hAnsi="Times New Roman"/>
                <w:strike/>
                <w:color w:val="FF0000"/>
                <w:sz w:val="20"/>
                <w:szCs w:val="20"/>
                <w:lang w:eastAsia="pl-PL"/>
              </w:rPr>
              <w:t>osoby prawne</w:t>
            </w:r>
            <w:r w:rsidR="00EE7AEB">
              <w:rPr>
                <w:rFonts w:ascii="Times New Roman" w:eastAsia="Times New Roman" w:hAnsi="Times New Roman"/>
                <w:color w:val="FF0000"/>
                <w:sz w:val="20"/>
                <w:szCs w:val="20"/>
                <w:lang w:eastAsia="pl-PL"/>
              </w:rPr>
              <w:t xml:space="preserve">, </w:t>
            </w:r>
            <w:r w:rsidR="00EE7AEB" w:rsidRPr="00EE7AEB">
              <w:rPr>
                <w:rFonts w:ascii="Times New Roman" w:eastAsia="Times New Roman" w:hAnsi="Times New Roman"/>
                <w:color w:val="FF0000"/>
                <w:sz w:val="20"/>
                <w:szCs w:val="20"/>
                <w:lang w:eastAsia="pl-PL"/>
              </w:rPr>
              <w:t xml:space="preserve">JSFP/ </w:t>
            </w:r>
          </w:p>
          <w:p w14:paraId="440CF5C4" w14:textId="14754AE5" w:rsidR="00DC4F22" w:rsidRPr="00DC4F22" w:rsidRDefault="00EE7AEB" w:rsidP="00EE7AEB">
            <w:pPr>
              <w:spacing w:after="0" w:line="240" w:lineRule="auto"/>
              <w:jc w:val="center"/>
              <w:rPr>
                <w:rFonts w:ascii="Times New Roman" w:eastAsia="Times New Roman" w:hAnsi="Times New Roman"/>
                <w:strike/>
                <w:color w:val="FF0000"/>
                <w:sz w:val="20"/>
                <w:szCs w:val="20"/>
                <w:lang w:eastAsia="pl-PL"/>
              </w:rPr>
            </w:pPr>
            <w:r w:rsidRPr="00EE7AEB">
              <w:rPr>
                <w:rFonts w:ascii="Times New Roman" w:eastAsia="Times New Roman" w:hAnsi="Times New Roman"/>
                <w:color w:val="FF0000"/>
                <w:sz w:val="20"/>
                <w:szCs w:val="20"/>
                <w:lang w:eastAsia="pl-PL"/>
              </w:rPr>
              <w:t>stowarzyszenie</w:t>
            </w:r>
          </w:p>
        </w:tc>
        <w:tc>
          <w:tcPr>
            <w:tcW w:w="455" w:type="pct"/>
            <w:tcBorders>
              <w:top w:val="single" w:sz="4" w:space="0" w:color="auto"/>
              <w:left w:val="nil"/>
              <w:bottom w:val="single" w:sz="4" w:space="0" w:color="auto"/>
              <w:right w:val="single" w:sz="4" w:space="0" w:color="auto"/>
            </w:tcBorders>
            <w:vAlign w:val="center"/>
          </w:tcPr>
          <w:p w14:paraId="7C409E4A" w14:textId="77777777" w:rsidR="00DC4F22" w:rsidRPr="00DC4F22" w:rsidRDefault="00DC4F22" w:rsidP="00751A82">
            <w:pPr>
              <w:spacing w:after="0" w:line="240" w:lineRule="auto"/>
              <w:jc w:val="center"/>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Mieszkańcy,</w:t>
            </w:r>
          </w:p>
          <w:p w14:paraId="403D48CE" w14:textId="5605730B" w:rsidR="00DC4F22" w:rsidRPr="00DC4F22" w:rsidRDefault="00DC4F22" w:rsidP="00D44D97">
            <w:pPr>
              <w:spacing w:after="0" w:line="240" w:lineRule="auto"/>
              <w:jc w:val="center"/>
              <w:rPr>
                <w:rFonts w:ascii="Times New Roman" w:eastAsia="Times New Roman" w:hAnsi="Times New Roman"/>
                <w:color w:val="FF0000"/>
                <w:sz w:val="18"/>
                <w:szCs w:val="18"/>
                <w:lang w:eastAsia="pl-PL"/>
              </w:rPr>
            </w:pPr>
            <w:r w:rsidRPr="00DC4F22">
              <w:rPr>
                <w:rFonts w:ascii="Times New Roman" w:eastAsia="Times New Roman" w:hAnsi="Times New Roman"/>
                <w:color w:val="FF0000"/>
                <w:sz w:val="18"/>
                <w:szCs w:val="18"/>
                <w:lang w:eastAsia="pl-PL"/>
              </w:rPr>
              <w:t>turyści</w:t>
            </w:r>
          </w:p>
        </w:tc>
        <w:tc>
          <w:tcPr>
            <w:tcW w:w="324" w:type="pct"/>
            <w:tcBorders>
              <w:top w:val="single" w:sz="4" w:space="0" w:color="auto"/>
              <w:left w:val="nil"/>
              <w:bottom w:val="single" w:sz="4" w:space="0" w:color="auto"/>
              <w:right w:val="single" w:sz="4" w:space="0" w:color="auto"/>
            </w:tcBorders>
            <w:vAlign w:val="center"/>
          </w:tcPr>
          <w:p w14:paraId="0A1ED032" w14:textId="22F3FDC6" w:rsidR="00DC4F22" w:rsidRPr="00DC4F22" w:rsidRDefault="00DC4F22" w:rsidP="00DC4F22">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Konkurs</w:t>
            </w:r>
          </w:p>
        </w:tc>
        <w:tc>
          <w:tcPr>
            <w:tcW w:w="325" w:type="pct"/>
            <w:tcBorders>
              <w:top w:val="single" w:sz="4" w:space="0" w:color="auto"/>
              <w:left w:val="nil"/>
              <w:bottom w:val="single" w:sz="4" w:space="0" w:color="auto"/>
              <w:right w:val="single" w:sz="4" w:space="0" w:color="auto"/>
            </w:tcBorders>
            <w:vAlign w:val="center"/>
          </w:tcPr>
          <w:p w14:paraId="5B25BAF8" w14:textId="5A163FB9" w:rsidR="00DC4F22" w:rsidRPr="00DC4F22" w:rsidRDefault="00324AE2" w:rsidP="00D44D97">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 xml:space="preserve"> € 712</w:t>
            </w:r>
            <w:r w:rsidR="00DC4F22">
              <w:rPr>
                <w:rFonts w:ascii="Times New Roman" w:eastAsia="Times New Roman" w:hAnsi="Times New Roman"/>
                <w:color w:val="FF0000"/>
                <w:sz w:val="18"/>
                <w:szCs w:val="18"/>
                <w:lang w:eastAsia="pl-PL"/>
              </w:rPr>
              <w:t xml:space="preserve"> </w:t>
            </w:r>
            <w:r w:rsidRPr="00271659">
              <w:rPr>
                <w:rFonts w:ascii="Times New Roman" w:eastAsia="Times New Roman" w:hAnsi="Times New Roman"/>
                <w:color w:val="FF0000"/>
                <w:sz w:val="18"/>
                <w:szCs w:val="18"/>
                <w:lang w:eastAsia="pl-PL"/>
              </w:rPr>
              <w:t>903</w:t>
            </w:r>
          </w:p>
        </w:tc>
        <w:tc>
          <w:tcPr>
            <w:tcW w:w="291" w:type="pct"/>
            <w:tcBorders>
              <w:top w:val="single" w:sz="4" w:space="0" w:color="auto"/>
              <w:left w:val="nil"/>
              <w:bottom w:val="single" w:sz="4" w:space="0" w:color="auto"/>
              <w:right w:val="single" w:sz="4" w:space="0" w:color="auto"/>
            </w:tcBorders>
            <w:vAlign w:val="center"/>
          </w:tcPr>
          <w:p w14:paraId="5182ADC2" w14:textId="23784BC0" w:rsidR="00DC4F22" w:rsidRPr="00DC4F22" w:rsidRDefault="00DC4F22" w:rsidP="006256FD">
            <w:pPr>
              <w:spacing w:after="0" w:line="240" w:lineRule="auto"/>
              <w:jc w:val="center"/>
              <w:rPr>
                <w:rFonts w:ascii="Times New Roman" w:eastAsia="Times New Roman" w:hAnsi="Times New Roman"/>
                <w:color w:val="FF0000"/>
                <w:sz w:val="16"/>
                <w:szCs w:val="18"/>
                <w:lang w:eastAsia="pl-PL"/>
              </w:rPr>
            </w:pPr>
            <w:r w:rsidRPr="00DC4F22">
              <w:rPr>
                <w:rFonts w:ascii="Times New Roman" w:eastAsia="Times New Roman" w:hAnsi="Times New Roman"/>
                <w:color w:val="FF0000"/>
                <w:sz w:val="16"/>
                <w:szCs w:val="18"/>
                <w:lang w:eastAsia="pl-PL"/>
              </w:rPr>
              <w:t>EFRR</w:t>
            </w:r>
          </w:p>
        </w:tc>
      </w:tr>
      <w:tr w:rsidR="00DC4F22" w:rsidRPr="00CE5D9A" w14:paraId="243A8002" w14:textId="306CEE3C" w:rsidTr="004F506B">
        <w:trPr>
          <w:trHeight w:val="1304"/>
        </w:trPr>
        <w:tc>
          <w:tcPr>
            <w:tcW w:w="606" w:type="pct"/>
            <w:tcBorders>
              <w:top w:val="single" w:sz="4" w:space="0" w:color="auto"/>
              <w:left w:val="single" w:sz="4" w:space="0" w:color="auto"/>
              <w:bottom w:val="single" w:sz="4" w:space="0" w:color="auto"/>
              <w:right w:val="single" w:sz="4" w:space="0" w:color="auto"/>
            </w:tcBorders>
            <w:vAlign w:val="center"/>
          </w:tcPr>
          <w:p w14:paraId="0A721C90" w14:textId="77777777" w:rsidR="00DC4F22" w:rsidRPr="00CE5D9A" w:rsidRDefault="00DC4F22" w:rsidP="00D44D97">
            <w:pPr>
              <w:spacing w:after="0" w:line="240" w:lineRule="auto"/>
              <w:jc w:val="center"/>
              <w:rPr>
                <w:rFonts w:ascii="Times New Roman" w:eastAsia="Times New Roman" w:hAnsi="Times New Roman"/>
                <w:i/>
                <w:iCs/>
                <w:sz w:val="18"/>
                <w:szCs w:val="18"/>
                <w:lang w:eastAsia="pl-PL"/>
              </w:rPr>
            </w:pPr>
            <w:r w:rsidRPr="00CE5D9A">
              <w:rPr>
                <w:rFonts w:ascii="Times New Roman" w:eastAsia="Times New Roman" w:hAnsi="Times New Roman"/>
                <w:i/>
                <w:iCs/>
                <w:sz w:val="18"/>
                <w:szCs w:val="18"/>
                <w:lang w:eastAsia="pl-PL"/>
              </w:rPr>
              <w:lastRenderedPageBreak/>
              <w:t>Niska aktywność społeczna</w:t>
            </w:r>
          </w:p>
        </w:tc>
        <w:tc>
          <w:tcPr>
            <w:tcW w:w="149" w:type="pct"/>
            <w:tcBorders>
              <w:top w:val="single" w:sz="4" w:space="0" w:color="auto"/>
              <w:left w:val="nil"/>
              <w:bottom w:val="single" w:sz="4" w:space="0" w:color="auto"/>
              <w:right w:val="single" w:sz="4" w:space="0" w:color="auto"/>
            </w:tcBorders>
            <w:vAlign w:val="center"/>
          </w:tcPr>
          <w:p w14:paraId="56BE6AA5" w14:textId="786A9A0D" w:rsidR="00DC4F22" w:rsidRPr="00CE5D9A" w:rsidRDefault="0061486F" w:rsidP="005F2C1D">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1.14</w:t>
            </w:r>
          </w:p>
        </w:tc>
        <w:tc>
          <w:tcPr>
            <w:tcW w:w="567" w:type="pct"/>
            <w:gridSpan w:val="2"/>
            <w:tcBorders>
              <w:top w:val="single" w:sz="4" w:space="0" w:color="auto"/>
              <w:left w:val="nil"/>
              <w:bottom w:val="single" w:sz="4" w:space="0" w:color="auto"/>
              <w:right w:val="single" w:sz="4" w:space="0" w:color="auto"/>
            </w:tcBorders>
            <w:vAlign w:val="center"/>
          </w:tcPr>
          <w:p w14:paraId="620E2DD5" w14:textId="77777777" w:rsidR="00DC4F22" w:rsidRPr="00CE5D9A" w:rsidRDefault="00DC4F22"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Wspieranie oddolnych inicjatyw na rzecz aktywnego włączenia społecznego (FEM EFS+)</w:t>
            </w:r>
          </w:p>
        </w:tc>
        <w:tc>
          <w:tcPr>
            <w:tcW w:w="603" w:type="pct"/>
            <w:tcBorders>
              <w:top w:val="single" w:sz="4" w:space="0" w:color="auto"/>
              <w:left w:val="nil"/>
              <w:bottom w:val="single" w:sz="4" w:space="0" w:color="auto"/>
              <w:right w:val="single" w:sz="4" w:space="0" w:color="auto"/>
            </w:tcBorders>
            <w:vAlign w:val="center"/>
          </w:tcPr>
          <w:p w14:paraId="550121D0" w14:textId="77777777" w:rsidR="00DC4F22" w:rsidRPr="00CE5D9A" w:rsidRDefault="00DC4F22" w:rsidP="00D44D97">
            <w:pPr>
              <w:spacing w:after="0" w:line="240" w:lineRule="auto"/>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Zakres wsparcia:</w:t>
            </w:r>
          </w:p>
          <w:p w14:paraId="277B15CF" w14:textId="77777777" w:rsidR="00DC4F22" w:rsidRPr="00CE5D9A" w:rsidRDefault="00DC4F22" w:rsidP="00D44D97">
            <w:pPr>
              <w:pStyle w:val="Akapitzlist"/>
              <w:numPr>
                <w:ilvl w:val="0"/>
                <w:numId w:val="63"/>
              </w:numPr>
              <w:spacing w:after="0" w:line="240" w:lineRule="auto"/>
              <w:ind w:left="186" w:hanging="186"/>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Tworzenie nowych oraz rozwój już istniejących placówek wsparcia dziennego dla dzieci i młodzieży,</w:t>
            </w:r>
          </w:p>
          <w:p w14:paraId="38007998" w14:textId="77777777" w:rsidR="00DC4F22" w:rsidRPr="00ED7CC1" w:rsidRDefault="00DC4F22" w:rsidP="00D44D97">
            <w:pPr>
              <w:pStyle w:val="Akapitzlist"/>
              <w:numPr>
                <w:ilvl w:val="0"/>
                <w:numId w:val="63"/>
              </w:numPr>
              <w:spacing w:after="0" w:line="240" w:lineRule="auto"/>
              <w:ind w:left="186" w:hanging="186"/>
              <w:rPr>
                <w:rFonts w:ascii="Times New Roman" w:eastAsia="Times New Roman" w:hAnsi="Times New Roman"/>
                <w:strike/>
                <w:color w:val="FF0000"/>
                <w:sz w:val="18"/>
                <w:szCs w:val="18"/>
                <w:lang w:eastAsia="pl-PL"/>
              </w:rPr>
            </w:pPr>
            <w:r w:rsidRPr="00ED7CC1">
              <w:rPr>
                <w:rFonts w:ascii="Times New Roman" w:eastAsia="Times New Roman" w:hAnsi="Times New Roman"/>
                <w:strike/>
                <w:color w:val="FF0000"/>
                <w:sz w:val="18"/>
                <w:szCs w:val="18"/>
                <w:lang w:eastAsia="pl-PL"/>
              </w:rPr>
              <w:t>Usługi zgodne z zasadą deinstytucjonalizacji, w zakresie zapewnienia opieki osobom potrzebującym wsparcia w codziennym funkcjonowaniu, w tym ze względu na wiek oraz/lub usługi w zakresie wsparcia opiekunów nieformalnych,</w:t>
            </w:r>
          </w:p>
          <w:p w14:paraId="05459C6E" w14:textId="77777777" w:rsidR="00DC4F22" w:rsidRPr="00ED7CC1" w:rsidRDefault="00DC4F22" w:rsidP="00D44D97">
            <w:pPr>
              <w:pStyle w:val="Akapitzlist"/>
              <w:numPr>
                <w:ilvl w:val="0"/>
                <w:numId w:val="63"/>
              </w:numPr>
              <w:spacing w:after="0" w:line="240" w:lineRule="auto"/>
              <w:ind w:left="186" w:hanging="186"/>
              <w:rPr>
                <w:rFonts w:ascii="Times New Roman" w:eastAsia="Times New Roman" w:hAnsi="Times New Roman"/>
                <w:strike/>
                <w:color w:val="FF0000"/>
                <w:sz w:val="18"/>
                <w:szCs w:val="18"/>
                <w:lang w:eastAsia="pl-PL"/>
              </w:rPr>
            </w:pPr>
            <w:r w:rsidRPr="00ED7CC1">
              <w:rPr>
                <w:rFonts w:ascii="Times New Roman" w:eastAsia="Times New Roman" w:hAnsi="Times New Roman"/>
                <w:strike/>
                <w:color w:val="FF0000"/>
                <w:sz w:val="18"/>
                <w:szCs w:val="18"/>
                <w:lang w:eastAsia="pl-PL"/>
              </w:rPr>
              <w:t xml:space="preserve"> Usługi w zakresie rozwoju mieszkalnictwa chronionego, wspomaganego i innych rodzajów mieszkań z usługami,</w:t>
            </w:r>
          </w:p>
          <w:p w14:paraId="5A8EE421" w14:textId="77777777" w:rsidR="00DC4F22" w:rsidRPr="00ED7CC1" w:rsidRDefault="00DC4F22" w:rsidP="00D44D97">
            <w:pPr>
              <w:pStyle w:val="Akapitzlist"/>
              <w:numPr>
                <w:ilvl w:val="0"/>
                <w:numId w:val="63"/>
              </w:numPr>
              <w:spacing w:after="0" w:line="240" w:lineRule="auto"/>
              <w:ind w:left="186" w:hanging="186"/>
              <w:rPr>
                <w:rFonts w:ascii="Times New Roman" w:eastAsia="Times New Roman" w:hAnsi="Times New Roman"/>
                <w:strike/>
                <w:color w:val="FF0000"/>
                <w:sz w:val="18"/>
                <w:szCs w:val="18"/>
                <w:lang w:eastAsia="pl-PL"/>
              </w:rPr>
            </w:pPr>
            <w:r w:rsidRPr="00ED7CC1">
              <w:rPr>
                <w:rFonts w:ascii="Times New Roman" w:eastAsia="Times New Roman" w:hAnsi="Times New Roman"/>
                <w:strike/>
                <w:color w:val="FF0000"/>
                <w:sz w:val="18"/>
                <w:szCs w:val="18"/>
                <w:lang w:eastAsia="pl-PL"/>
              </w:rPr>
              <w:t>Usługi domowej opieki długoterminowej zgodne z zasadą deinstytucjonalizacji, w tym wykorzystanie modelu DDOM,</w:t>
            </w:r>
          </w:p>
          <w:p w14:paraId="36D29A5C" w14:textId="77777777" w:rsidR="00DC4F22" w:rsidRPr="00CE5D9A" w:rsidRDefault="00DC4F22" w:rsidP="00D44D97">
            <w:pPr>
              <w:pStyle w:val="Akapitzlist"/>
              <w:numPr>
                <w:ilvl w:val="0"/>
                <w:numId w:val="63"/>
              </w:numPr>
              <w:spacing w:after="0" w:line="240" w:lineRule="auto"/>
              <w:ind w:left="186" w:hanging="186"/>
              <w:rPr>
                <w:rFonts w:ascii="Times New Roman" w:eastAsia="Times New Roman" w:hAnsi="Times New Roman"/>
                <w:sz w:val="18"/>
                <w:szCs w:val="18"/>
                <w:lang w:eastAsia="pl-PL"/>
              </w:rPr>
            </w:pPr>
            <w:r w:rsidRPr="00ED7CC1">
              <w:rPr>
                <w:rFonts w:ascii="Times New Roman" w:eastAsia="Times New Roman" w:hAnsi="Times New Roman"/>
                <w:strike/>
                <w:color w:val="FF0000"/>
                <w:sz w:val="18"/>
                <w:szCs w:val="18"/>
                <w:lang w:eastAsia="pl-PL"/>
              </w:rPr>
              <w:t xml:space="preserve">Wsparcie rozwoju lokalnego kierowanego przez społeczność (RLKS) poprzez finansowanie działań związanych z realizacją i zarządzaniem strategią LSR, w </w:t>
            </w:r>
            <w:r w:rsidRPr="00ED7CC1">
              <w:rPr>
                <w:rFonts w:ascii="Times New Roman" w:eastAsia="Times New Roman" w:hAnsi="Times New Roman"/>
                <w:strike/>
                <w:color w:val="FF0000"/>
                <w:sz w:val="18"/>
                <w:szCs w:val="18"/>
                <w:lang w:eastAsia="pl-PL"/>
              </w:rPr>
              <w:lastRenderedPageBreak/>
              <w:t>tym kosztów monitorowania, ewaluacji i działań animacyjnych podejmowanych przez LGD.</w:t>
            </w:r>
          </w:p>
        </w:tc>
        <w:tc>
          <w:tcPr>
            <w:tcW w:w="650" w:type="pct"/>
            <w:tcBorders>
              <w:top w:val="single" w:sz="4" w:space="0" w:color="auto"/>
              <w:left w:val="nil"/>
              <w:bottom w:val="single" w:sz="4" w:space="0" w:color="auto"/>
              <w:right w:val="single" w:sz="4" w:space="0" w:color="auto"/>
            </w:tcBorders>
            <w:vAlign w:val="center"/>
          </w:tcPr>
          <w:p w14:paraId="48788321" w14:textId="77777777" w:rsidR="00DC4F22" w:rsidRPr="00CE5D9A" w:rsidRDefault="00DC4F22" w:rsidP="00D44D97">
            <w:pPr>
              <w:spacing w:after="0" w:line="240" w:lineRule="auto"/>
              <w:jc w:val="center"/>
              <w:rPr>
                <w:rFonts w:ascii="Times New Roman" w:eastAsia="Times New Roman" w:hAnsi="Times New Roman"/>
                <w:sz w:val="18"/>
                <w:szCs w:val="20"/>
                <w:lang w:eastAsia="pl-PL"/>
              </w:rPr>
            </w:pPr>
            <w:r w:rsidRPr="00CE5D9A">
              <w:rPr>
                <w:rFonts w:ascii="Times New Roman" w:eastAsia="Times New Roman" w:hAnsi="Times New Roman"/>
                <w:sz w:val="18"/>
                <w:szCs w:val="20"/>
                <w:lang w:eastAsia="pl-PL"/>
              </w:rPr>
              <w:lastRenderedPageBreak/>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w:t>
            </w:r>
          </w:p>
        </w:tc>
        <w:tc>
          <w:tcPr>
            <w:tcW w:w="536" w:type="pct"/>
            <w:tcBorders>
              <w:top w:val="single" w:sz="4" w:space="0" w:color="auto"/>
              <w:left w:val="nil"/>
              <w:bottom w:val="single" w:sz="4" w:space="0" w:color="auto"/>
              <w:right w:val="single" w:sz="4" w:space="0" w:color="auto"/>
            </w:tcBorders>
            <w:vAlign w:val="center"/>
          </w:tcPr>
          <w:p w14:paraId="524B5C4F" w14:textId="77777777" w:rsidR="00DC4F22" w:rsidRPr="00CE5D9A" w:rsidRDefault="00DC4F22"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Min. wysokość wsparcia 50 000</w:t>
            </w:r>
          </w:p>
          <w:p w14:paraId="30211BF1" w14:textId="51BB74FD" w:rsidR="00DC4F22" w:rsidRPr="00D255F0" w:rsidRDefault="00DC4F22" w:rsidP="00D44D97">
            <w:pPr>
              <w:spacing w:after="0" w:line="240" w:lineRule="auto"/>
              <w:jc w:val="center"/>
              <w:rPr>
                <w:rFonts w:ascii="Times New Roman" w:eastAsia="Times New Roman" w:hAnsi="Times New Roman"/>
                <w:strike/>
                <w:color w:val="FF0000"/>
                <w:sz w:val="18"/>
                <w:szCs w:val="18"/>
                <w:lang w:eastAsia="pl-PL"/>
              </w:rPr>
            </w:pPr>
            <w:r w:rsidRPr="00D255F0">
              <w:rPr>
                <w:rFonts w:ascii="Times New Roman" w:eastAsia="Times New Roman" w:hAnsi="Times New Roman"/>
                <w:strike/>
                <w:color w:val="FF0000"/>
                <w:sz w:val="18"/>
                <w:szCs w:val="18"/>
                <w:lang w:eastAsia="pl-PL"/>
              </w:rPr>
              <w:t>Max. wysokość wsparcia 200 000 PLN</w:t>
            </w:r>
          </w:p>
          <w:p w14:paraId="0139ACD8" w14:textId="77777777" w:rsidR="00DC4F22" w:rsidRPr="00CE5D9A" w:rsidRDefault="00DC4F22" w:rsidP="00D44D97">
            <w:pPr>
              <w:spacing w:after="0" w:line="240" w:lineRule="auto"/>
              <w:jc w:val="center"/>
              <w:rPr>
                <w:rFonts w:ascii="Times New Roman" w:eastAsia="Times New Roman" w:hAnsi="Times New Roman"/>
                <w:sz w:val="18"/>
                <w:szCs w:val="18"/>
                <w:lang w:eastAsia="pl-PL"/>
              </w:rPr>
            </w:pPr>
          </w:p>
          <w:p w14:paraId="1CA8881A" w14:textId="6A24B02D" w:rsidR="00DC4F22" w:rsidRPr="00CE5D9A" w:rsidRDefault="00007063" w:rsidP="00D44D97">
            <w:pPr>
              <w:spacing w:after="0" w:line="240" w:lineRule="auto"/>
              <w:jc w:val="center"/>
              <w:rPr>
                <w:rFonts w:ascii="Times New Roman" w:eastAsia="Times New Roman" w:hAnsi="Times New Roman"/>
                <w:sz w:val="18"/>
                <w:szCs w:val="18"/>
                <w:lang w:eastAsia="pl-PL"/>
              </w:rPr>
            </w:pPr>
            <w:r w:rsidRPr="00007063">
              <w:rPr>
                <w:rFonts w:ascii="Times New Roman" w:eastAsia="Times New Roman" w:hAnsi="Times New Roman"/>
                <w:color w:val="FF0000"/>
                <w:sz w:val="18"/>
                <w:szCs w:val="18"/>
                <w:lang w:eastAsia="pl-PL"/>
              </w:rPr>
              <w:t>9</w:t>
            </w:r>
            <w:r w:rsidR="00DC4F22" w:rsidRPr="00007063">
              <w:rPr>
                <w:rFonts w:ascii="Times New Roman" w:eastAsia="Times New Roman" w:hAnsi="Times New Roman"/>
                <w:color w:val="FF0000"/>
                <w:sz w:val="18"/>
                <w:szCs w:val="18"/>
                <w:lang w:eastAsia="pl-PL"/>
              </w:rPr>
              <w:t xml:space="preserve">5% </w:t>
            </w:r>
            <w:r w:rsidR="00DC4F22" w:rsidRPr="00CE5D9A">
              <w:rPr>
                <w:rFonts w:ascii="Times New Roman" w:eastAsia="Times New Roman" w:hAnsi="Times New Roman"/>
                <w:sz w:val="18"/>
                <w:szCs w:val="18"/>
                <w:lang w:eastAsia="pl-PL"/>
              </w:rPr>
              <w:t>kosztów kwalifikowalnych</w:t>
            </w:r>
          </w:p>
        </w:tc>
        <w:tc>
          <w:tcPr>
            <w:tcW w:w="494" w:type="pct"/>
            <w:tcBorders>
              <w:top w:val="single" w:sz="4" w:space="0" w:color="auto"/>
              <w:left w:val="nil"/>
              <w:bottom w:val="single" w:sz="4" w:space="0" w:color="auto"/>
              <w:right w:val="single" w:sz="4" w:space="0" w:color="auto"/>
            </w:tcBorders>
            <w:vAlign w:val="center"/>
          </w:tcPr>
          <w:p w14:paraId="4921E287" w14:textId="77777777" w:rsidR="00EE7AEB" w:rsidRPr="00EE7AEB" w:rsidRDefault="00DC4F22" w:rsidP="00EE7AEB">
            <w:pPr>
              <w:spacing w:after="0" w:line="240" w:lineRule="auto"/>
              <w:jc w:val="center"/>
              <w:rPr>
                <w:rFonts w:ascii="Times New Roman" w:eastAsia="Times New Roman" w:hAnsi="Times New Roman"/>
                <w:color w:val="FF0000"/>
                <w:sz w:val="20"/>
                <w:szCs w:val="20"/>
                <w:lang w:eastAsia="pl-PL"/>
              </w:rPr>
            </w:pPr>
            <w:r w:rsidRPr="005B1E6F">
              <w:rPr>
                <w:rFonts w:ascii="Times New Roman" w:eastAsia="Times New Roman" w:hAnsi="Times New Roman"/>
                <w:strike/>
                <w:color w:val="FF0000"/>
                <w:sz w:val="20"/>
                <w:szCs w:val="20"/>
                <w:lang w:eastAsia="pl-PL"/>
              </w:rPr>
              <w:t>LGD i inne</w:t>
            </w:r>
            <w:r w:rsidRPr="00CE5D9A">
              <w:rPr>
                <w:rFonts w:ascii="Times New Roman" w:eastAsia="Times New Roman" w:hAnsi="Times New Roman"/>
                <w:sz w:val="20"/>
                <w:szCs w:val="20"/>
                <w:lang w:eastAsia="pl-PL"/>
              </w:rPr>
              <w:t xml:space="preserve"> </w:t>
            </w:r>
            <w:r w:rsidRPr="004C371B">
              <w:rPr>
                <w:rFonts w:ascii="Times New Roman" w:eastAsia="Times New Roman" w:hAnsi="Times New Roman"/>
                <w:strike/>
                <w:color w:val="FF0000"/>
                <w:sz w:val="20"/>
                <w:szCs w:val="20"/>
                <w:lang w:eastAsia="pl-PL"/>
              </w:rPr>
              <w:t>osoby prawne</w:t>
            </w:r>
            <w:r w:rsidR="00563189">
              <w:rPr>
                <w:rFonts w:ascii="Times New Roman" w:eastAsia="Times New Roman" w:hAnsi="Times New Roman"/>
                <w:sz w:val="20"/>
                <w:szCs w:val="20"/>
                <w:lang w:eastAsia="pl-PL"/>
              </w:rPr>
              <w:t xml:space="preserve">, </w:t>
            </w:r>
            <w:r w:rsidR="00EE7AEB" w:rsidRPr="00EE7AEB">
              <w:rPr>
                <w:rFonts w:ascii="Times New Roman" w:eastAsia="Times New Roman" w:hAnsi="Times New Roman"/>
                <w:color w:val="FF0000"/>
                <w:sz w:val="20"/>
                <w:szCs w:val="20"/>
                <w:lang w:eastAsia="pl-PL"/>
              </w:rPr>
              <w:t xml:space="preserve">JSFP/ </w:t>
            </w:r>
          </w:p>
          <w:p w14:paraId="087A18AE" w14:textId="33FC442A" w:rsidR="00DC4F22" w:rsidRPr="00CE5D9A" w:rsidRDefault="00EE7AEB" w:rsidP="00EE7AEB">
            <w:pPr>
              <w:spacing w:after="0" w:line="240" w:lineRule="auto"/>
              <w:jc w:val="center"/>
              <w:rPr>
                <w:rFonts w:ascii="Times New Roman" w:eastAsia="Times New Roman" w:hAnsi="Times New Roman"/>
                <w:sz w:val="18"/>
                <w:szCs w:val="18"/>
                <w:lang w:eastAsia="pl-PL"/>
              </w:rPr>
            </w:pPr>
            <w:r w:rsidRPr="00EE7AEB">
              <w:rPr>
                <w:rFonts w:ascii="Times New Roman" w:eastAsia="Times New Roman" w:hAnsi="Times New Roman"/>
                <w:color w:val="FF0000"/>
                <w:sz w:val="20"/>
                <w:szCs w:val="20"/>
                <w:lang w:eastAsia="pl-PL"/>
              </w:rPr>
              <w:t>stowarzyszenie</w:t>
            </w:r>
          </w:p>
        </w:tc>
        <w:tc>
          <w:tcPr>
            <w:tcW w:w="455" w:type="pct"/>
            <w:tcBorders>
              <w:top w:val="single" w:sz="4" w:space="0" w:color="auto"/>
              <w:left w:val="nil"/>
              <w:bottom w:val="single" w:sz="4" w:space="0" w:color="auto"/>
              <w:right w:val="single" w:sz="4" w:space="0" w:color="auto"/>
            </w:tcBorders>
            <w:vAlign w:val="center"/>
          </w:tcPr>
          <w:p w14:paraId="1A106D90" w14:textId="0BAA08E8" w:rsidR="00DC4F22" w:rsidRPr="00CE5D9A" w:rsidRDefault="00DC4F22"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dzieci i młodzież, </w:t>
            </w:r>
            <w:r w:rsidRPr="00ED7CC1">
              <w:rPr>
                <w:rFonts w:ascii="Times New Roman" w:eastAsia="Times New Roman" w:hAnsi="Times New Roman"/>
                <w:strike/>
                <w:color w:val="FF0000"/>
                <w:sz w:val="18"/>
                <w:szCs w:val="18"/>
                <w:lang w:eastAsia="pl-PL"/>
              </w:rPr>
              <w:t>Lokalne Grupy Działania, opiekunowie osób wymagających wsparcia w codziennym funkcjonowaniu, osoby chorujące przewlekle, osoby starsze, osoby opuszczające zakłady karne, osoby usamodzielniane i opuszczające pieczę zastępczą, osoby w kryzysie bezdomności i zagrożone wykluczeniem mieszkaniowym, osoby wymagające wsparcia w codziennym funkcjonowaniu,</w:t>
            </w:r>
            <w:r w:rsidRPr="00ED7CC1">
              <w:rPr>
                <w:rFonts w:ascii="Times New Roman" w:eastAsia="Times New Roman" w:hAnsi="Times New Roman"/>
                <w:color w:val="FF0000"/>
                <w:sz w:val="18"/>
                <w:szCs w:val="18"/>
                <w:lang w:eastAsia="pl-PL"/>
              </w:rPr>
              <w:t xml:space="preserve"> </w:t>
            </w:r>
            <w:r w:rsidRPr="00CE5D9A">
              <w:rPr>
                <w:rFonts w:ascii="Times New Roman" w:eastAsia="Times New Roman" w:hAnsi="Times New Roman"/>
                <w:sz w:val="18"/>
                <w:szCs w:val="18"/>
                <w:lang w:eastAsia="pl-PL"/>
              </w:rPr>
              <w:t>rodzice i opiekunowie prawni dzieci i młodzieży</w:t>
            </w:r>
          </w:p>
        </w:tc>
        <w:tc>
          <w:tcPr>
            <w:tcW w:w="324" w:type="pct"/>
            <w:tcBorders>
              <w:top w:val="single" w:sz="4" w:space="0" w:color="auto"/>
              <w:left w:val="nil"/>
              <w:bottom w:val="single" w:sz="4" w:space="0" w:color="auto"/>
              <w:right w:val="single" w:sz="4" w:space="0" w:color="auto"/>
            </w:tcBorders>
            <w:vAlign w:val="center"/>
          </w:tcPr>
          <w:p w14:paraId="0347FBD7" w14:textId="400AF76E" w:rsidR="00DC4F22" w:rsidRPr="00CE5D9A" w:rsidRDefault="00DC4F22" w:rsidP="00D44D97">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Konkurs/ </w:t>
            </w:r>
            <w:r w:rsidRPr="005B1E6F">
              <w:rPr>
                <w:rFonts w:ascii="Times New Roman" w:eastAsia="Times New Roman" w:hAnsi="Times New Roman"/>
                <w:strike/>
                <w:color w:val="FF0000"/>
                <w:sz w:val="18"/>
                <w:szCs w:val="18"/>
                <w:lang w:eastAsia="pl-PL"/>
              </w:rPr>
              <w:t>operacja własna</w:t>
            </w:r>
          </w:p>
        </w:tc>
        <w:tc>
          <w:tcPr>
            <w:tcW w:w="325" w:type="pct"/>
            <w:tcBorders>
              <w:top w:val="single" w:sz="4" w:space="0" w:color="auto"/>
              <w:left w:val="nil"/>
              <w:bottom w:val="single" w:sz="4" w:space="0" w:color="auto"/>
              <w:right w:val="single" w:sz="4" w:space="0" w:color="auto"/>
            </w:tcBorders>
            <w:vAlign w:val="center"/>
          </w:tcPr>
          <w:p w14:paraId="7B95285D" w14:textId="658920E8" w:rsidR="00DC4F22" w:rsidRPr="00271659" w:rsidRDefault="00DC4F22" w:rsidP="00D44D97">
            <w:pPr>
              <w:spacing w:after="0" w:line="240" w:lineRule="auto"/>
              <w:jc w:val="center"/>
              <w:rPr>
                <w:rFonts w:ascii="Times New Roman" w:eastAsia="Times New Roman" w:hAnsi="Times New Roman"/>
                <w:color w:val="FF0000"/>
                <w:sz w:val="18"/>
                <w:szCs w:val="18"/>
                <w:lang w:eastAsia="pl-PL"/>
              </w:rPr>
            </w:pPr>
            <w:r w:rsidRPr="00271659">
              <w:rPr>
                <w:rFonts w:ascii="Times New Roman" w:eastAsia="Times New Roman" w:hAnsi="Times New Roman"/>
                <w:color w:val="FF0000"/>
                <w:sz w:val="18"/>
                <w:szCs w:val="18"/>
                <w:lang w:eastAsia="pl-PL"/>
              </w:rPr>
              <w:t xml:space="preserve"> € 654 683 </w:t>
            </w:r>
          </w:p>
        </w:tc>
        <w:tc>
          <w:tcPr>
            <w:tcW w:w="291" w:type="pct"/>
            <w:tcBorders>
              <w:top w:val="single" w:sz="4" w:space="0" w:color="auto"/>
              <w:left w:val="nil"/>
              <w:bottom w:val="single" w:sz="4" w:space="0" w:color="auto"/>
              <w:right w:val="single" w:sz="4" w:space="0" w:color="auto"/>
            </w:tcBorders>
            <w:vAlign w:val="center"/>
          </w:tcPr>
          <w:p w14:paraId="5DFC3F53" w14:textId="67C73563" w:rsidR="00DC4F22" w:rsidRPr="00271659" w:rsidRDefault="00DC4F22" w:rsidP="00D44D97">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sz w:val="16"/>
                <w:szCs w:val="18"/>
                <w:lang w:eastAsia="pl-PL"/>
              </w:rPr>
              <w:t>EFS+</w:t>
            </w:r>
          </w:p>
        </w:tc>
      </w:tr>
      <w:tr w:rsidR="00DC4F22" w:rsidRPr="00CE5D9A" w14:paraId="08332791" w14:textId="31163097" w:rsidTr="00BC7F22">
        <w:trPr>
          <w:trHeight w:val="397"/>
        </w:trPr>
        <w:tc>
          <w:tcPr>
            <w:tcW w:w="4384" w:type="pct"/>
            <w:gridSpan w:val="10"/>
            <w:tcBorders>
              <w:top w:val="single" w:sz="4" w:space="0" w:color="auto"/>
              <w:left w:val="single" w:sz="4" w:space="0" w:color="auto"/>
              <w:bottom w:val="single" w:sz="4" w:space="0" w:color="auto"/>
              <w:right w:val="single" w:sz="4" w:space="0" w:color="auto"/>
            </w:tcBorders>
            <w:vAlign w:val="center"/>
          </w:tcPr>
          <w:p w14:paraId="734D9FD2" w14:textId="77777777" w:rsidR="00DC4F22" w:rsidRPr="00CE5D9A" w:rsidRDefault="00DC4F22" w:rsidP="00D44D97">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SUMA</w:t>
            </w:r>
          </w:p>
        </w:tc>
        <w:tc>
          <w:tcPr>
            <w:tcW w:w="325" w:type="pct"/>
            <w:tcBorders>
              <w:top w:val="single" w:sz="4" w:space="0" w:color="auto"/>
              <w:left w:val="nil"/>
              <w:bottom w:val="single" w:sz="4" w:space="0" w:color="auto"/>
              <w:right w:val="single" w:sz="4" w:space="0" w:color="auto"/>
            </w:tcBorders>
            <w:vAlign w:val="center"/>
          </w:tcPr>
          <w:p w14:paraId="03F925FE" w14:textId="1D456714" w:rsidR="00DC4F22" w:rsidRPr="00271659" w:rsidRDefault="00DC4F22" w:rsidP="00271659">
            <w:pPr>
              <w:spacing w:after="0" w:line="240" w:lineRule="auto"/>
              <w:ind w:right="-34"/>
              <w:jc w:val="center"/>
              <w:rPr>
                <w:rFonts w:ascii="Times New Roman" w:eastAsia="Times New Roman" w:hAnsi="Times New Roman"/>
                <w:b/>
                <w:bCs/>
                <w:color w:val="FF0000"/>
                <w:sz w:val="18"/>
                <w:szCs w:val="18"/>
                <w:lang w:eastAsia="pl-PL"/>
              </w:rPr>
            </w:pPr>
            <w:r w:rsidRPr="00271659">
              <w:rPr>
                <w:rFonts w:ascii="Times New Roman" w:eastAsia="Times New Roman" w:hAnsi="Times New Roman"/>
                <w:b/>
                <w:bCs/>
                <w:color w:val="FF0000"/>
                <w:sz w:val="18"/>
                <w:szCs w:val="18"/>
                <w:lang w:eastAsia="pl-PL"/>
              </w:rPr>
              <w:t xml:space="preserve">€ </w:t>
            </w:r>
            <w:r w:rsidRPr="00271659">
              <w:rPr>
                <w:rFonts w:ascii="Times New Roman" w:eastAsia="Times New Roman" w:hAnsi="Times New Roman"/>
                <w:b/>
                <w:bCs/>
                <w:color w:val="FF0000"/>
                <w:sz w:val="18"/>
                <w:szCs w:val="18"/>
                <w:lang w:eastAsia="pl-PL"/>
              </w:rPr>
              <w:br/>
              <w:t>5 329 586</w:t>
            </w:r>
          </w:p>
        </w:tc>
        <w:tc>
          <w:tcPr>
            <w:tcW w:w="291" w:type="pct"/>
            <w:tcBorders>
              <w:top w:val="single" w:sz="4" w:space="0" w:color="auto"/>
              <w:left w:val="nil"/>
              <w:bottom w:val="single" w:sz="4" w:space="0" w:color="auto"/>
              <w:right w:val="single" w:sz="4" w:space="0" w:color="auto"/>
            </w:tcBorders>
          </w:tcPr>
          <w:p w14:paraId="3B52D7BD" w14:textId="77777777" w:rsidR="00DC4F22" w:rsidRPr="00271659" w:rsidRDefault="00DC4F22" w:rsidP="00271659">
            <w:pPr>
              <w:spacing w:after="0" w:line="240" w:lineRule="auto"/>
              <w:ind w:right="-34"/>
              <w:jc w:val="center"/>
              <w:rPr>
                <w:rFonts w:ascii="Times New Roman" w:eastAsia="Times New Roman" w:hAnsi="Times New Roman"/>
                <w:b/>
                <w:bCs/>
                <w:color w:val="FF0000"/>
                <w:sz w:val="18"/>
                <w:szCs w:val="18"/>
                <w:lang w:eastAsia="pl-PL"/>
              </w:rPr>
            </w:pPr>
          </w:p>
        </w:tc>
      </w:tr>
    </w:tbl>
    <w:p w14:paraId="2D81922F" w14:textId="77777777" w:rsidR="00686DFE" w:rsidRPr="00CE5D9A" w:rsidRDefault="00686DFE" w:rsidP="000F4302">
      <w:pPr>
        <w:jc w:val="center"/>
        <w:rPr>
          <w:rFonts w:ascii="Times New Roman" w:hAnsi="Times New Roman"/>
          <w:b/>
          <w:bCs/>
        </w:rPr>
        <w:sectPr w:rsidR="00686DFE" w:rsidRPr="00CE5D9A">
          <w:pgSz w:w="16838" w:h="11906" w:orient="landscape"/>
          <w:pgMar w:top="851" w:right="851" w:bottom="851" w:left="851" w:header="709" w:footer="709" w:gutter="0"/>
          <w:cols w:space="708"/>
          <w:titlePg/>
          <w:docGrid w:linePitch="360"/>
        </w:sectPr>
      </w:pPr>
      <w:r w:rsidRPr="00CE5D9A">
        <w:rPr>
          <w:rFonts w:ascii="Times New Roman" w:hAnsi="Times New Roman"/>
          <w:i/>
          <w:iCs/>
          <w:sz w:val="20"/>
          <w:szCs w:val="20"/>
        </w:rPr>
        <w:t>Źródło: opracowanie własne</w:t>
      </w:r>
    </w:p>
    <w:p w14:paraId="5ED1EADE" w14:textId="73CEC3BB" w:rsidR="00686DFE" w:rsidRPr="00CE5D9A" w:rsidRDefault="00686DFE" w:rsidP="005A0BED">
      <w:pPr>
        <w:pStyle w:val="Akapitzlist"/>
        <w:numPr>
          <w:ilvl w:val="0"/>
          <w:numId w:val="2"/>
        </w:numPr>
        <w:spacing w:after="240"/>
        <w:ind w:left="714" w:hanging="357"/>
        <w:contextualSpacing w:val="0"/>
        <w:outlineLvl w:val="0"/>
        <w:rPr>
          <w:rFonts w:ascii="Times New Roman" w:hAnsi="Times New Roman"/>
          <w:b/>
          <w:bCs/>
        </w:rPr>
      </w:pPr>
      <w:bookmarkStart w:id="156" w:name="_Toc135647310"/>
      <w:bookmarkStart w:id="157" w:name="_Toc135994839"/>
      <w:r w:rsidRPr="00CE5D9A">
        <w:rPr>
          <w:rFonts w:ascii="Times New Roman" w:hAnsi="Times New Roman"/>
          <w:b/>
          <w:bCs/>
        </w:rPr>
        <w:lastRenderedPageBreak/>
        <w:t>SPOSÓB WYBORU I OCENY OPERACJI ORAZ SPOSÓB USTANAWIANIA KRYTERIÓW WYBORU</w:t>
      </w:r>
      <w:bookmarkEnd w:id="156"/>
      <w:bookmarkEnd w:id="157"/>
    </w:p>
    <w:p w14:paraId="55C78E81" w14:textId="77777777" w:rsidR="00686DFE" w:rsidRPr="00CE5D9A" w:rsidRDefault="00686DFE">
      <w:pPr>
        <w:pStyle w:val="Akapitzlist"/>
        <w:numPr>
          <w:ilvl w:val="1"/>
          <w:numId w:val="2"/>
        </w:numPr>
        <w:spacing w:before="240" w:after="0" w:line="276" w:lineRule="auto"/>
        <w:ind w:left="851" w:hanging="709"/>
        <w:contextualSpacing w:val="0"/>
        <w:jc w:val="both"/>
        <w:rPr>
          <w:rFonts w:ascii="Times New Roman" w:hAnsi="Times New Roman"/>
          <w:b/>
          <w:bCs/>
        </w:rPr>
      </w:pPr>
      <w:r w:rsidRPr="00CE5D9A">
        <w:rPr>
          <w:rFonts w:ascii="Times New Roman" w:hAnsi="Times New Roman"/>
          <w:b/>
          <w:bCs/>
        </w:rPr>
        <w:t>Ogólna charakterystyka wewnętrznej organizacji pracy LGD, w tym przyjętych rozwiązań formalno – instytucjonalnych wraz ze zwięzłą informacją wskazującą sposób powstawania poszczególnych procedur, ich kluczowe cele i założenia</w:t>
      </w:r>
    </w:p>
    <w:p w14:paraId="63B2CB38"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W celu sprawnego wdrożenia Strategii, LGD opracowała i stosowała w perspektywie 2014–2020 zestaw procedur oceny i wyboru operacji, odnoszących się do wszelkich operacji realizowanych w ramach LSR. Będą one stosowane również przy wdrażaniu te</w:t>
      </w:r>
      <w:r w:rsidR="002961E1" w:rsidRPr="00CE5D9A">
        <w:rPr>
          <w:rFonts w:ascii="Times New Roman" w:hAnsi="Times New Roman"/>
        </w:rPr>
        <w:t>j LSR, po dostosowaniu do obowiązują</w:t>
      </w:r>
      <w:r w:rsidRPr="00CE5D9A">
        <w:rPr>
          <w:rFonts w:ascii="Times New Roman" w:hAnsi="Times New Roman"/>
        </w:rPr>
        <w:t xml:space="preserve">cych przepisów. Przez cały okres wdrażania Strategii będą one udostępniane do wiadomości publicznej w Biurze, na stronie internetowej LGD oraz omawiane w trakcie spotkań informacyjnych i szkoleń dla potencjalnych wnioskodawców. </w:t>
      </w:r>
      <w:r w:rsidRPr="008B2DE5">
        <w:rPr>
          <w:rFonts w:ascii="Times New Roman" w:hAnsi="Times New Roman"/>
        </w:rPr>
        <w:t>Kryteria wyboru grantobiorców i procedura ich ustalania / zmiany stanowi wspólny dokument z procedurą wyboru i oceny grantobiorców.</w:t>
      </w:r>
    </w:p>
    <w:p w14:paraId="5D2B13CF"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LGD posiada procedury z uwzględnieniem obowiązujących przepisów prawnych i wytycznych dotyczących instrumentu RLKS oraz </w:t>
      </w:r>
      <w:bookmarkStart w:id="158" w:name="_Hlk135604941"/>
      <w:r w:rsidRPr="00CE5D9A">
        <w:rPr>
          <w:rFonts w:ascii="Times New Roman" w:hAnsi="Times New Roman"/>
        </w:rPr>
        <w:t>dokłada wszelkich starań</w:t>
      </w:r>
      <w:bookmarkEnd w:id="158"/>
      <w:r w:rsidRPr="00CE5D9A">
        <w:rPr>
          <w:rFonts w:ascii="Times New Roman" w:hAnsi="Times New Roman"/>
        </w:rPr>
        <w:t>,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r w:rsidR="002961E1" w:rsidRPr="00CE5D9A">
        <w:rPr>
          <w:rFonts w:ascii="Times New Roman" w:hAnsi="Times New Roman"/>
        </w:rPr>
        <w:t xml:space="preserve"> </w:t>
      </w:r>
    </w:p>
    <w:p w14:paraId="58A3DEB0" w14:textId="24E0076D" w:rsidR="002961E1" w:rsidRPr="00CE5D9A" w:rsidRDefault="00686DFE" w:rsidP="002961E1">
      <w:pPr>
        <w:pStyle w:val="Akapitzlist"/>
        <w:spacing w:after="0" w:line="276" w:lineRule="auto"/>
        <w:ind w:left="0" w:firstLine="709"/>
        <w:contextualSpacing w:val="0"/>
        <w:jc w:val="both"/>
        <w:rPr>
          <w:rFonts w:ascii="Times New Roman" w:hAnsi="Times New Roman"/>
        </w:rPr>
      </w:pPr>
      <w:r w:rsidRPr="00CE5D9A">
        <w:rPr>
          <w:rFonts w:ascii="Times New Roman" w:hAnsi="Times New Roman"/>
        </w:rPr>
        <w:t xml:space="preserve">Dokumenty regulujące szczegółowe rozwiązania to: procedura/y wyboru i oceny operacji, regulamin organu decyzyjnego, procedura ustalania kryteriów wyboru, procedura wyboru i </w:t>
      </w:r>
      <w:r w:rsidRPr="008B2DE5">
        <w:rPr>
          <w:rFonts w:ascii="Times New Roman" w:hAnsi="Times New Roman"/>
        </w:rPr>
        <w:t>oceny grantobiorców wraz z kryteriami wyboru grantobiorców i procedurą ustalania i zmiany kryteriów wyboru grantobiorców.</w:t>
      </w:r>
      <w:r w:rsidR="002961E1" w:rsidRPr="00CE5D9A">
        <w:rPr>
          <w:rFonts w:ascii="Times New Roman" w:hAnsi="Times New Roman"/>
        </w:rPr>
        <w:t xml:space="preserve"> </w:t>
      </w:r>
      <w:r w:rsidR="00222D60" w:rsidRPr="00CE5D9A">
        <w:rPr>
          <w:rFonts w:ascii="Times New Roman" w:hAnsi="Times New Roman"/>
        </w:rPr>
        <w:t xml:space="preserve">Większość członków Rady </w:t>
      </w:r>
      <w:r w:rsidR="002961E1" w:rsidRPr="00CE5D9A">
        <w:rPr>
          <w:rFonts w:ascii="Times New Roman" w:hAnsi="Times New Roman"/>
        </w:rPr>
        <w:t xml:space="preserve">posiada doświadczenie w procesie wyboru operacji, które mają być realizowane w ramach LSR oraz ustalania kwot wsparcia. Proces decyzyjny oparty jest na zasadzie bezstronności oraz na unikaniu przewagi pojedynczej grupy interesu przy wyborze projektów przez Radę. </w:t>
      </w:r>
    </w:p>
    <w:p w14:paraId="21A2F4C2" w14:textId="77777777" w:rsidR="00686DFE" w:rsidRPr="00CE5D9A" w:rsidRDefault="00686DFE">
      <w:pPr>
        <w:spacing w:before="240" w:after="0" w:line="276" w:lineRule="auto"/>
        <w:ind w:firstLine="708"/>
        <w:rPr>
          <w:rFonts w:ascii="Times New Roman" w:hAnsi="Times New Roman"/>
        </w:rPr>
      </w:pPr>
      <w:r w:rsidRPr="00CE5D9A">
        <w:rPr>
          <w:rFonts w:ascii="Times New Roman" w:hAnsi="Times New Roman"/>
        </w:rPr>
        <w:t>Dla komponentu Wdrażanie LSR przewiduje się, w szczególności, następujące warunki kwalifikowalności:</w:t>
      </w:r>
    </w:p>
    <w:p w14:paraId="039482C2"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powiązanie wnioskodawcy z obszarem objętym LSR,</w:t>
      </w:r>
    </w:p>
    <w:p w14:paraId="7368FC81"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przyczynianie się do realizacji LSR:</w:t>
      </w:r>
    </w:p>
    <w:p w14:paraId="1DABCB44" w14:textId="77777777" w:rsidR="00686DFE" w:rsidRPr="00CE5D9A" w:rsidRDefault="00686DFE">
      <w:pPr>
        <w:numPr>
          <w:ilvl w:val="0"/>
          <w:numId w:val="43"/>
        </w:numPr>
        <w:spacing w:after="240"/>
        <w:contextualSpacing/>
        <w:jc w:val="both"/>
        <w:rPr>
          <w:rFonts w:ascii="Times New Roman" w:hAnsi="Times New Roman"/>
        </w:rPr>
      </w:pPr>
      <w:r w:rsidRPr="00CE5D9A">
        <w:rPr>
          <w:rFonts w:ascii="Times New Roman" w:hAnsi="Times New Roman"/>
        </w:rPr>
        <w:t>weryfikowane poprzez osiągnięcie zakładanych wskaźników,</w:t>
      </w:r>
    </w:p>
    <w:p w14:paraId="62A1A07B" w14:textId="77777777" w:rsidR="00686DFE" w:rsidRPr="00CE5D9A" w:rsidRDefault="00686DFE">
      <w:pPr>
        <w:numPr>
          <w:ilvl w:val="0"/>
          <w:numId w:val="43"/>
        </w:numPr>
        <w:spacing w:after="240"/>
        <w:contextualSpacing/>
        <w:jc w:val="both"/>
        <w:rPr>
          <w:rFonts w:ascii="Times New Roman" w:hAnsi="Times New Roman"/>
        </w:rPr>
      </w:pPr>
      <w:r w:rsidRPr="00CE5D9A">
        <w:rPr>
          <w:rFonts w:ascii="Times New Roman" w:hAnsi="Times New Roman"/>
        </w:rPr>
        <w:t xml:space="preserve">rozumiane jako bezpośredni wpływ na realizację konkretnego przedsięwzięcia, </w:t>
      </w:r>
    </w:p>
    <w:p w14:paraId="6D967209"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legalność – zgodność projektu operacji z przepisami prawa,</w:t>
      </w:r>
    </w:p>
    <w:p w14:paraId="3FA1BDED"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w przypadku działalności gospodarczej – uzasadnienie ekonomiczne (uproszczony biznesplan),</w:t>
      </w:r>
    </w:p>
    <w:p w14:paraId="3B001446"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w przypadku operacji dotyczących obiektów zabytkowych – zapewnienie, iż obiekt jest zabytkiem (np. wpisany do Rejestru zabytków lub ewidencji zabytków),</w:t>
      </w:r>
    </w:p>
    <w:p w14:paraId="0D169FD8" w14:textId="77777777" w:rsidR="00686DFE" w:rsidRPr="00CE5D9A" w:rsidRDefault="00686DFE">
      <w:pPr>
        <w:numPr>
          <w:ilvl w:val="0"/>
          <w:numId w:val="42"/>
        </w:numPr>
        <w:spacing w:after="240" w:line="276" w:lineRule="auto"/>
        <w:contextualSpacing/>
        <w:jc w:val="both"/>
        <w:rPr>
          <w:rFonts w:ascii="Times New Roman" w:hAnsi="Times New Roman"/>
        </w:rPr>
      </w:pPr>
      <w:r w:rsidRPr="00CE5D9A">
        <w:rPr>
          <w:rFonts w:ascii="Times New Roman" w:hAnsi="Times New Roman"/>
        </w:rPr>
        <w:t>w przypadku operacji w partnerstwie oraz projektów partnerskich:</w:t>
      </w:r>
    </w:p>
    <w:p w14:paraId="37FECFDA" w14:textId="77777777" w:rsidR="00686DFE" w:rsidRPr="00CE5D9A" w:rsidRDefault="00686DFE">
      <w:pPr>
        <w:numPr>
          <w:ilvl w:val="0"/>
          <w:numId w:val="44"/>
        </w:numPr>
        <w:spacing w:after="240"/>
        <w:contextualSpacing/>
        <w:jc w:val="both"/>
        <w:rPr>
          <w:rFonts w:ascii="Times New Roman" w:hAnsi="Times New Roman"/>
        </w:rPr>
      </w:pPr>
      <w:r w:rsidRPr="00CE5D9A">
        <w:rPr>
          <w:rFonts w:ascii="Times New Roman" w:hAnsi="Times New Roman"/>
        </w:rPr>
        <w:t>udział co najmniej 2 podmiotów,</w:t>
      </w:r>
    </w:p>
    <w:p w14:paraId="4578A261" w14:textId="77777777" w:rsidR="00686DFE" w:rsidRPr="00CE5D9A" w:rsidRDefault="00686DFE">
      <w:pPr>
        <w:numPr>
          <w:ilvl w:val="0"/>
          <w:numId w:val="44"/>
        </w:numPr>
        <w:spacing w:after="240"/>
        <w:contextualSpacing/>
        <w:jc w:val="both"/>
        <w:rPr>
          <w:rFonts w:ascii="Times New Roman" w:hAnsi="Times New Roman"/>
        </w:rPr>
      </w:pPr>
      <w:r w:rsidRPr="00CE5D9A">
        <w:rPr>
          <w:rFonts w:ascii="Times New Roman" w:hAnsi="Times New Roman"/>
        </w:rPr>
        <w:t>realizacja wspólnego przedsięwzięcia,</w:t>
      </w:r>
    </w:p>
    <w:p w14:paraId="3FFA4851" w14:textId="77777777" w:rsidR="00686DFE" w:rsidRPr="00CE5D9A" w:rsidRDefault="00686DFE">
      <w:pPr>
        <w:numPr>
          <w:ilvl w:val="0"/>
          <w:numId w:val="44"/>
        </w:numPr>
        <w:spacing w:after="240"/>
        <w:contextualSpacing/>
        <w:jc w:val="both"/>
        <w:rPr>
          <w:rFonts w:ascii="Times New Roman" w:hAnsi="Times New Roman"/>
        </w:rPr>
      </w:pPr>
      <w:r w:rsidRPr="00CE5D9A">
        <w:rPr>
          <w:rFonts w:ascii="Times New Roman" w:hAnsi="Times New Roman"/>
        </w:rPr>
        <w:t>dokument potwierdzający wolę współpracy co najmniej 2 podmiotów,</w:t>
      </w:r>
    </w:p>
    <w:p w14:paraId="7FB52689" w14:textId="77777777" w:rsidR="00686DFE" w:rsidRPr="00CE5D9A" w:rsidRDefault="00686DFE">
      <w:pPr>
        <w:numPr>
          <w:ilvl w:val="0"/>
          <w:numId w:val="45"/>
        </w:numPr>
        <w:spacing w:before="240" w:after="240" w:line="276" w:lineRule="auto"/>
        <w:ind w:left="1423" w:hanging="357"/>
        <w:jc w:val="both"/>
        <w:rPr>
          <w:rFonts w:ascii="Times New Roman" w:hAnsi="Times New Roman"/>
        </w:rPr>
      </w:pPr>
      <w:r w:rsidRPr="00CE5D9A">
        <w:rPr>
          <w:rFonts w:ascii="Times New Roman" w:hAnsi="Times New Roman"/>
        </w:rPr>
        <w:t>w przypadku operacji realizowanych w ramach poprawy dostępu do małej infrastruktury publicznej kwalifikowalne są operacje niekomercyjne, których koszty całkowite nie przekraczają 1 mln euro.</w:t>
      </w:r>
    </w:p>
    <w:p w14:paraId="6394512D" w14:textId="77777777" w:rsidR="00686DFE" w:rsidRPr="00CE5D9A" w:rsidRDefault="00686DFE">
      <w:pPr>
        <w:spacing w:before="240" w:after="0" w:line="276" w:lineRule="auto"/>
        <w:ind w:firstLine="709"/>
        <w:jc w:val="both"/>
        <w:rPr>
          <w:rFonts w:ascii="Times New Roman" w:hAnsi="Times New Roman"/>
        </w:rPr>
      </w:pPr>
      <w:r w:rsidRPr="00CE5D9A">
        <w:rPr>
          <w:rFonts w:ascii="Times New Roman" w:hAnsi="Times New Roman"/>
        </w:rPr>
        <w:t xml:space="preserve">Wybór projektów do dofinansowania będzie odbywał się każdorazowo z zastosowaniem zasad horyzontalnych. </w:t>
      </w:r>
    </w:p>
    <w:p w14:paraId="4BFB0B7B" w14:textId="77777777" w:rsidR="00686DFE" w:rsidRPr="00CE5D9A" w:rsidRDefault="00686DFE">
      <w:pPr>
        <w:spacing w:before="240" w:line="276" w:lineRule="auto"/>
        <w:ind w:firstLine="708"/>
        <w:jc w:val="both"/>
        <w:rPr>
          <w:rFonts w:ascii="Times New Roman" w:hAnsi="Times New Roman"/>
        </w:rPr>
      </w:pPr>
      <w:r w:rsidRPr="00CE5D9A">
        <w:rPr>
          <w:rFonts w:ascii="Times New Roman" w:hAnsi="Times New Roman"/>
        </w:rPr>
        <w:t xml:space="preserve">Ostateczne procedury zostaną przygotowane przez Biuro LGD w oparciu o dostępne wytyczne, a także </w:t>
      </w:r>
      <w:r w:rsidRPr="00CE5D9A">
        <w:rPr>
          <w:rFonts w:ascii="Times New Roman" w:hAnsi="Times New Roman"/>
        </w:rPr>
        <w:b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w:t>
      </w:r>
      <w:r w:rsidRPr="00CE5D9A">
        <w:rPr>
          <w:rFonts w:ascii="Times New Roman" w:hAnsi="Times New Roman"/>
        </w:rPr>
        <w:lastRenderedPageBreak/>
        <w:t xml:space="preserve">konfliktom interesów, a także zapewnić możliwość złożenia protestu/ odwołania. Wszystkie procedury zostaną skonsultowane z członkami Zarządu, rady, a następnie poddane konsultacją społecznym i finalnie przyjęte. </w:t>
      </w:r>
      <w:r w:rsidR="003F69CD" w:rsidRPr="00CE5D9A">
        <w:rPr>
          <w:rFonts w:ascii="Times New Roman" w:hAnsi="Times New Roman"/>
        </w:rPr>
        <w:t>Każdorazowa zmiana kryteriów również będzie poddawana konsultacjom społecznym, a ostatecznie zatwierdzana i przyjęta przez Zarząd, zgodnie z obowiązującym Statutem § 22 pkt 14.</w:t>
      </w:r>
    </w:p>
    <w:p w14:paraId="78F4493E" w14:textId="77777777" w:rsidR="00686DFE" w:rsidRPr="00CE5D9A" w:rsidRDefault="00686DFE">
      <w:pPr>
        <w:numPr>
          <w:ilvl w:val="1"/>
          <w:numId w:val="1"/>
        </w:numPr>
        <w:spacing w:line="276" w:lineRule="auto"/>
        <w:ind w:left="851" w:hanging="709"/>
        <w:jc w:val="both"/>
        <w:rPr>
          <w:rFonts w:ascii="Times New Roman" w:hAnsi="Times New Roman"/>
          <w:b/>
          <w:bCs/>
        </w:rPr>
      </w:pPr>
      <w:r w:rsidRPr="00CE5D9A">
        <w:rPr>
          <w:rFonts w:ascii="Times New Roman" w:hAnsi="Times New Roman"/>
          <w:b/>
          <w:bCs/>
        </w:rPr>
        <w:t>Sposób ustalania i zmiany kryteriów wyboru zgodnie z wymogami określonymi dla programów, w ramach których planowane jest finansowanie LSR, z uwzględnieniem powiązania kryteriów wyboru z diagnozą obszaru, celami i wskaźnikami</w:t>
      </w:r>
    </w:p>
    <w:p w14:paraId="4EAACE60" w14:textId="28234D97" w:rsidR="00686DFE" w:rsidRDefault="00686DFE">
      <w:pPr>
        <w:spacing w:after="0" w:line="276" w:lineRule="auto"/>
        <w:ind w:firstLine="708"/>
        <w:jc w:val="both"/>
        <w:rPr>
          <w:rFonts w:ascii="Times New Roman" w:hAnsi="Times New Roman"/>
        </w:rPr>
      </w:pPr>
      <w:r w:rsidRPr="00CE5D9A">
        <w:rPr>
          <w:rFonts w:ascii="Times New Roman" w:hAnsi="Times New Roman"/>
        </w:rPr>
        <w:t>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w:t>
      </w:r>
      <w:r w:rsidR="002402B7" w:rsidRPr="00CE5D9A">
        <w:rPr>
          <w:rFonts w:ascii="Times New Roman" w:hAnsi="Times New Roman"/>
        </w:rPr>
        <w:t xml:space="preserve"> będą szczególnie premiowane w </w:t>
      </w:r>
      <w:r w:rsidRPr="00CE5D9A">
        <w:rPr>
          <w:rFonts w:ascii="Times New Roman" w:hAnsi="Times New Roman"/>
        </w:rPr>
        <w:t>ramach oceny wniosków oraz będą zaspokajać potrzeby mieszkańców, poznane podczas przeprowadzonych konsultacji społecznych na obszarze. Opracowane kryteria</w:t>
      </w:r>
      <w:r w:rsidR="002402B7" w:rsidRPr="00CE5D9A">
        <w:rPr>
          <w:rFonts w:ascii="Times New Roman" w:hAnsi="Times New Roman"/>
        </w:rPr>
        <w:t xml:space="preserve"> są ściśle powiązane z celami i </w:t>
      </w:r>
      <w:r w:rsidRPr="00CE5D9A">
        <w:rPr>
          <w:rFonts w:ascii="Times New Roman" w:hAnsi="Times New Roman"/>
        </w:rPr>
        <w:t>grupami docelowymi, do których jest kierowane wsparcie, w zależności od rodzaju beneficjenta – z u</w:t>
      </w:r>
      <w:r w:rsidR="002402B7" w:rsidRPr="00CE5D9A">
        <w:rPr>
          <w:rFonts w:ascii="Times New Roman" w:hAnsi="Times New Roman"/>
        </w:rPr>
        <w:t xml:space="preserve">względnieniem wyników diagnozy </w:t>
      </w:r>
      <w:r w:rsidRPr="00CE5D9A">
        <w:rPr>
          <w:rFonts w:ascii="Times New Roman" w:hAnsi="Times New Roman"/>
        </w:rPr>
        <w:t>i</w:t>
      </w:r>
      <w:r w:rsidR="002402B7" w:rsidRPr="00CE5D9A">
        <w:rPr>
          <w:rFonts w:ascii="Times New Roman" w:hAnsi="Times New Roman"/>
        </w:rPr>
        <w:t> </w:t>
      </w:r>
      <w:r w:rsidRPr="00CE5D9A">
        <w:rPr>
          <w:rFonts w:ascii="Times New Roman" w:hAnsi="Times New Roman"/>
        </w:rPr>
        <w:t>analizy SWOT. Kryteria opracowano w sposób przejrzysty, mierzalny, pozwalający uniknąć sytuacji niepożądanych, polegających na subiektywnej ocenie, a przyznawanie punków odbywać się będzie w formie zero-jedynkowej.</w:t>
      </w:r>
    </w:p>
    <w:p w14:paraId="34D27730" w14:textId="2644EBA1" w:rsidR="009F72F8" w:rsidRPr="009F72F8" w:rsidRDefault="009F72F8" w:rsidP="009F72F8">
      <w:pPr>
        <w:spacing w:after="0" w:line="276" w:lineRule="auto"/>
        <w:ind w:firstLine="708"/>
        <w:jc w:val="both"/>
        <w:rPr>
          <w:rFonts w:ascii="Times New Roman" w:hAnsi="Times New Roman"/>
          <w:color w:val="FF0000"/>
          <w:u w:val="single"/>
        </w:rPr>
      </w:pPr>
      <w:r w:rsidRPr="009F72F8">
        <w:rPr>
          <w:rFonts w:ascii="Times New Roman" w:hAnsi="Times New Roman"/>
          <w:color w:val="FF0000"/>
        </w:rPr>
        <w:t xml:space="preserve">Za ustalenie i zmianę kryteriów odpowiada Zarząd. Zmiana kryteriów wyboru konsultowana będzie każdorazowo ze społecznością lokalną poprzez konsultacje społeczne opublikowane na stronie internetowej LGD. </w:t>
      </w:r>
      <w:r>
        <w:rPr>
          <w:rFonts w:ascii="Times New Roman" w:hAnsi="Times New Roman"/>
          <w:color w:val="FF0000"/>
        </w:rPr>
        <w:t xml:space="preserve"> </w:t>
      </w:r>
      <w:r w:rsidRPr="009F72F8">
        <w:rPr>
          <w:rFonts w:ascii="Times New Roman" w:hAnsi="Times New Roman"/>
          <w:color w:val="FF0000"/>
          <w:u w:val="single"/>
        </w:rPr>
        <w:t>Przesłanki do ewentualnej zmiany kryteriów wyboru mogą być następujące:</w:t>
      </w:r>
    </w:p>
    <w:p w14:paraId="0933357F" w14:textId="00B65E31" w:rsidR="009F72F8" w:rsidRPr="009F72F8" w:rsidRDefault="009F72F8" w:rsidP="009F72F8">
      <w:pPr>
        <w:spacing w:after="0" w:line="276" w:lineRule="auto"/>
        <w:jc w:val="both"/>
        <w:rPr>
          <w:rFonts w:ascii="Times New Roman" w:hAnsi="Times New Roman"/>
          <w:color w:val="FF0000"/>
        </w:rPr>
      </w:pPr>
      <w:r>
        <w:rPr>
          <w:rFonts w:ascii="Times New Roman" w:hAnsi="Times New Roman"/>
          <w:color w:val="FF0000"/>
        </w:rPr>
        <w:t xml:space="preserve">1. Na wniosek co </w:t>
      </w:r>
      <w:r w:rsidRPr="009F72F8">
        <w:rPr>
          <w:rFonts w:ascii="Times New Roman" w:hAnsi="Times New Roman"/>
          <w:color w:val="FF0000"/>
        </w:rPr>
        <w:t>najmniej połowy członków Rady LGD.</w:t>
      </w:r>
    </w:p>
    <w:p w14:paraId="0C980070" w14:textId="77777777"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2. W ramach monitoringu i ewaluacji zawierającej wnioski i rekomendacje dotyczące lokalnych kryteriów wyboru.</w:t>
      </w:r>
    </w:p>
    <w:p w14:paraId="3E557E1D" w14:textId="77777777"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3. Na wezwanie instytucji wdrażającej.</w:t>
      </w:r>
    </w:p>
    <w:p w14:paraId="70D3E591" w14:textId="77777777"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4. Nowelizacja przepisów prawa, nowe wytyczne Ministra Rolnictwa i Rozwoju Wsi dot. RLKS.</w:t>
      </w:r>
    </w:p>
    <w:p w14:paraId="0C1ACD03" w14:textId="77777777" w:rsidR="009F72F8" w:rsidRPr="009F72F8" w:rsidRDefault="009F72F8" w:rsidP="009F72F8">
      <w:pPr>
        <w:spacing w:after="0" w:line="276" w:lineRule="auto"/>
        <w:ind w:firstLine="708"/>
        <w:jc w:val="both"/>
        <w:rPr>
          <w:rFonts w:ascii="Times New Roman" w:hAnsi="Times New Roman"/>
          <w:color w:val="FF0000"/>
          <w:u w:val="single"/>
        </w:rPr>
      </w:pPr>
      <w:r w:rsidRPr="009F72F8">
        <w:rPr>
          <w:rFonts w:ascii="Times New Roman" w:hAnsi="Times New Roman"/>
          <w:color w:val="FF0000"/>
          <w:u w:val="single"/>
        </w:rPr>
        <w:t>Jeżeli Zarząd LGD, po weryfikacji w/w przesłanek, uzna je za zasadne:</w:t>
      </w:r>
    </w:p>
    <w:p w14:paraId="1FAC5274" w14:textId="28C753C8"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 xml:space="preserve">1. Przygotowuje propozycję zmian danych kryteriów wyboru </w:t>
      </w:r>
      <w:r>
        <w:rPr>
          <w:rFonts w:ascii="Times New Roman" w:hAnsi="Times New Roman"/>
          <w:color w:val="FF0000"/>
        </w:rPr>
        <w:t xml:space="preserve">oraz przedstawia je do </w:t>
      </w:r>
      <w:r w:rsidRPr="009F72F8">
        <w:rPr>
          <w:rFonts w:ascii="Times New Roman" w:hAnsi="Times New Roman"/>
          <w:color w:val="FF0000"/>
        </w:rPr>
        <w:t>konsultacji społecznych.</w:t>
      </w:r>
    </w:p>
    <w:p w14:paraId="30E3F57F" w14:textId="0ADCE96A"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2. Po przeprowadzo</w:t>
      </w:r>
      <w:r>
        <w:rPr>
          <w:rFonts w:ascii="Times New Roman" w:hAnsi="Times New Roman"/>
          <w:color w:val="FF0000"/>
        </w:rPr>
        <w:t xml:space="preserve">nych konsultacjach społecznych </w:t>
      </w:r>
      <w:r w:rsidRPr="009F72F8">
        <w:rPr>
          <w:rFonts w:ascii="Times New Roman" w:hAnsi="Times New Roman"/>
          <w:color w:val="FF0000"/>
        </w:rPr>
        <w:t>Zarząd podejmuje uchwałę w sprawie zmiany kryteriów.</w:t>
      </w:r>
    </w:p>
    <w:p w14:paraId="2A098E01" w14:textId="76AF32D7" w:rsidR="009F72F8" w:rsidRPr="009F72F8" w:rsidRDefault="009F72F8" w:rsidP="009F72F8">
      <w:pPr>
        <w:spacing w:after="0" w:line="276" w:lineRule="auto"/>
        <w:jc w:val="both"/>
        <w:rPr>
          <w:rFonts w:ascii="Times New Roman" w:hAnsi="Times New Roman"/>
          <w:color w:val="FF0000"/>
        </w:rPr>
      </w:pPr>
      <w:r w:rsidRPr="009F72F8">
        <w:rPr>
          <w:rFonts w:ascii="Times New Roman" w:hAnsi="Times New Roman"/>
          <w:color w:val="FF0000"/>
        </w:rPr>
        <w:t>3. Niezwłocznie po podjęciu ww. uchwały Zarząd przygotowuje wniosek do Instytucji Wdrażającej o wyrażenie</w:t>
      </w:r>
      <w:r>
        <w:rPr>
          <w:rFonts w:ascii="Times New Roman" w:hAnsi="Times New Roman"/>
          <w:color w:val="FF0000"/>
        </w:rPr>
        <w:t xml:space="preserve"> </w:t>
      </w:r>
      <w:r w:rsidRPr="009F72F8">
        <w:rPr>
          <w:rFonts w:ascii="Times New Roman" w:hAnsi="Times New Roman"/>
          <w:color w:val="FF0000"/>
        </w:rPr>
        <w:t>zgody na zmianę kryteriów wyboru operacji.</w:t>
      </w:r>
    </w:p>
    <w:p w14:paraId="6176FD9C" w14:textId="321DFFD6" w:rsidR="009F72F8" w:rsidRDefault="00FD1426" w:rsidP="009F72F8">
      <w:pPr>
        <w:spacing w:after="0" w:line="276" w:lineRule="auto"/>
        <w:jc w:val="both"/>
        <w:rPr>
          <w:rFonts w:ascii="Times New Roman" w:hAnsi="Times New Roman"/>
          <w:color w:val="FF0000"/>
        </w:rPr>
      </w:pPr>
      <w:r>
        <w:rPr>
          <w:rFonts w:ascii="Times New Roman" w:hAnsi="Times New Roman"/>
          <w:color w:val="FF0000"/>
        </w:rPr>
        <w:t xml:space="preserve">4. Informuje na stronie internetowej LGD </w:t>
      </w:r>
      <w:r w:rsidR="009F72F8" w:rsidRPr="009F72F8">
        <w:rPr>
          <w:rFonts w:ascii="Times New Roman" w:hAnsi="Times New Roman"/>
          <w:color w:val="FF0000"/>
        </w:rPr>
        <w:t>członków LGD i potencjalnych beneficjentów o tej zmianie.</w:t>
      </w:r>
    </w:p>
    <w:p w14:paraId="1A7D89B6" w14:textId="484A3ECC" w:rsidR="009F72F8" w:rsidRPr="009F72F8" w:rsidRDefault="009F72F8" w:rsidP="00FD1426">
      <w:pPr>
        <w:spacing w:after="0" w:line="276" w:lineRule="auto"/>
        <w:jc w:val="both"/>
        <w:rPr>
          <w:rFonts w:ascii="Times New Roman" w:hAnsi="Times New Roman"/>
          <w:color w:val="FF0000"/>
        </w:rPr>
      </w:pPr>
    </w:p>
    <w:p w14:paraId="09BC26A6" w14:textId="77777777" w:rsidR="00686DFE" w:rsidRPr="00830009" w:rsidRDefault="00686DFE">
      <w:pPr>
        <w:spacing w:after="0" w:line="276" w:lineRule="auto"/>
        <w:ind w:firstLine="708"/>
        <w:jc w:val="both"/>
        <w:rPr>
          <w:rFonts w:ascii="Times New Roman" w:hAnsi="Times New Roman"/>
          <w:color w:val="FF0000"/>
        </w:rPr>
      </w:pPr>
      <w:r w:rsidRPr="00830009">
        <w:rPr>
          <w:rFonts w:ascii="Times New Roman" w:hAnsi="Times New Roman"/>
          <w:color w:val="FF0000"/>
        </w:rPr>
        <w:t xml:space="preserve">Dla niektórych przedsięwzięć w LSR, LGD ustanowiło kryteria wyboru o charakterze dostępowym (zawężające możliwość uzyskania wsparcia), które pozwolą ukierunkować wsparcie na operacje najpełniej odpowiadające potrzebom obszaru LSR i najlepiej pasujące do zaplanowanych do realizacji przedsięwzięć. W celu właściwego ukierunkowania pomocy, LGD zastosuje również kryteria wyboru premiujące. Niektóre z kryteriów premiujących będą zastosowane do wszystkich przedsięwzięć, inne do wybranych. Jednym z kryteriów wyboru będzie punktowanie operacji innowacyjnych poprzez wykorzystanie powstałej infrastruktury do integrowania społeczeństwa, podejmowania innowacyjnych inicjatyw w kierunku integracji społecznej, rozwoju mieszkańców, w tym cyfrowego oraz zagospodarowania ich czasu wolnego, również wykorzystujących cyfryzację do rozwoju gospodarczego i społecznego regionu. </w:t>
      </w:r>
    </w:p>
    <w:p w14:paraId="62490772" w14:textId="353B0C04" w:rsidR="00893413" w:rsidRPr="00830009" w:rsidRDefault="00893413">
      <w:pPr>
        <w:spacing w:after="0" w:line="276" w:lineRule="auto"/>
        <w:ind w:firstLine="708"/>
        <w:jc w:val="both"/>
        <w:rPr>
          <w:rFonts w:ascii="Times New Roman" w:hAnsi="Times New Roman"/>
          <w:color w:val="FF0000"/>
        </w:rPr>
      </w:pPr>
      <w:r w:rsidRPr="00830009">
        <w:rPr>
          <w:rFonts w:ascii="Times New Roman" w:hAnsi="Times New Roman"/>
          <w:color w:val="FF0000"/>
        </w:rPr>
        <w:t>Wsparcie rozwoju najmniejszych miejscowości i gmin, wymaga zastosowania dodatkowych kryteriów oceny, do których należeć będą</w:t>
      </w:r>
      <w:r w:rsidR="00CE5D9A" w:rsidRPr="00830009">
        <w:rPr>
          <w:rFonts w:ascii="Times New Roman" w:hAnsi="Times New Roman"/>
          <w:color w:val="FF0000"/>
        </w:rPr>
        <w:t xml:space="preserve"> między innymi</w:t>
      </w:r>
      <w:r w:rsidRPr="00830009">
        <w:rPr>
          <w:rFonts w:ascii="Times New Roman" w:hAnsi="Times New Roman"/>
          <w:color w:val="FF0000"/>
        </w:rPr>
        <w:t>:</w:t>
      </w:r>
    </w:p>
    <w:p w14:paraId="5AC52E22" w14:textId="37331CA5" w:rsidR="00893413" w:rsidRPr="00830009" w:rsidRDefault="00893413" w:rsidP="00893413">
      <w:pPr>
        <w:pStyle w:val="Akapitzlist"/>
        <w:numPr>
          <w:ilvl w:val="0"/>
          <w:numId w:val="66"/>
        </w:numPr>
        <w:spacing w:after="0" w:line="276" w:lineRule="auto"/>
        <w:jc w:val="both"/>
        <w:rPr>
          <w:rFonts w:ascii="Times New Roman" w:hAnsi="Times New Roman"/>
          <w:color w:val="FF0000"/>
        </w:rPr>
      </w:pPr>
      <w:r w:rsidRPr="00830009">
        <w:rPr>
          <w:rFonts w:ascii="Times New Roman" w:hAnsi="Times New Roman"/>
          <w:color w:val="FF0000"/>
        </w:rPr>
        <w:t>kryterium promującego małe gminy do 12 tyś mieszkańców:</w:t>
      </w:r>
      <w:r w:rsidR="004D15D2" w:rsidRPr="00830009">
        <w:rPr>
          <w:rFonts w:ascii="Times New Roman" w:hAnsi="Times New Roman"/>
          <w:color w:val="FF0000"/>
        </w:rPr>
        <w:t xml:space="preserve"> 5</w:t>
      </w:r>
      <w:r w:rsidRPr="00830009">
        <w:rPr>
          <w:rFonts w:ascii="Times New Roman" w:hAnsi="Times New Roman"/>
          <w:color w:val="FF0000"/>
        </w:rPr>
        <w:t xml:space="preserve"> pkt, </w:t>
      </w:r>
    </w:p>
    <w:p w14:paraId="6E76D47A" w14:textId="0496FCFC" w:rsidR="00893413" w:rsidRPr="00830009" w:rsidRDefault="00893413" w:rsidP="00893413">
      <w:pPr>
        <w:pStyle w:val="Akapitzlist"/>
        <w:numPr>
          <w:ilvl w:val="0"/>
          <w:numId w:val="66"/>
        </w:numPr>
        <w:spacing w:after="0" w:line="276" w:lineRule="auto"/>
        <w:jc w:val="both"/>
        <w:rPr>
          <w:rFonts w:ascii="Times New Roman" w:hAnsi="Times New Roman"/>
          <w:color w:val="FF0000"/>
        </w:rPr>
      </w:pPr>
      <w:r w:rsidRPr="00830009">
        <w:rPr>
          <w:rFonts w:ascii="Times New Roman" w:hAnsi="Times New Roman"/>
          <w:color w:val="FF0000"/>
        </w:rPr>
        <w:t>kryterium p</w:t>
      </w:r>
      <w:r w:rsidR="004D15D2" w:rsidRPr="00830009">
        <w:rPr>
          <w:rFonts w:ascii="Times New Roman" w:hAnsi="Times New Roman"/>
          <w:color w:val="FF0000"/>
        </w:rPr>
        <w:t>romujące małe miejscowości do 6 0</w:t>
      </w:r>
      <w:r w:rsidRPr="00830009">
        <w:rPr>
          <w:rFonts w:ascii="Times New Roman" w:hAnsi="Times New Roman"/>
          <w:color w:val="FF0000"/>
        </w:rPr>
        <w:t>00 mieszkańcó</w:t>
      </w:r>
      <w:r w:rsidR="004D15D2" w:rsidRPr="00830009">
        <w:rPr>
          <w:rFonts w:ascii="Times New Roman" w:hAnsi="Times New Roman"/>
          <w:color w:val="FF0000"/>
        </w:rPr>
        <w:t>w 4</w:t>
      </w:r>
      <w:r w:rsidRPr="00830009">
        <w:rPr>
          <w:rFonts w:ascii="Times New Roman" w:hAnsi="Times New Roman"/>
          <w:color w:val="FF0000"/>
        </w:rPr>
        <w:t xml:space="preserve"> pkt, </w:t>
      </w:r>
    </w:p>
    <w:p w14:paraId="4C2A8D96" w14:textId="7AFC45BC" w:rsidR="00893413" w:rsidRPr="00830009" w:rsidRDefault="00893413" w:rsidP="00893413">
      <w:pPr>
        <w:pStyle w:val="Akapitzlist"/>
        <w:numPr>
          <w:ilvl w:val="0"/>
          <w:numId w:val="66"/>
        </w:numPr>
        <w:spacing w:after="0" w:line="276" w:lineRule="auto"/>
        <w:jc w:val="both"/>
        <w:rPr>
          <w:rFonts w:ascii="Times New Roman" w:hAnsi="Times New Roman"/>
          <w:color w:val="FF0000"/>
        </w:rPr>
      </w:pPr>
      <w:r w:rsidRPr="00830009">
        <w:rPr>
          <w:rFonts w:ascii="Times New Roman" w:hAnsi="Times New Roman"/>
          <w:color w:val="FF0000"/>
        </w:rPr>
        <w:t xml:space="preserve">kryterium promujące członkostwo w LGD co pozwala w ogóle funkcjonować LGD a przede wszystkim </w:t>
      </w:r>
      <w:r w:rsidR="00CE5D9A" w:rsidRPr="00830009">
        <w:rPr>
          <w:rFonts w:ascii="Times New Roman" w:hAnsi="Times New Roman"/>
          <w:color w:val="FF0000"/>
        </w:rPr>
        <w:t>poprawnie i skutecznie realizować LSR</w:t>
      </w:r>
      <w:r w:rsidRPr="00830009">
        <w:rPr>
          <w:rFonts w:ascii="Times New Roman" w:hAnsi="Times New Roman"/>
          <w:color w:val="FF0000"/>
        </w:rPr>
        <w:t>:</w:t>
      </w:r>
      <w:r w:rsidR="004D15D2" w:rsidRPr="00830009">
        <w:rPr>
          <w:rFonts w:ascii="Times New Roman" w:hAnsi="Times New Roman"/>
          <w:color w:val="FF0000"/>
        </w:rPr>
        <w:t xml:space="preserve"> 4</w:t>
      </w:r>
      <w:r w:rsidRPr="00830009">
        <w:rPr>
          <w:rFonts w:ascii="Times New Roman" w:hAnsi="Times New Roman"/>
          <w:color w:val="FF0000"/>
        </w:rPr>
        <w:t xml:space="preserve"> pkt.</w:t>
      </w:r>
    </w:p>
    <w:p w14:paraId="122365C1" w14:textId="77777777" w:rsidR="00686DFE" w:rsidRPr="00CE5D9A" w:rsidRDefault="00686DFE">
      <w:pPr>
        <w:numPr>
          <w:ilvl w:val="1"/>
          <w:numId w:val="1"/>
        </w:numPr>
        <w:spacing w:before="240" w:line="276" w:lineRule="auto"/>
        <w:ind w:left="851" w:hanging="709"/>
        <w:jc w:val="both"/>
        <w:rPr>
          <w:rFonts w:ascii="Times New Roman" w:hAnsi="Times New Roman"/>
          <w:b/>
          <w:bCs/>
        </w:rPr>
      </w:pPr>
      <w:r w:rsidRPr="00CE5D9A">
        <w:rPr>
          <w:rFonts w:ascii="Times New Roman" w:hAnsi="Times New Roman"/>
          <w:b/>
          <w:bCs/>
        </w:rPr>
        <w:t>Wskazanie w jaki sposób w kryteriach wyboru operacji zostanie uwzględniona innowacyjność oraz przedstawienie ich definicji i zasad oceny, a także lub operacji realizowanych w partnerstwie na obszarze LSR</w:t>
      </w:r>
    </w:p>
    <w:p w14:paraId="7303607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lastRenderedPageBreak/>
        <w:t>Ogólna definicja innowacyjności rozumiana jest jako wprowadzenie na rynek (w tym przypadku obszar LGD) nowego lub udoskonalonego produktu, usługi lub procesu organizacji 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Ulepszenie może dotyczyć charakterystyk technicznych, komponentów, materiałów, wbudowanego oprogramowania, bardziej przyjaznej obsługi przez użytkownika oraz innych cech funkcjonalnych. Preferowane będzie wdrażanie innowacji poprzez implementowanie zupełnie nowych na obszarze objętym LSR produktów, usług, procesów, technologii, metod organizacji lub nowych sposobów wykorzystania dostępnych zasobów.</w:t>
      </w:r>
    </w:p>
    <w:p w14:paraId="6398E71C" w14:textId="3C1DCC95" w:rsidR="00686DFE" w:rsidRPr="00CE5D9A" w:rsidRDefault="00686DFE">
      <w:pPr>
        <w:spacing w:before="240" w:after="0" w:line="276" w:lineRule="auto"/>
        <w:ind w:firstLine="708"/>
        <w:jc w:val="both"/>
        <w:rPr>
          <w:rFonts w:ascii="Times New Roman" w:hAnsi="Times New Roman"/>
        </w:rPr>
      </w:pPr>
      <w:r w:rsidRPr="008B2DE5">
        <w:rPr>
          <w:rFonts w:ascii="Times New Roman" w:hAnsi="Times New Roman"/>
        </w:rPr>
        <w:t>Biorąc pod uwagę realizację operacji w partnerstwie</w:t>
      </w:r>
      <w:r w:rsidR="00633737">
        <w:rPr>
          <w:rFonts w:ascii="Times New Roman" w:hAnsi="Times New Roman"/>
        </w:rPr>
        <w:t xml:space="preserve"> </w:t>
      </w:r>
      <w:r w:rsidR="00633737" w:rsidRPr="00633737">
        <w:rPr>
          <w:rFonts w:ascii="Times New Roman" w:hAnsi="Times New Roman"/>
          <w:color w:val="FF0000"/>
        </w:rPr>
        <w:t>LGD Regionu Myślenickiego</w:t>
      </w:r>
      <w:r w:rsidRPr="00633737">
        <w:rPr>
          <w:rFonts w:ascii="Times New Roman" w:hAnsi="Times New Roman"/>
          <w:color w:val="FF0000"/>
        </w:rPr>
        <w:t xml:space="preserve"> </w:t>
      </w:r>
      <w:r w:rsidRPr="00633737">
        <w:rPr>
          <w:rFonts w:ascii="Times New Roman" w:hAnsi="Times New Roman"/>
          <w:strike/>
          <w:color w:val="FF0000"/>
        </w:rPr>
        <w:t>Stowarzyszenia Lokalna Grupa Działania „Między Dalinem i Gościbią”</w:t>
      </w:r>
      <w:r w:rsidRPr="00633737">
        <w:rPr>
          <w:rFonts w:ascii="Times New Roman" w:hAnsi="Times New Roman"/>
          <w:i/>
          <w:iCs/>
          <w:color w:val="FF0000"/>
        </w:rPr>
        <w:t xml:space="preserve"> </w:t>
      </w:r>
      <w:r w:rsidRPr="008B2DE5">
        <w:rPr>
          <w:rFonts w:ascii="Times New Roman" w:hAnsi="Times New Roman"/>
        </w:rPr>
        <w:t>zdecydowała się na zastosowanie kryterium pn. „Partnerstwo w ramach operacji”.</w:t>
      </w:r>
      <w:r w:rsidRPr="00CE5D9A">
        <w:rPr>
          <w:rFonts w:ascii="Times New Roman" w:hAnsi="Times New Roman"/>
        </w:rPr>
        <w:t xml:space="preserve"> W ramach tego kryterium preferowane będą operacje, które zapewnią budowanie partnerstwa na rzecz współpracy podmiotów wewnątrz LGD lub poza obszarem LGD. Projekt partnerski dedykowano w szczególności przedsięwzięcie 1.</w:t>
      </w:r>
      <w:r w:rsidR="007F29C6" w:rsidRPr="00CE5D9A">
        <w:rPr>
          <w:rFonts w:ascii="Times New Roman" w:hAnsi="Times New Roman"/>
        </w:rPr>
        <w:t>8 i 1.9</w:t>
      </w:r>
      <w:r w:rsidRPr="00CE5D9A">
        <w:rPr>
          <w:rFonts w:ascii="Times New Roman" w:hAnsi="Times New Roman"/>
        </w:rPr>
        <w:t>.</w:t>
      </w:r>
    </w:p>
    <w:p w14:paraId="7BE6FF66" w14:textId="77777777" w:rsidR="00686DFE" w:rsidRPr="00CE5D9A" w:rsidRDefault="00686DFE">
      <w:pPr>
        <w:spacing w:after="0" w:line="276" w:lineRule="auto"/>
        <w:ind w:firstLine="708"/>
        <w:jc w:val="both"/>
        <w:rPr>
          <w:rFonts w:ascii="Times New Roman" w:hAnsi="Times New Roman"/>
        </w:rPr>
      </w:pPr>
    </w:p>
    <w:p w14:paraId="67E0F146" w14:textId="77777777" w:rsidR="00686DFE" w:rsidRPr="00CE5D9A" w:rsidRDefault="00686DFE">
      <w:pPr>
        <w:pStyle w:val="Akapitzlist"/>
        <w:numPr>
          <w:ilvl w:val="1"/>
          <w:numId w:val="1"/>
        </w:numPr>
        <w:spacing w:after="0" w:line="276" w:lineRule="auto"/>
        <w:ind w:left="851" w:hanging="709"/>
        <w:jc w:val="both"/>
        <w:rPr>
          <w:rFonts w:ascii="Times New Roman" w:hAnsi="Times New Roman"/>
          <w:b/>
          <w:bCs/>
        </w:rPr>
      </w:pPr>
      <w:r w:rsidRPr="00CE5D9A">
        <w:rPr>
          <w:rFonts w:ascii="Times New Roman" w:hAnsi="Times New Roman"/>
          <w:b/>
          <w:bCs/>
        </w:rPr>
        <w:t>Informacja o realizacji operacji własnych i/lub operacji</w:t>
      </w:r>
      <w:r w:rsidR="002402B7" w:rsidRPr="00CE5D9A">
        <w:rPr>
          <w:rFonts w:ascii="Times New Roman" w:hAnsi="Times New Roman"/>
          <w:b/>
          <w:bCs/>
        </w:rPr>
        <w:t xml:space="preserve"> realizowanych w partnerstwie z </w:t>
      </w:r>
      <w:r w:rsidRPr="00CE5D9A">
        <w:rPr>
          <w:rFonts w:ascii="Times New Roman" w:hAnsi="Times New Roman"/>
          <w:b/>
          <w:bCs/>
        </w:rPr>
        <w:t xml:space="preserve">partnerami spoza obszaru LSR </w:t>
      </w:r>
    </w:p>
    <w:p w14:paraId="3B950922"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Wsparcie na podejmowanie pozarolniczej działalności gospodarczej przysługuje tylko raz w okresie realizacji Planu Strategicznego. W przypadku uzyskania wsparcia na podejmowanie pozarolniczej działalności gospodarczej, wnioskodawca może ubiegać się o wsparcie na rozwijanie tych działalności nie wcześniej niż po upływie 2 lat od wypłaty płatności ostatecznej w ramach operacji realizowanej w ramach podejmowania/tworzenia tych działalności. Beneficjent realizujący operacje w zakresie inwestycji w infrastrukturę lub inwestycji produkcyjnych zobowiązuje się do zapewnienia trwałości inwestycji.</w:t>
      </w:r>
    </w:p>
    <w:p w14:paraId="5F8C3D1C"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realizacji operacji dla LSR oraz uzasadnienie realizacji operacji przez LGD (m.in. wyjaśnienie dlaczego operacja ta nie może być zrealizowana przez inne podmioty).</w:t>
      </w:r>
    </w:p>
    <w:p w14:paraId="22113A4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Wsparcie udzielane jest w formie dotacji w postaci ryczałtu w zakresie:</w:t>
      </w:r>
    </w:p>
    <w:p w14:paraId="09F4BCB6" w14:textId="77777777" w:rsidR="00686DFE" w:rsidRPr="00CE5D9A" w:rsidRDefault="00686DFE">
      <w:pPr>
        <w:numPr>
          <w:ilvl w:val="0"/>
          <w:numId w:val="46"/>
        </w:numPr>
        <w:spacing w:after="0" w:line="276" w:lineRule="auto"/>
        <w:jc w:val="both"/>
        <w:rPr>
          <w:rFonts w:ascii="Times New Roman" w:hAnsi="Times New Roman"/>
        </w:rPr>
      </w:pPr>
      <w:r w:rsidRPr="00CE5D9A">
        <w:rPr>
          <w:rFonts w:ascii="Times New Roman" w:hAnsi="Times New Roman"/>
        </w:rPr>
        <w:t>podejmowania pozarolniczej działalności gospodarczej przez osoby fizyczne – do wysokości 150 tys. zł,</w:t>
      </w:r>
    </w:p>
    <w:p w14:paraId="0CF85794" w14:textId="77777777" w:rsidR="00686DFE" w:rsidRPr="00CE5D9A" w:rsidRDefault="00686DFE">
      <w:pPr>
        <w:numPr>
          <w:ilvl w:val="0"/>
          <w:numId w:val="46"/>
        </w:numPr>
        <w:spacing w:after="0" w:line="276" w:lineRule="auto"/>
        <w:jc w:val="both"/>
        <w:rPr>
          <w:rFonts w:ascii="Times New Roman" w:hAnsi="Times New Roman"/>
        </w:rPr>
      </w:pPr>
      <w:r w:rsidRPr="00CE5D9A">
        <w:rPr>
          <w:rFonts w:ascii="Times New Roman" w:hAnsi="Times New Roman"/>
        </w:rPr>
        <w:t>projektów grantowych do wysokości 500 tys. zł, przy czym wysokość pojedynczego grantu:</w:t>
      </w:r>
    </w:p>
    <w:p w14:paraId="2E448ADB" w14:textId="77777777" w:rsidR="00686DFE" w:rsidRPr="00CE5D9A" w:rsidRDefault="00686DFE">
      <w:pPr>
        <w:numPr>
          <w:ilvl w:val="0"/>
          <w:numId w:val="42"/>
        </w:numPr>
        <w:spacing w:after="0" w:line="276" w:lineRule="auto"/>
        <w:jc w:val="both"/>
        <w:rPr>
          <w:rFonts w:ascii="Times New Roman" w:hAnsi="Times New Roman"/>
        </w:rPr>
      </w:pPr>
      <w:r w:rsidRPr="00CE5D9A">
        <w:rPr>
          <w:rFonts w:ascii="Times New Roman" w:hAnsi="Times New Roman"/>
        </w:rPr>
        <w:t>na sfinansowanie przygotowania jednej koncepcji inteligentnej wsi, indykatywna kwota jednostkowa wynosi 4 tys. zł,</w:t>
      </w:r>
    </w:p>
    <w:p w14:paraId="168FAEFB" w14:textId="77777777" w:rsidR="00686DFE" w:rsidRPr="00CE5D9A" w:rsidRDefault="00686DFE">
      <w:pPr>
        <w:numPr>
          <w:ilvl w:val="0"/>
          <w:numId w:val="42"/>
        </w:numPr>
        <w:spacing w:after="0" w:line="276" w:lineRule="auto"/>
        <w:jc w:val="both"/>
        <w:rPr>
          <w:rFonts w:ascii="Times New Roman" w:hAnsi="Times New Roman"/>
        </w:rPr>
      </w:pPr>
      <w:r w:rsidRPr="00CE5D9A">
        <w:rPr>
          <w:rFonts w:ascii="Times New Roman" w:hAnsi="Times New Roman"/>
        </w:rPr>
        <w:t>na przygotowanie projektu partnerskiego wynosi:</w:t>
      </w:r>
    </w:p>
    <w:p w14:paraId="2138883C" w14:textId="77777777" w:rsidR="00686DFE" w:rsidRPr="00CE5D9A" w:rsidRDefault="00686DFE" w:rsidP="00FD0A02">
      <w:pPr>
        <w:spacing w:after="0" w:line="276" w:lineRule="auto"/>
        <w:ind w:left="708" w:firstLine="708"/>
        <w:jc w:val="both"/>
        <w:rPr>
          <w:rFonts w:ascii="Times New Roman" w:hAnsi="Times New Roman"/>
          <w:bCs/>
        </w:rPr>
      </w:pPr>
      <w:r w:rsidRPr="00CE5D9A">
        <w:rPr>
          <w:rFonts w:ascii="Times New Roman" w:hAnsi="Times New Roman"/>
          <w:bCs/>
        </w:rPr>
        <w:t>- do 50 tys. zł w przypadku projektu partnerskiego z podmiotem z obszaru innej LSR z Polski,</w:t>
      </w:r>
    </w:p>
    <w:p w14:paraId="10CF305B" w14:textId="77777777" w:rsidR="00686DFE" w:rsidRPr="00CE5D9A" w:rsidRDefault="00686DFE" w:rsidP="00FD0A02">
      <w:pPr>
        <w:spacing w:after="0" w:line="276" w:lineRule="auto"/>
        <w:ind w:left="1416"/>
        <w:jc w:val="both"/>
        <w:rPr>
          <w:rFonts w:ascii="Times New Roman" w:hAnsi="Times New Roman"/>
        </w:rPr>
      </w:pPr>
      <w:r w:rsidRPr="00CE5D9A">
        <w:rPr>
          <w:rFonts w:ascii="Times New Roman" w:hAnsi="Times New Roman"/>
        </w:rPr>
        <w:t>- do 150 tys. zł w przypadku międzynarodowego projektu partnerskiego (z podmiotem z obszaru innej LSR z innego kraju),</w:t>
      </w:r>
    </w:p>
    <w:p w14:paraId="777EBC44" w14:textId="77777777" w:rsidR="00686DFE" w:rsidRPr="00CE5D9A" w:rsidRDefault="00686DFE">
      <w:pPr>
        <w:numPr>
          <w:ilvl w:val="0"/>
          <w:numId w:val="42"/>
        </w:numPr>
        <w:spacing w:after="0" w:line="276" w:lineRule="auto"/>
        <w:jc w:val="both"/>
        <w:rPr>
          <w:rFonts w:ascii="Times New Roman" w:hAnsi="Times New Roman"/>
        </w:rPr>
      </w:pPr>
      <w:r w:rsidRPr="00CE5D9A">
        <w:rPr>
          <w:rFonts w:ascii="Times New Roman" w:hAnsi="Times New Roman"/>
        </w:rPr>
        <w:t>w pozostałych zakresach zadań objętych grantami – ustalana będzie na bazie projektu budżetu (art. 83 ust. 1 lit. c oraz ust. 2 lit. b); maksymalna kwota zostanie określona w oparciu o dane historyczne.</w:t>
      </w:r>
    </w:p>
    <w:p w14:paraId="54097928" w14:textId="77777777" w:rsidR="00686DFE" w:rsidRPr="00CE5D9A" w:rsidRDefault="00686DFE">
      <w:pPr>
        <w:spacing w:before="240" w:after="0" w:line="276" w:lineRule="auto"/>
        <w:ind w:firstLine="708"/>
        <w:jc w:val="both"/>
        <w:rPr>
          <w:rFonts w:ascii="Times New Roman" w:hAnsi="Times New Roman"/>
          <w:bCs/>
        </w:rPr>
      </w:pPr>
      <w:r w:rsidRPr="00CE5D9A">
        <w:rPr>
          <w:rFonts w:ascii="Times New Roman" w:hAnsi="Times New Roman"/>
        </w:rPr>
        <w:t xml:space="preserve">W pozostałych przypadkach </w:t>
      </w:r>
      <w:r w:rsidRPr="00CE5D9A">
        <w:rPr>
          <w:rFonts w:ascii="Times New Roman" w:hAnsi="Times New Roman"/>
          <w:iCs/>
        </w:rPr>
        <w:t xml:space="preserve">wdrażania LSR </w:t>
      </w:r>
      <w:r w:rsidRPr="00CE5D9A">
        <w:rPr>
          <w:rFonts w:ascii="Times New Roman" w:hAnsi="Times New Roman"/>
        </w:rPr>
        <w:t xml:space="preserve">(w tym na operacje własne) wsparcie będzie miało formę dotacji w postaci refundacji kosztów kwalifikowalnych do wysokości 500 tys. zł. </w:t>
      </w:r>
      <w:r w:rsidRPr="00CE5D9A">
        <w:rPr>
          <w:rFonts w:ascii="Times New Roman" w:hAnsi="Times New Roman"/>
          <w:bCs/>
        </w:rPr>
        <w:t>W przypadku Wdrażania LSR intensywność wsparcia będzie wynosiła:</w:t>
      </w:r>
    </w:p>
    <w:p w14:paraId="0A79E87F" w14:textId="77777777" w:rsidR="00686DFE" w:rsidRPr="00CE5D9A" w:rsidRDefault="00686DFE">
      <w:pPr>
        <w:numPr>
          <w:ilvl w:val="0"/>
          <w:numId w:val="47"/>
        </w:numPr>
        <w:spacing w:after="0" w:line="276" w:lineRule="auto"/>
        <w:jc w:val="both"/>
        <w:rPr>
          <w:rFonts w:ascii="Times New Roman" w:hAnsi="Times New Roman"/>
          <w:bCs/>
        </w:rPr>
      </w:pPr>
      <w:r w:rsidRPr="00CE5D9A">
        <w:rPr>
          <w:rFonts w:ascii="Times New Roman" w:hAnsi="Times New Roman"/>
          <w:bCs/>
        </w:rPr>
        <w:t>do 65% kosztów kwalifikowalnych, z wyłączeniem operacji realizowanych w ramach rozwoju pozarolniczych funkcji małych gospodarstw rolnych,</w:t>
      </w:r>
    </w:p>
    <w:p w14:paraId="01D9185F" w14:textId="77777777" w:rsidR="00686DFE" w:rsidRPr="00CE5D9A" w:rsidRDefault="00686DFE">
      <w:pPr>
        <w:numPr>
          <w:ilvl w:val="0"/>
          <w:numId w:val="47"/>
        </w:numPr>
        <w:spacing w:after="0" w:line="276" w:lineRule="auto"/>
        <w:jc w:val="both"/>
        <w:rPr>
          <w:rFonts w:ascii="Times New Roman" w:hAnsi="Times New Roman"/>
          <w:bCs/>
        </w:rPr>
      </w:pPr>
      <w:r w:rsidRPr="00CE5D9A">
        <w:rPr>
          <w:rFonts w:ascii="Times New Roman" w:hAnsi="Times New Roman"/>
          <w:bCs/>
        </w:rPr>
        <w:t>do 85% kosztów kwalifikowalnych w przypadku operacji realizowanych w ramach rozwoju pozarolniczych funkcji małych gospodarstw rolnych,</w:t>
      </w:r>
    </w:p>
    <w:p w14:paraId="0088ABE3" w14:textId="77777777" w:rsidR="00686DFE" w:rsidRPr="00CE5D9A" w:rsidRDefault="00686DFE">
      <w:pPr>
        <w:numPr>
          <w:ilvl w:val="0"/>
          <w:numId w:val="47"/>
        </w:numPr>
        <w:spacing w:after="0" w:line="276" w:lineRule="auto"/>
        <w:jc w:val="both"/>
        <w:rPr>
          <w:rFonts w:ascii="Times New Roman" w:hAnsi="Times New Roman"/>
          <w:bCs/>
        </w:rPr>
      </w:pPr>
      <w:r w:rsidRPr="00CE5D9A">
        <w:rPr>
          <w:rFonts w:ascii="Times New Roman" w:hAnsi="Times New Roman"/>
          <w:bCs/>
        </w:rPr>
        <w:lastRenderedPageBreak/>
        <w:t>do 100% kosztów kwalifikowalnych na operacje obejmujące inwestycje nieprodukcyjne w przypadku podmiotów innych niż jednostki sektora finansów publicznych,</w:t>
      </w:r>
    </w:p>
    <w:p w14:paraId="1636DFDD" w14:textId="77777777" w:rsidR="00686DFE" w:rsidRPr="00CE5D9A" w:rsidRDefault="00686DFE">
      <w:pPr>
        <w:numPr>
          <w:ilvl w:val="0"/>
          <w:numId w:val="47"/>
        </w:numPr>
        <w:spacing w:after="0" w:line="276" w:lineRule="auto"/>
        <w:jc w:val="both"/>
        <w:rPr>
          <w:rFonts w:ascii="Times New Roman" w:hAnsi="Times New Roman"/>
          <w:bCs/>
        </w:rPr>
      </w:pPr>
      <w:r w:rsidRPr="00CE5D9A">
        <w:rPr>
          <w:rFonts w:ascii="Times New Roman" w:hAnsi="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5236D4D4" w14:textId="77777777" w:rsidR="00686DFE" w:rsidRPr="00CE5D9A" w:rsidRDefault="00686DFE">
      <w:pPr>
        <w:spacing w:before="240" w:after="0" w:line="276" w:lineRule="auto"/>
        <w:ind w:firstLine="708"/>
        <w:jc w:val="both"/>
        <w:rPr>
          <w:rFonts w:ascii="Times New Roman" w:hAnsi="Times New Roman"/>
        </w:rPr>
      </w:pPr>
      <w:r w:rsidRPr="00CE5D9A">
        <w:rPr>
          <w:rFonts w:ascii="Times New Roman" w:hAnsi="Times New Roman"/>
        </w:rPr>
        <w:t xml:space="preserve">Operacje sektora finansów publicznych będą mogły być finansowane ze środków Planu Strategicznego w ramach niniejszej LSR do limitu 40% tych środków. </w:t>
      </w:r>
    </w:p>
    <w:p w14:paraId="16599CDC" w14:textId="1B57D4AE" w:rsidR="0085592B" w:rsidRPr="00CE5D9A" w:rsidRDefault="00686DFE" w:rsidP="00021DC4">
      <w:pPr>
        <w:spacing w:before="240" w:after="0" w:line="276" w:lineRule="auto"/>
        <w:ind w:firstLine="708"/>
        <w:jc w:val="both"/>
        <w:rPr>
          <w:rFonts w:ascii="Times New Roman" w:hAnsi="Times New Roman"/>
        </w:rPr>
      </w:pPr>
      <w:r w:rsidRPr="00CE5D9A">
        <w:rPr>
          <w:rFonts w:ascii="Times New Roman" w:hAnsi="Times New Roman"/>
        </w:rPr>
        <w:t>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Bauhaus.</w:t>
      </w:r>
    </w:p>
    <w:p w14:paraId="501B861D" w14:textId="77777777" w:rsidR="00686DFE" w:rsidRPr="00CE5D9A" w:rsidRDefault="00686DFE">
      <w:pPr>
        <w:rPr>
          <w:rFonts w:ascii="Times New Roman" w:hAnsi="Times New Roman"/>
        </w:rPr>
      </w:pPr>
      <w:r w:rsidRPr="00CE5D9A">
        <w:rPr>
          <w:rFonts w:ascii="Times New Roman" w:hAnsi="Times New Roman"/>
        </w:rPr>
        <w:br w:type="page"/>
      </w:r>
    </w:p>
    <w:p w14:paraId="4AF4E6F8" w14:textId="77777777" w:rsidR="00686DFE" w:rsidRPr="00CE5D9A" w:rsidRDefault="00686DFE">
      <w:pPr>
        <w:pStyle w:val="Akapitzlist"/>
        <w:numPr>
          <w:ilvl w:val="0"/>
          <w:numId w:val="2"/>
        </w:numPr>
        <w:spacing w:line="276" w:lineRule="auto"/>
        <w:jc w:val="both"/>
        <w:outlineLvl w:val="0"/>
        <w:rPr>
          <w:rFonts w:ascii="Times New Roman" w:hAnsi="Times New Roman"/>
          <w:b/>
          <w:bCs/>
        </w:rPr>
      </w:pPr>
      <w:bookmarkStart w:id="159" w:name="_Toc135647311"/>
      <w:bookmarkStart w:id="160" w:name="_Toc135994840"/>
      <w:r w:rsidRPr="00CE5D9A">
        <w:rPr>
          <w:rFonts w:ascii="Times New Roman" w:hAnsi="Times New Roman"/>
          <w:b/>
          <w:bCs/>
        </w:rPr>
        <w:lastRenderedPageBreak/>
        <w:t>PLAN DZIAŁANIA</w:t>
      </w:r>
      <w:bookmarkEnd w:id="159"/>
      <w:bookmarkEnd w:id="160"/>
    </w:p>
    <w:p w14:paraId="304D892B"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W ramach realizacji LSR zaplanowano ogłoszenie wniosków na realizację przedsięwzięć zawartych w matrycy – rozdział VI. Pierwsze nabory zostaną przeprowadzone w I kwartale 2024 roku, kolejne w latach </w:t>
      </w:r>
      <w:r w:rsidRPr="00CE5D9A">
        <w:rPr>
          <w:rFonts w:ascii="Times New Roman" w:hAnsi="Times New Roman"/>
        </w:rPr>
        <w:br/>
        <w:t>2025–2026. Tworząc Plan działania zadbano, aby realizowane przedsięwzięcia umożliwiły osiągnięcie celów LSR.</w:t>
      </w:r>
      <w:r w:rsidRPr="00CE5D9A">
        <w:rPr>
          <w:highlight w:val="yellow"/>
        </w:rPr>
        <w:t xml:space="preserve"> </w:t>
      </w:r>
      <w:r w:rsidRPr="00CE5D9A">
        <w:rPr>
          <w:rFonts w:ascii="Times New Roman" w:hAnsi="Times New Roman"/>
        </w:rPr>
        <w:t xml:space="preserve">Plan działania opracowano na podstawie procesu partycypacyjnego. Obecny kształt Planu został wypracowany na spotkaniach Zespołu ds. LSR, gdzie zaproponowano konkretne przedsięwzięcia. W czasie konsultacji z mieszkańcami: na spotkaniach w każdej z gmin dyskutowano na temat określania celów, przedsięwzięć i wskaźników, a także określeniu grup docelowych szczególnie istotnych z punktu widzenia realizacji LSR oraz grupy osób w niekorzystnej sytuacji na obszarze LGD. Ponadto mieszkańcy mogli składać uwagi i propozycje do zaplanowanego dokumentu podczas konsultacji strategii. </w:t>
      </w:r>
    </w:p>
    <w:p w14:paraId="2993FEA1"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Wszystkie działania zaplanowano tak, aby w pierwszej kolejności zrealizowane zostały te, które oddziaływać będą na pozostałe. W pierwszej kolejności zrealizowane zostaną działania zwiększające atrakcyjność obszaru oraz promocyjne i 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0CC1AEEB" w14:textId="6D1485F3" w:rsidR="00271792" w:rsidRPr="00CE5D9A" w:rsidRDefault="00686DFE">
      <w:pPr>
        <w:spacing w:line="276" w:lineRule="auto"/>
        <w:ind w:firstLine="708"/>
        <w:jc w:val="both"/>
        <w:rPr>
          <w:rFonts w:ascii="Times New Roman" w:hAnsi="Times New Roman"/>
        </w:rPr>
      </w:pPr>
      <w:r w:rsidRPr="00CE5D9A">
        <w:rPr>
          <w:rFonts w:ascii="Times New Roman" w:hAnsi="Times New Roman"/>
        </w:rPr>
        <w:t>Istotne w trakcie wdrażania LSR będzie zrealizowanie pierwszych operac</w:t>
      </w:r>
      <w:r w:rsidR="00A55EF2" w:rsidRPr="00CE5D9A">
        <w:rPr>
          <w:rFonts w:ascii="Times New Roman" w:hAnsi="Times New Roman"/>
        </w:rPr>
        <w:t>ji w ramach PS WPR do 30 grudnia</w:t>
      </w:r>
      <w:r w:rsidRPr="00CE5D9A">
        <w:rPr>
          <w:rFonts w:ascii="Times New Roman" w:hAnsi="Times New Roman"/>
        </w:rPr>
        <w:t xml:space="preserve"> 2026 roku, które pozwolą na wykorzystanie 40% budżetu, oraz realizację pozostałyc</w:t>
      </w:r>
      <w:r w:rsidR="00A55EF2" w:rsidRPr="00CE5D9A">
        <w:rPr>
          <w:rFonts w:ascii="Times New Roman" w:hAnsi="Times New Roman"/>
        </w:rPr>
        <w:t>h działań tak, aby do 31 czerwca</w:t>
      </w:r>
      <w:r w:rsidRPr="00CE5D9A">
        <w:rPr>
          <w:rFonts w:ascii="Times New Roman" w:hAnsi="Times New Roman"/>
        </w:rPr>
        <w:t xml:space="preserve"> 2027 roku wykorzystać 80% kontraktacji budżetu. Również realizacja działań w ramach FE</w:t>
      </w:r>
      <w:r w:rsidR="00033B8D" w:rsidRPr="00CE5D9A">
        <w:rPr>
          <w:rFonts w:ascii="Times New Roman" w:hAnsi="Times New Roman"/>
        </w:rPr>
        <w:t>M</w:t>
      </w:r>
      <w:r w:rsidRPr="00CE5D9A">
        <w:rPr>
          <w:rFonts w:ascii="Times New Roman" w:hAnsi="Times New Roman"/>
        </w:rPr>
        <w:t xml:space="preserve"> została zaplanowana tak, aby </w:t>
      </w:r>
      <w:r w:rsidR="00DD02D0" w:rsidRPr="00CE5D9A">
        <w:rPr>
          <w:rFonts w:ascii="Times New Roman" w:hAnsi="Times New Roman"/>
        </w:rPr>
        <w:t xml:space="preserve">80% kontraktacji budżetu </w:t>
      </w:r>
      <w:r w:rsidRPr="00CE5D9A">
        <w:rPr>
          <w:rFonts w:ascii="Times New Roman" w:hAnsi="Times New Roman"/>
        </w:rPr>
        <w:t>zrealizować do końca grudnia 2026 roku</w:t>
      </w:r>
      <w:r w:rsidR="00DD02D0" w:rsidRPr="00CE5D9A">
        <w:rPr>
          <w:rFonts w:ascii="Times New Roman" w:hAnsi="Times New Roman"/>
        </w:rPr>
        <w:t>, a do końca grudnia 2028 r. wsparcie to zostało udzielone w wysokości 100% wartości alokacji wynikającej z umowy ramowej.</w:t>
      </w:r>
    </w:p>
    <w:p w14:paraId="5BD0258B" w14:textId="34F45068" w:rsidR="00686DFE" w:rsidRPr="00CE5D9A" w:rsidRDefault="00686DFE">
      <w:pPr>
        <w:ind w:firstLine="708"/>
        <w:jc w:val="both"/>
        <w:rPr>
          <w:rFonts w:ascii="Times New Roman" w:hAnsi="Times New Roman"/>
          <w:i/>
          <w:iCs/>
        </w:rPr>
      </w:pPr>
      <w:r w:rsidRPr="00CE5D9A">
        <w:rPr>
          <w:rFonts w:ascii="Times New Roman" w:hAnsi="Times New Roman"/>
        </w:rPr>
        <w:t xml:space="preserve">Dokładny plan działania wraz z czasowym przedziałem osiągania wskaźników oraz planowanymi kwotami wsparcia przedstawiają Załącznik nr 2 do LSR pn. </w:t>
      </w:r>
      <w:r w:rsidRPr="00CE5D9A">
        <w:rPr>
          <w:rFonts w:ascii="Times New Roman" w:hAnsi="Times New Roman"/>
          <w:i/>
          <w:iCs/>
        </w:rPr>
        <w:t>Plan działania</w:t>
      </w:r>
      <w:r w:rsidRPr="00CE5D9A">
        <w:rPr>
          <w:rFonts w:ascii="Times New Roman" w:hAnsi="Times New Roman"/>
        </w:rPr>
        <w:t xml:space="preserve"> oraz Załącznik nr 4 do LSR pn. </w:t>
      </w:r>
      <w:r w:rsidRPr="00CE5D9A">
        <w:rPr>
          <w:rFonts w:ascii="Times New Roman" w:hAnsi="Times New Roman"/>
          <w:i/>
          <w:iCs/>
        </w:rPr>
        <w:t>Plan wykorzystania budżetu</w:t>
      </w:r>
      <w:r w:rsidR="007804E6" w:rsidRPr="00CE5D9A">
        <w:rPr>
          <w:rFonts w:ascii="Times New Roman" w:hAnsi="Times New Roman"/>
          <w:i/>
          <w:iCs/>
        </w:rPr>
        <w:t>.</w:t>
      </w:r>
    </w:p>
    <w:p w14:paraId="0E93AE5C" w14:textId="77777777" w:rsidR="007804E6" w:rsidRPr="00CE5D9A" w:rsidRDefault="007804E6">
      <w:pPr>
        <w:ind w:firstLine="708"/>
        <w:jc w:val="both"/>
        <w:sectPr w:rsidR="007804E6" w:rsidRPr="00CE5D9A">
          <w:pgSz w:w="11906" w:h="16838"/>
          <w:pgMar w:top="851" w:right="851" w:bottom="851" w:left="851" w:header="709" w:footer="709" w:gutter="0"/>
          <w:cols w:space="708"/>
          <w:titlePg/>
          <w:docGrid w:linePitch="360"/>
        </w:sectPr>
      </w:pPr>
    </w:p>
    <w:p w14:paraId="2A6BF2FE" w14:textId="1A7EC063" w:rsidR="00021DC4" w:rsidRPr="00CE5D9A" w:rsidRDefault="00021DC4" w:rsidP="00021DC4">
      <w:pPr>
        <w:pStyle w:val="Legenda"/>
        <w:spacing w:after="0"/>
        <w:jc w:val="center"/>
        <w:rPr>
          <w:rFonts w:ascii="Times New Roman" w:hAnsi="Times New Roman"/>
          <w:b/>
          <w:bCs/>
          <w:i w:val="0"/>
          <w:iCs w:val="0"/>
          <w:color w:val="auto"/>
          <w:sz w:val="20"/>
          <w:szCs w:val="20"/>
        </w:rPr>
      </w:pPr>
      <w:bookmarkStart w:id="161" w:name="_Toc194581448"/>
      <w:r w:rsidRPr="00CE5D9A">
        <w:rPr>
          <w:rFonts w:ascii="Times New Roman" w:hAnsi="Times New Roman"/>
          <w:b/>
          <w:bCs/>
          <w:i w:val="0"/>
          <w:iCs w:val="0"/>
          <w:color w:val="auto"/>
          <w:sz w:val="20"/>
          <w:szCs w:val="20"/>
        </w:rPr>
        <w:lastRenderedPageBreak/>
        <w:t xml:space="preserve">Tabela </w:t>
      </w:r>
      <w:r w:rsidRPr="00CE5D9A">
        <w:rPr>
          <w:rFonts w:ascii="Times New Roman" w:hAnsi="Times New Roman"/>
          <w:b/>
          <w:bCs/>
          <w:i w:val="0"/>
          <w:iCs w:val="0"/>
          <w:color w:val="auto"/>
          <w:sz w:val="20"/>
          <w:szCs w:val="20"/>
        </w:rPr>
        <w:fldChar w:fldCharType="begin"/>
      </w:r>
      <w:r w:rsidRPr="00CE5D9A">
        <w:rPr>
          <w:rFonts w:ascii="Times New Roman" w:hAnsi="Times New Roman"/>
          <w:b/>
          <w:bCs/>
          <w:i w:val="0"/>
          <w:iCs w:val="0"/>
          <w:color w:val="auto"/>
          <w:sz w:val="20"/>
          <w:szCs w:val="20"/>
        </w:rPr>
        <w:instrText xml:space="preserve"> SEQ Tabela \* ARABIC </w:instrText>
      </w:r>
      <w:r w:rsidRPr="00CE5D9A">
        <w:rPr>
          <w:rFonts w:ascii="Times New Roman" w:hAnsi="Times New Roman"/>
          <w:b/>
          <w:bCs/>
          <w:i w:val="0"/>
          <w:iCs w:val="0"/>
          <w:color w:val="auto"/>
          <w:sz w:val="20"/>
          <w:szCs w:val="20"/>
        </w:rPr>
        <w:fldChar w:fldCharType="separate"/>
      </w:r>
      <w:r w:rsidR="00AD7096">
        <w:rPr>
          <w:rFonts w:ascii="Times New Roman" w:hAnsi="Times New Roman"/>
          <w:b/>
          <w:bCs/>
          <w:i w:val="0"/>
          <w:iCs w:val="0"/>
          <w:noProof/>
          <w:color w:val="auto"/>
          <w:sz w:val="20"/>
          <w:szCs w:val="20"/>
        </w:rPr>
        <w:t>24</w:t>
      </w:r>
      <w:r w:rsidRPr="00CE5D9A">
        <w:rPr>
          <w:rFonts w:ascii="Times New Roman" w:hAnsi="Times New Roman"/>
          <w:b/>
          <w:bCs/>
          <w:i w:val="0"/>
          <w:iCs w:val="0"/>
          <w:color w:val="auto"/>
          <w:sz w:val="20"/>
          <w:szCs w:val="20"/>
        </w:rPr>
        <w:fldChar w:fldCharType="end"/>
      </w:r>
      <w:r w:rsidRPr="00CE5D9A">
        <w:rPr>
          <w:rFonts w:ascii="Times New Roman" w:hAnsi="Times New Roman"/>
          <w:b/>
          <w:bCs/>
          <w:i w:val="0"/>
          <w:iCs w:val="0"/>
          <w:color w:val="auto"/>
          <w:sz w:val="20"/>
          <w:szCs w:val="20"/>
        </w:rPr>
        <w:t xml:space="preserve"> Plan działania</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
        <w:gridCol w:w="1840"/>
        <w:gridCol w:w="2120"/>
        <w:gridCol w:w="852"/>
        <w:gridCol w:w="859"/>
        <w:gridCol w:w="855"/>
        <w:gridCol w:w="859"/>
        <w:gridCol w:w="855"/>
        <w:gridCol w:w="859"/>
        <w:gridCol w:w="901"/>
        <w:gridCol w:w="855"/>
        <w:gridCol w:w="855"/>
        <w:gridCol w:w="862"/>
        <w:gridCol w:w="855"/>
        <w:gridCol w:w="862"/>
        <w:gridCol w:w="532"/>
      </w:tblGrid>
      <w:tr w:rsidR="00021DC4" w:rsidRPr="00CE5D9A" w14:paraId="5B419187" w14:textId="77777777" w:rsidTr="007F6F0A">
        <w:trPr>
          <w:trHeight w:val="794"/>
        </w:trPr>
        <w:tc>
          <w:tcPr>
            <w:tcW w:w="751" w:type="pct"/>
            <w:gridSpan w:val="2"/>
            <w:vMerge w:val="restart"/>
            <w:shd w:val="clear" w:color="auto" w:fill="auto"/>
            <w:vAlign w:val="center"/>
          </w:tcPr>
          <w:p w14:paraId="22A131AE" w14:textId="696D7E1C" w:rsidR="00021DC4" w:rsidRPr="00CE5D9A" w:rsidRDefault="00021DC4" w:rsidP="007F6F0A">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CEL LSR 1</w:t>
            </w:r>
            <w:r w:rsidRPr="00CE5D9A">
              <w:rPr>
                <w:rFonts w:ascii="Times New Roman" w:eastAsia="Times New Roman" w:hAnsi="Times New Roman"/>
                <w:b/>
                <w:bCs/>
                <w:sz w:val="18"/>
                <w:szCs w:val="18"/>
                <w:lang w:eastAsia="pl-PL"/>
              </w:rPr>
              <w:br/>
            </w:r>
            <w:r w:rsidRPr="00CE5D9A">
              <w:rPr>
                <w:rFonts w:ascii="Times New Roman" w:eastAsia="Times New Roman" w:hAnsi="Times New Roman"/>
                <w:b/>
                <w:bCs/>
                <w:i/>
                <w:iCs/>
                <w:sz w:val="18"/>
                <w:szCs w:val="18"/>
                <w:lang w:eastAsia="pl-PL"/>
              </w:rPr>
              <w:t>Utworzenie Myślenickiej Strefy Przemysłu Czasu Wolnego</w:t>
            </w:r>
            <w:r w:rsidR="00782172" w:rsidRPr="00CE5D9A">
              <w:rPr>
                <w:rFonts w:ascii="Times New Roman" w:eastAsia="Times New Roman" w:hAnsi="Times New Roman"/>
                <w:b/>
                <w:bCs/>
                <w:i/>
                <w:iCs/>
                <w:sz w:val="18"/>
                <w:szCs w:val="18"/>
                <w:lang w:eastAsia="pl-PL"/>
              </w:rPr>
              <w:t xml:space="preserve"> i rozwoju przedsiębiorczości</w:t>
            </w:r>
          </w:p>
        </w:tc>
        <w:tc>
          <w:tcPr>
            <w:tcW w:w="694" w:type="pct"/>
            <w:shd w:val="clear" w:color="000000" w:fill="FFFFFF"/>
            <w:vAlign w:val="center"/>
          </w:tcPr>
          <w:p w14:paraId="1CFB9F14"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Lata</w:t>
            </w:r>
          </w:p>
        </w:tc>
        <w:tc>
          <w:tcPr>
            <w:tcW w:w="560" w:type="pct"/>
            <w:gridSpan w:val="2"/>
            <w:vAlign w:val="center"/>
          </w:tcPr>
          <w:p w14:paraId="7C1284F3"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31.12.2024</w:t>
            </w:r>
          </w:p>
        </w:tc>
        <w:tc>
          <w:tcPr>
            <w:tcW w:w="561" w:type="pct"/>
            <w:gridSpan w:val="2"/>
            <w:vAlign w:val="center"/>
          </w:tcPr>
          <w:p w14:paraId="6D835171"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31.12.2025</w:t>
            </w:r>
          </w:p>
        </w:tc>
        <w:tc>
          <w:tcPr>
            <w:tcW w:w="561" w:type="pct"/>
            <w:gridSpan w:val="2"/>
            <w:vAlign w:val="center"/>
          </w:tcPr>
          <w:p w14:paraId="61D83CEE"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31.12.2026</w:t>
            </w:r>
          </w:p>
        </w:tc>
        <w:tc>
          <w:tcPr>
            <w:tcW w:w="575" w:type="pct"/>
            <w:gridSpan w:val="2"/>
            <w:vAlign w:val="center"/>
          </w:tcPr>
          <w:p w14:paraId="3FA6716B"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31.12.2027</w:t>
            </w:r>
          </w:p>
        </w:tc>
        <w:tc>
          <w:tcPr>
            <w:tcW w:w="562" w:type="pct"/>
            <w:gridSpan w:val="2"/>
            <w:vAlign w:val="center"/>
          </w:tcPr>
          <w:p w14:paraId="6F59F27B"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31.12.2028</w:t>
            </w:r>
          </w:p>
        </w:tc>
        <w:tc>
          <w:tcPr>
            <w:tcW w:w="562" w:type="pct"/>
            <w:gridSpan w:val="2"/>
            <w:vAlign w:val="center"/>
          </w:tcPr>
          <w:p w14:paraId="68B84600"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31.12.2029</w:t>
            </w:r>
          </w:p>
        </w:tc>
        <w:tc>
          <w:tcPr>
            <w:tcW w:w="174" w:type="pct"/>
            <w:vMerge w:val="restart"/>
            <w:textDirection w:val="tbRl"/>
            <w:vAlign w:val="center"/>
          </w:tcPr>
          <w:p w14:paraId="00626ECE" w14:textId="77777777" w:rsidR="00021DC4" w:rsidRPr="00CE5D9A" w:rsidRDefault="00021DC4" w:rsidP="007F6F0A">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Program</w:t>
            </w:r>
          </w:p>
        </w:tc>
      </w:tr>
      <w:tr w:rsidR="00021DC4" w:rsidRPr="00CE5D9A" w14:paraId="3C41F223" w14:textId="77777777" w:rsidTr="007F6F0A">
        <w:trPr>
          <w:trHeight w:val="1417"/>
        </w:trPr>
        <w:tc>
          <w:tcPr>
            <w:tcW w:w="751" w:type="pct"/>
            <w:gridSpan w:val="2"/>
            <w:vMerge/>
            <w:shd w:val="clear" w:color="auto" w:fill="auto"/>
            <w:vAlign w:val="center"/>
          </w:tcPr>
          <w:p w14:paraId="7D78C6D3" w14:textId="77777777" w:rsidR="00021DC4" w:rsidRPr="00CE5D9A" w:rsidRDefault="00021DC4" w:rsidP="007F6F0A">
            <w:pPr>
              <w:spacing w:after="0" w:line="240" w:lineRule="auto"/>
              <w:rPr>
                <w:rFonts w:ascii="Times New Roman" w:eastAsia="Times New Roman" w:hAnsi="Times New Roman"/>
                <w:b/>
                <w:bCs/>
                <w:sz w:val="18"/>
                <w:szCs w:val="18"/>
                <w:lang w:eastAsia="pl-PL"/>
              </w:rPr>
            </w:pPr>
          </w:p>
        </w:tc>
        <w:tc>
          <w:tcPr>
            <w:tcW w:w="694" w:type="pct"/>
            <w:shd w:val="clear" w:color="000000" w:fill="FFFFFF"/>
            <w:vAlign w:val="center"/>
          </w:tcPr>
          <w:p w14:paraId="1D7092A0"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Nazwa wskaźnika</w:t>
            </w:r>
          </w:p>
        </w:tc>
        <w:tc>
          <w:tcPr>
            <w:tcW w:w="279" w:type="pct"/>
            <w:textDirection w:val="btLr"/>
            <w:vAlign w:val="center"/>
          </w:tcPr>
          <w:p w14:paraId="02B5D547"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14C3AD68"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31E0337E"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012448E9"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680DC7D7"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73B881F5"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95" w:type="pct"/>
            <w:textDirection w:val="btLr"/>
            <w:vAlign w:val="center"/>
          </w:tcPr>
          <w:p w14:paraId="085E8D2B"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0" w:type="pct"/>
            <w:textDirection w:val="btLr"/>
            <w:vAlign w:val="center"/>
          </w:tcPr>
          <w:p w14:paraId="2E5A5329"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5A3509A2"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2" w:type="pct"/>
            <w:textDirection w:val="btLr"/>
            <w:vAlign w:val="center"/>
          </w:tcPr>
          <w:p w14:paraId="3FBF7F77"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3089DC7C"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2" w:type="pct"/>
            <w:textDirection w:val="btLr"/>
            <w:vAlign w:val="center"/>
          </w:tcPr>
          <w:p w14:paraId="33DC5C3C" w14:textId="77777777" w:rsidR="00021DC4" w:rsidRPr="00CE5D9A" w:rsidRDefault="00021DC4"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174" w:type="pct"/>
            <w:vMerge/>
            <w:vAlign w:val="center"/>
          </w:tcPr>
          <w:p w14:paraId="27CB45D0" w14:textId="77777777" w:rsidR="00021DC4" w:rsidRPr="00CE5D9A" w:rsidRDefault="00021DC4" w:rsidP="007F6F0A">
            <w:pPr>
              <w:spacing w:after="0" w:line="240" w:lineRule="auto"/>
              <w:rPr>
                <w:rFonts w:ascii="Times New Roman" w:eastAsia="Times New Roman" w:hAnsi="Times New Roman"/>
                <w:b/>
                <w:bCs/>
                <w:sz w:val="16"/>
                <w:szCs w:val="16"/>
                <w:lang w:eastAsia="pl-PL"/>
              </w:rPr>
            </w:pPr>
          </w:p>
        </w:tc>
      </w:tr>
      <w:tr w:rsidR="00893413" w:rsidRPr="00CE5D9A" w14:paraId="1806C516" w14:textId="77777777" w:rsidTr="007F6F0A">
        <w:trPr>
          <w:trHeight w:val="794"/>
        </w:trPr>
        <w:tc>
          <w:tcPr>
            <w:tcW w:w="149" w:type="pct"/>
            <w:shd w:val="clear" w:color="auto" w:fill="auto"/>
            <w:noWrap/>
            <w:vAlign w:val="center"/>
          </w:tcPr>
          <w:p w14:paraId="48F2FDAF" w14:textId="77777777" w:rsidR="00893413" w:rsidRPr="00830009" w:rsidRDefault="00893413" w:rsidP="007F6F0A">
            <w:pPr>
              <w:spacing w:after="0" w:line="240" w:lineRule="auto"/>
              <w:jc w:val="right"/>
              <w:rPr>
                <w:rFonts w:ascii="Times New Roman" w:eastAsia="Times New Roman" w:hAnsi="Times New Roman"/>
                <w:sz w:val="18"/>
                <w:szCs w:val="18"/>
                <w:lang w:eastAsia="pl-PL"/>
              </w:rPr>
            </w:pPr>
            <w:r w:rsidRPr="00830009">
              <w:rPr>
                <w:rFonts w:ascii="Times New Roman" w:eastAsia="Times New Roman" w:hAnsi="Times New Roman"/>
                <w:sz w:val="18"/>
                <w:szCs w:val="18"/>
                <w:lang w:eastAsia="pl-PL"/>
              </w:rPr>
              <w:t>1.1</w:t>
            </w:r>
          </w:p>
        </w:tc>
        <w:tc>
          <w:tcPr>
            <w:tcW w:w="602" w:type="pct"/>
            <w:shd w:val="clear" w:color="auto" w:fill="auto"/>
            <w:vAlign w:val="center"/>
          </w:tcPr>
          <w:p w14:paraId="2CFAFBAA" w14:textId="7F80B06D" w:rsidR="00893413" w:rsidRPr="00830009" w:rsidRDefault="00893413" w:rsidP="007F6F0A">
            <w:pPr>
              <w:spacing w:after="0" w:line="240" w:lineRule="auto"/>
              <w:jc w:val="center"/>
              <w:rPr>
                <w:rFonts w:ascii="Times New Roman" w:eastAsia="Times New Roman" w:hAnsi="Times New Roman"/>
                <w:sz w:val="18"/>
                <w:szCs w:val="18"/>
                <w:lang w:eastAsia="pl-PL"/>
              </w:rPr>
            </w:pPr>
            <w:r w:rsidRPr="00830009">
              <w:rPr>
                <w:rFonts w:ascii="Times New Roman" w:eastAsia="Times New Roman" w:hAnsi="Times New Roman"/>
                <w:sz w:val="18"/>
                <w:szCs w:val="18"/>
                <w:lang w:eastAsia="pl-PL"/>
              </w:rPr>
              <w:t xml:space="preserve">Rozbudowa oferty infrastruktury publicznej </w:t>
            </w:r>
          </w:p>
        </w:tc>
        <w:tc>
          <w:tcPr>
            <w:tcW w:w="694" w:type="pct"/>
            <w:shd w:val="clear" w:color="000000" w:fill="FFFFFF"/>
            <w:vAlign w:val="center"/>
          </w:tcPr>
          <w:p w14:paraId="33958179" w14:textId="77777777" w:rsidR="00893413" w:rsidRPr="00830009" w:rsidRDefault="00893413" w:rsidP="007F6F0A">
            <w:pPr>
              <w:spacing w:after="0" w:line="240" w:lineRule="auto"/>
              <w:jc w:val="center"/>
              <w:rPr>
                <w:rFonts w:ascii="Times New Roman" w:eastAsia="Times New Roman" w:hAnsi="Times New Roman"/>
                <w:sz w:val="18"/>
                <w:szCs w:val="18"/>
                <w:lang w:eastAsia="pl-PL"/>
              </w:rPr>
            </w:pPr>
            <w:r w:rsidRPr="00830009">
              <w:rPr>
                <w:rFonts w:ascii="Times New Roman" w:eastAsia="Times New Roman" w:hAnsi="Times New Roman"/>
                <w:sz w:val="18"/>
                <w:szCs w:val="18"/>
                <w:lang w:eastAsia="pl-PL"/>
              </w:rPr>
              <w:t xml:space="preserve">Liczba doposażonych instytucji kultury, zbudowanej lub rozbudowanej infrastruktury publicznej </w:t>
            </w:r>
          </w:p>
        </w:tc>
        <w:tc>
          <w:tcPr>
            <w:tcW w:w="279" w:type="pct"/>
            <w:vAlign w:val="center"/>
          </w:tcPr>
          <w:p w14:paraId="0994DB33"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EA9D7A5"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4C29D8C"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7922DE12"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9AE4D0D" w14:textId="77777777" w:rsidR="00893413" w:rsidRPr="00D36602" w:rsidRDefault="00893413" w:rsidP="007F6F0A">
            <w:pPr>
              <w:spacing w:after="0" w:line="240" w:lineRule="auto"/>
              <w:jc w:val="right"/>
              <w:rPr>
                <w:rFonts w:ascii="Times New Roman" w:eastAsia="Times New Roman" w:hAnsi="Times New Roman"/>
                <w:color w:val="FF0000"/>
                <w:sz w:val="18"/>
                <w:szCs w:val="18"/>
                <w:lang w:eastAsia="pl-PL"/>
              </w:rPr>
            </w:pPr>
            <w:r w:rsidRPr="00D36602">
              <w:rPr>
                <w:rFonts w:ascii="Times New Roman" w:eastAsia="Times New Roman" w:hAnsi="Times New Roman"/>
                <w:color w:val="FF0000"/>
                <w:sz w:val="18"/>
                <w:szCs w:val="18"/>
                <w:lang w:eastAsia="pl-PL"/>
              </w:rPr>
              <w:t>8</w:t>
            </w:r>
          </w:p>
        </w:tc>
        <w:tc>
          <w:tcPr>
            <w:tcW w:w="281" w:type="pct"/>
            <w:vAlign w:val="center"/>
          </w:tcPr>
          <w:p w14:paraId="3ECED6F2"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2018D8FC"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448F191"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D684675"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463B6DF"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06B3D9C"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D277725" w14:textId="77777777" w:rsidR="00893413" w:rsidRPr="00CE5D9A" w:rsidRDefault="00893413" w:rsidP="007F6F0A">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2E128861" w14:textId="77777777" w:rsidR="00893413" w:rsidRPr="00CE5D9A" w:rsidRDefault="00893413" w:rsidP="007F6F0A">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PS WPR</w:t>
            </w:r>
          </w:p>
        </w:tc>
      </w:tr>
      <w:tr w:rsidR="00893413" w:rsidRPr="00CE5D9A" w14:paraId="6BFAEEEB" w14:textId="77777777" w:rsidTr="007F6F0A">
        <w:trPr>
          <w:trHeight w:val="1094"/>
        </w:trPr>
        <w:tc>
          <w:tcPr>
            <w:tcW w:w="149" w:type="pct"/>
            <w:shd w:val="clear" w:color="auto" w:fill="auto"/>
            <w:noWrap/>
            <w:vAlign w:val="center"/>
          </w:tcPr>
          <w:p w14:paraId="4D16F24D" w14:textId="416619B5"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1.2</w:t>
            </w:r>
          </w:p>
        </w:tc>
        <w:tc>
          <w:tcPr>
            <w:tcW w:w="602" w:type="pct"/>
            <w:shd w:val="clear" w:color="auto" w:fill="auto"/>
            <w:vAlign w:val="center"/>
          </w:tcPr>
          <w:p w14:paraId="045A5396" w14:textId="3A499F3A"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Rozbudowa oferty infrastruktury publicznej wynikającej </w:t>
            </w:r>
            <w:r w:rsidRPr="00970EF5">
              <w:rPr>
                <w:rFonts w:ascii="Times New Roman" w:eastAsia="Times New Roman" w:hAnsi="Times New Roman"/>
                <w:strike/>
                <w:color w:val="FF0000"/>
                <w:sz w:val="18"/>
                <w:szCs w:val="18"/>
                <w:lang w:eastAsia="pl-PL"/>
              </w:rPr>
              <w:br/>
              <w:t>z opracowanych Koncepcji Smart Village</w:t>
            </w:r>
          </w:p>
        </w:tc>
        <w:tc>
          <w:tcPr>
            <w:tcW w:w="694" w:type="pct"/>
            <w:shd w:val="clear" w:color="000000" w:fill="FFFFFF"/>
            <w:vAlign w:val="center"/>
          </w:tcPr>
          <w:p w14:paraId="18454C47" w14:textId="183426DF"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Liczba doposażonych instytucji kultury, zbudowanej lub rozbudowanej infrastruktury publicznej </w:t>
            </w:r>
          </w:p>
        </w:tc>
        <w:tc>
          <w:tcPr>
            <w:tcW w:w="279" w:type="pct"/>
            <w:vAlign w:val="center"/>
          </w:tcPr>
          <w:p w14:paraId="358C0EC5" w14:textId="73DA0DAB"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591F6046" w14:textId="7536E88B"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23BD4CED" w14:textId="5232EC25"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303CDE5D" w14:textId="5B2AAEB9"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2A2B6D74" w14:textId="0C7C9C13"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w:t>
            </w:r>
          </w:p>
        </w:tc>
        <w:tc>
          <w:tcPr>
            <w:tcW w:w="281" w:type="pct"/>
            <w:vAlign w:val="center"/>
          </w:tcPr>
          <w:p w14:paraId="5F12C28C" w14:textId="40DDB1E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6DBE52AB" w14:textId="659F9B66"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397653D8" w14:textId="17893674"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0B7B6AB3" w14:textId="6BDBA6BD"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18B917B7" w14:textId="7BEB049A"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0FCF9449" w14:textId="007FF68B"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29786EF7" w14:textId="0B5D7C1F"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0C45C749"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4A7C59CF" w14:textId="77777777" w:rsidTr="007F6F0A">
        <w:trPr>
          <w:trHeight w:val="1094"/>
        </w:trPr>
        <w:tc>
          <w:tcPr>
            <w:tcW w:w="149" w:type="pct"/>
            <w:shd w:val="clear" w:color="auto" w:fill="auto"/>
            <w:noWrap/>
            <w:vAlign w:val="center"/>
          </w:tcPr>
          <w:p w14:paraId="56C39A48" w14:textId="4A5A6383"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1.3</w:t>
            </w:r>
          </w:p>
        </w:tc>
        <w:tc>
          <w:tcPr>
            <w:tcW w:w="602" w:type="pct"/>
            <w:shd w:val="clear" w:color="auto" w:fill="auto"/>
            <w:vAlign w:val="center"/>
          </w:tcPr>
          <w:p w14:paraId="2902AC53" w14:textId="63735808"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Rozbudowa integracyjnej oferty infrastruktury publicznej </w:t>
            </w:r>
          </w:p>
        </w:tc>
        <w:tc>
          <w:tcPr>
            <w:tcW w:w="694" w:type="pct"/>
            <w:shd w:val="clear" w:color="000000" w:fill="FFFFFF"/>
            <w:vAlign w:val="center"/>
          </w:tcPr>
          <w:p w14:paraId="6699C2C4" w14:textId="77777777"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Liczba doposażonych instytucji kultury, zbudowanej lub rozbudowanej infrastruktury publicznej </w:t>
            </w:r>
          </w:p>
        </w:tc>
        <w:tc>
          <w:tcPr>
            <w:tcW w:w="279" w:type="pct"/>
            <w:vAlign w:val="center"/>
          </w:tcPr>
          <w:p w14:paraId="33D1D882"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146BBE02"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046510D9"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3443F833"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2E958C2D"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4</w:t>
            </w:r>
          </w:p>
        </w:tc>
        <w:tc>
          <w:tcPr>
            <w:tcW w:w="281" w:type="pct"/>
            <w:vAlign w:val="center"/>
          </w:tcPr>
          <w:p w14:paraId="3A2F7769"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4A04C18C"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3381FFDC"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1D417942"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73D5A6C0"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666B026B"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3248A7A7"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285470E9"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1EC6AAAA" w14:textId="77777777" w:rsidTr="007F6F0A">
        <w:trPr>
          <w:trHeight w:val="794"/>
        </w:trPr>
        <w:tc>
          <w:tcPr>
            <w:tcW w:w="149" w:type="pct"/>
            <w:shd w:val="clear" w:color="auto" w:fill="auto"/>
            <w:noWrap/>
            <w:vAlign w:val="center"/>
          </w:tcPr>
          <w:p w14:paraId="1F8E38C3" w14:textId="0A584770"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1.4</w:t>
            </w:r>
          </w:p>
        </w:tc>
        <w:tc>
          <w:tcPr>
            <w:tcW w:w="602" w:type="pct"/>
            <w:shd w:val="clear" w:color="auto" w:fill="auto"/>
            <w:vAlign w:val="center"/>
          </w:tcPr>
          <w:p w14:paraId="2E244D29" w14:textId="6BFB34E4"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Integracja</w:t>
            </w:r>
            <w:r w:rsidRPr="00CE5D9A">
              <w:rPr>
                <w:rFonts w:ascii="Times New Roman" w:eastAsia="Times New Roman" w:hAnsi="Times New Roman"/>
                <w:sz w:val="18"/>
                <w:szCs w:val="18"/>
                <w:lang w:eastAsia="pl-PL"/>
              </w:rPr>
              <w:br/>
              <w:t xml:space="preserve"> i wzmacnianie aktywności osób </w:t>
            </w:r>
            <w:r w:rsidRPr="00CE5D9A">
              <w:rPr>
                <w:rFonts w:ascii="Times New Roman" w:eastAsia="Times New Roman" w:hAnsi="Times New Roman"/>
                <w:sz w:val="18"/>
                <w:szCs w:val="18"/>
                <w:lang w:eastAsia="pl-PL"/>
              </w:rPr>
              <w:br/>
              <w:t xml:space="preserve">w niekorzystnej sytuacji – osoby </w:t>
            </w:r>
            <w:r w:rsidRPr="00CE5D9A">
              <w:rPr>
                <w:rFonts w:ascii="Times New Roman" w:eastAsia="Times New Roman" w:hAnsi="Times New Roman"/>
                <w:sz w:val="18"/>
                <w:szCs w:val="18"/>
                <w:lang w:eastAsia="pl-PL"/>
              </w:rPr>
              <w:br/>
              <w:t xml:space="preserve">z niepełnosprawnościami </w:t>
            </w:r>
            <w:r w:rsidRPr="00CE5D9A">
              <w:rPr>
                <w:rFonts w:ascii="Times New Roman" w:eastAsia="Times New Roman" w:hAnsi="Times New Roman"/>
                <w:sz w:val="18"/>
                <w:szCs w:val="18"/>
                <w:lang w:eastAsia="pl-PL"/>
              </w:rPr>
              <w:br/>
              <w:t>i ich opiekunowie</w:t>
            </w:r>
          </w:p>
        </w:tc>
        <w:tc>
          <w:tcPr>
            <w:tcW w:w="694" w:type="pct"/>
            <w:shd w:val="clear" w:color="000000" w:fill="FFFFFF"/>
            <w:vAlign w:val="center"/>
          </w:tcPr>
          <w:p w14:paraId="41B0D9D6"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 podjętych na rzecz integracji i wzmacniania aktywności osób w niekorzystnej sytuacji</w:t>
            </w:r>
          </w:p>
        </w:tc>
        <w:tc>
          <w:tcPr>
            <w:tcW w:w="279" w:type="pct"/>
            <w:vAlign w:val="center"/>
          </w:tcPr>
          <w:p w14:paraId="38A1CC9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3231D11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C2FF15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64B86F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A851661" w14:textId="77777777" w:rsidR="00893413" w:rsidRPr="00D36602" w:rsidRDefault="00893413" w:rsidP="005120B8">
            <w:pPr>
              <w:spacing w:after="0" w:line="240" w:lineRule="auto"/>
              <w:jc w:val="right"/>
              <w:rPr>
                <w:rFonts w:ascii="Times New Roman" w:eastAsia="Times New Roman" w:hAnsi="Times New Roman"/>
                <w:color w:val="FF0000"/>
                <w:sz w:val="18"/>
                <w:szCs w:val="18"/>
                <w:lang w:eastAsia="pl-PL"/>
              </w:rPr>
            </w:pPr>
            <w:r w:rsidRPr="00D36602">
              <w:rPr>
                <w:rFonts w:ascii="Times New Roman" w:eastAsia="Times New Roman" w:hAnsi="Times New Roman"/>
                <w:color w:val="FF0000"/>
                <w:sz w:val="18"/>
                <w:szCs w:val="18"/>
                <w:lang w:eastAsia="pl-PL"/>
              </w:rPr>
              <w:t>2</w:t>
            </w:r>
          </w:p>
        </w:tc>
        <w:tc>
          <w:tcPr>
            <w:tcW w:w="281" w:type="pct"/>
            <w:vAlign w:val="center"/>
          </w:tcPr>
          <w:p w14:paraId="0EB87BF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5678FF8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AEF085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3F1F39C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BF8A19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C5B37C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278A48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794D1FB7"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61B9065E" w14:textId="77777777" w:rsidTr="00AE0C43">
        <w:trPr>
          <w:trHeight w:val="858"/>
        </w:trPr>
        <w:tc>
          <w:tcPr>
            <w:tcW w:w="149" w:type="pct"/>
            <w:shd w:val="clear" w:color="auto" w:fill="auto"/>
            <w:noWrap/>
            <w:vAlign w:val="center"/>
          </w:tcPr>
          <w:p w14:paraId="468E06E9" w14:textId="553EE6CF"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1.5</w:t>
            </w:r>
          </w:p>
        </w:tc>
        <w:tc>
          <w:tcPr>
            <w:tcW w:w="602" w:type="pct"/>
            <w:shd w:val="clear" w:color="auto" w:fill="auto"/>
            <w:vAlign w:val="center"/>
          </w:tcPr>
          <w:p w14:paraId="51ABF99A" w14:textId="02ABB4AE"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Poznanie i zachowanie dziedzictwa kulturowego </w:t>
            </w:r>
            <w:r w:rsidRPr="00970EF5">
              <w:rPr>
                <w:rFonts w:ascii="Times New Roman" w:eastAsia="Times New Roman" w:hAnsi="Times New Roman"/>
                <w:strike/>
                <w:color w:val="FF0000"/>
                <w:sz w:val="18"/>
                <w:szCs w:val="18"/>
                <w:lang w:eastAsia="pl-PL"/>
              </w:rPr>
              <w:br/>
              <w:t>i naturalnego</w:t>
            </w:r>
          </w:p>
        </w:tc>
        <w:tc>
          <w:tcPr>
            <w:tcW w:w="694" w:type="pct"/>
            <w:shd w:val="clear" w:color="000000" w:fill="FFFFFF"/>
            <w:vAlign w:val="center"/>
          </w:tcPr>
          <w:p w14:paraId="4D93646F" w14:textId="77777777" w:rsidR="00893413" w:rsidRPr="00970EF5" w:rsidRDefault="00893413" w:rsidP="005120B8">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Liczba inicjatyw podjętych na rzecz poznania i zachowania dziedzictwa kulturowego i naturalnego</w:t>
            </w:r>
          </w:p>
        </w:tc>
        <w:tc>
          <w:tcPr>
            <w:tcW w:w="279" w:type="pct"/>
            <w:vAlign w:val="center"/>
          </w:tcPr>
          <w:p w14:paraId="2A80C7D9"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297F9B49"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1F7515FD"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69D955E9"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51C1C507"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6</w:t>
            </w:r>
          </w:p>
        </w:tc>
        <w:tc>
          <w:tcPr>
            <w:tcW w:w="281" w:type="pct"/>
            <w:vAlign w:val="center"/>
          </w:tcPr>
          <w:p w14:paraId="11B08147"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3B5C2B34"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59F23C63"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3D037B48"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499D406A"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30BCF262"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5BAB6534" w14:textId="77777777" w:rsidR="00893413" w:rsidRPr="00970EF5" w:rsidRDefault="00893413" w:rsidP="005120B8">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5956604B"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970EF5" w:rsidRPr="00CE5D9A" w14:paraId="75BFF18B" w14:textId="77777777" w:rsidTr="007F6F0A">
        <w:trPr>
          <w:trHeight w:val="794"/>
        </w:trPr>
        <w:tc>
          <w:tcPr>
            <w:tcW w:w="149" w:type="pct"/>
            <w:shd w:val="clear" w:color="auto" w:fill="auto"/>
            <w:noWrap/>
            <w:vAlign w:val="center"/>
          </w:tcPr>
          <w:p w14:paraId="055D66F1"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602" w:type="pct"/>
            <w:shd w:val="clear" w:color="auto" w:fill="auto"/>
            <w:vAlign w:val="center"/>
          </w:tcPr>
          <w:p w14:paraId="6B42CDF1" w14:textId="77777777" w:rsidR="00970EF5" w:rsidRPr="00CE5D9A" w:rsidRDefault="00970EF5" w:rsidP="005120B8">
            <w:pPr>
              <w:spacing w:after="0" w:line="240" w:lineRule="auto"/>
              <w:jc w:val="center"/>
              <w:rPr>
                <w:rFonts w:ascii="Times New Roman" w:eastAsia="Times New Roman" w:hAnsi="Times New Roman"/>
                <w:sz w:val="18"/>
                <w:szCs w:val="18"/>
                <w:lang w:eastAsia="pl-PL"/>
              </w:rPr>
            </w:pPr>
          </w:p>
        </w:tc>
        <w:tc>
          <w:tcPr>
            <w:tcW w:w="694" w:type="pct"/>
            <w:shd w:val="clear" w:color="000000" w:fill="FFFFFF"/>
            <w:vAlign w:val="center"/>
          </w:tcPr>
          <w:p w14:paraId="7CE37EB3" w14:textId="77777777" w:rsidR="00970EF5" w:rsidRPr="00CE5D9A" w:rsidRDefault="00970EF5" w:rsidP="005120B8">
            <w:pPr>
              <w:spacing w:after="0" w:line="240" w:lineRule="auto"/>
              <w:jc w:val="center"/>
              <w:rPr>
                <w:rFonts w:ascii="Times New Roman" w:eastAsia="Times New Roman" w:hAnsi="Times New Roman"/>
                <w:sz w:val="18"/>
                <w:szCs w:val="18"/>
                <w:lang w:eastAsia="pl-PL"/>
              </w:rPr>
            </w:pPr>
          </w:p>
        </w:tc>
        <w:tc>
          <w:tcPr>
            <w:tcW w:w="279" w:type="pct"/>
            <w:vAlign w:val="center"/>
          </w:tcPr>
          <w:p w14:paraId="3E808573"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1" w:type="pct"/>
            <w:vAlign w:val="center"/>
          </w:tcPr>
          <w:p w14:paraId="638C6052"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1B5817F0"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1" w:type="pct"/>
            <w:vAlign w:val="center"/>
          </w:tcPr>
          <w:p w14:paraId="1D9B061E"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5F465BA7" w14:textId="77777777" w:rsidR="00970EF5" w:rsidRPr="00D36602" w:rsidRDefault="00970EF5" w:rsidP="005120B8">
            <w:pPr>
              <w:spacing w:after="0" w:line="240" w:lineRule="auto"/>
              <w:jc w:val="right"/>
              <w:rPr>
                <w:rFonts w:ascii="Times New Roman" w:eastAsia="Times New Roman" w:hAnsi="Times New Roman"/>
                <w:color w:val="FF0000"/>
                <w:sz w:val="18"/>
                <w:szCs w:val="18"/>
                <w:lang w:eastAsia="pl-PL"/>
              </w:rPr>
            </w:pPr>
          </w:p>
        </w:tc>
        <w:tc>
          <w:tcPr>
            <w:tcW w:w="281" w:type="pct"/>
            <w:vAlign w:val="center"/>
          </w:tcPr>
          <w:p w14:paraId="2936FCB2"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95" w:type="pct"/>
            <w:vAlign w:val="center"/>
          </w:tcPr>
          <w:p w14:paraId="3D890923"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4D3060B3"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53FA9CD3"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2" w:type="pct"/>
            <w:vAlign w:val="center"/>
          </w:tcPr>
          <w:p w14:paraId="505F36C6"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6FC527E3"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282" w:type="pct"/>
            <w:vAlign w:val="center"/>
          </w:tcPr>
          <w:p w14:paraId="7998271F" w14:textId="77777777" w:rsidR="00970EF5" w:rsidRPr="00CE5D9A" w:rsidRDefault="00970EF5" w:rsidP="005120B8">
            <w:pPr>
              <w:spacing w:after="0" w:line="240" w:lineRule="auto"/>
              <w:jc w:val="right"/>
              <w:rPr>
                <w:rFonts w:ascii="Times New Roman" w:eastAsia="Times New Roman" w:hAnsi="Times New Roman"/>
                <w:sz w:val="18"/>
                <w:szCs w:val="18"/>
                <w:lang w:eastAsia="pl-PL"/>
              </w:rPr>
            </w:pPr>
          </w:p>
        </w:tc>
        <w:tc>
          <w:tcPr>
            <w:tcW w:w="174" w:type="pct"/>
            <w:vMerge/>
            <w:vAlign w:val="center"/>
          </w:tcPr>
          <w:p w14:paraId="5D21D39C" w14:textId="77777777" w:rsidR="00970EF5" w:rsidRPr="00CE5D9A" w:rsidRDefault="00970EF5" w:rsidP="005120B8">
            <w:pPr>
              <w:spacing w:after="0" w:line="240" w:lineRule="auto"/>
              <w:rPr>
                <w:rFonts w:ascii="Times New Roman" w:eastAsia="Times New Roman" w:hAnsi="Times New Roman"/>
                <w:sz w:val="18"/>
                <w:szCs w:val="18"/>
                <w:lang w:eastAsia="pl-PL"/>
              </w:rPr>
            </w:pPr>
          </w:p>
        </w:tc>
      </w:tr>
      <w:tr w:rsidR="00893413" w:rsidRPr="00CE5D9A" w14:paraId="38995EF9" w14:textId="77777777" w:rsidTr="007F6F0A">
        <w:trPr>
          <w:trHeight w:val="794"/>
        </w:trPr>
        <w:tc>
          <w:tcPr>
            <w:tcW w:w="149" w:type="pct"/>
            <w:shd w:val="clear" w:color="auto" w:fill="auto"/>
            <w:noWrap/>
            <w:vAlign w:val="center"/>
          </w:tcPr>
          <w:p w14:paraId="12363E49" w14:textId="6542CDF8"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1.6</w:t>
            </w:r>
          </w:p>
        </w:tc>
        <w:tc>
          <w:tcPr>
            <w:tcW w:w="602" w:type="pct"/>
            <w:shd w:val="clear" w:color="auto" w:fill="auto"/>
            <w:vAlign w:val="center"/>
          </w:tcPr>
          <w:p w14:paraId="46002CD8" w14:textId="633E4922"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Włączenia cyfrowe </w:t>
            </w:r>
            <w:r w:rsidRPr="00CE5D9A">
              <w:rPr>
                <w:rFonts w:ascii="Times New Roman" w:eastAsia="Times New Roman" w:hAnsi="Times New Roman"/>
                <w:sz w:val="18"/>
                <w:szCs w:val="18"/>
                <w:lang w:eastAsia="pl-PL"/>
              </w:rPr>
              <w:br/>
              <w:t xml:space="preserve">i aktywizacja </w:t>
            </w:r>
          </w:p>
        </w:tc>
        <w:tc>
          <w:tcPr>
            <w:tcW w:w="694" w:type="pct"/>
            <w:shd w:val="clear" w:color="000000" w:fill="FFFFFF"/>
            <w:vAlign w:val="center"/>
          </w:tcPr>
          <w:p w14:paraId="0FC52866"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 na rzecz włączenia cyfrowego i aktywizacji</w:t>
            </w:r>
          </w:p>
        </w:tc>
        <w:tc>
          <w:tcPr>
            <w:tcW w:w="279" w:type="pct"/>
            <w:vAlign w:val="center"/>
          </w:tcPr>
          <w:p w14:paraId="19AB80F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37E2D4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A9C28E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3DA088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E85D804" w14:textId="77777777" w:rsidR="00893413" w:rsidRPr="00D36602" w:rsidRDefault="00893413" w:rsidP="005120B8">
            <w:pPr>
              <w:spacing w:after="0" w:line="240" w:lineRule="auto"/>
              <w:jc w:val="right"/>
              <w:rPr>
                <w:rFonts w:ascii="Times New Roman" w:eastAsia="Times New Roman" w:hAnsi="Times New Roman"/>
                <w:color w:val="FF0000"/>
                <w:sz w:val="18"/>
                <w:szCs w:val="18"/>
                <w:lang w:eastAsia="pl-PL"/>
              </w:rPr>
            </w:pPr>
            <w:r w:rsidRPr="00D36602">
              <w:rPr>
                <w:rFonts w:ascii="Times New Roman" w:eastAsia="Times New Roman" w:hAnsi="Times New Roman"/>
                <w:color w:val="FF0000"/>
                <w:sz w:val="18"/>
                <w:szCs w:val="18"/>
                <w:lang w:eastAsia="pl-PL"/>
              </w:rPr>
              <w:t>6</w:t>
            </w:r>
          </w:p>
        </w:tc>
        <w:tc>
          <w:tcPr>
            <w:tcW w:w="281" w:type="pct"/>
            <w:vAlign w:val="center"/>
          </w:tcPr>
          <w:p w14:paraId="1FBCFB6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3005724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BFD57F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1259B7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AC914A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F2ABD0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5A3D99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9DF5A55"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1183FAD7" w14:textId="77777777" w:rsidTr="007F6F0A">
        <w:trPr>
          <w:trHeight w:val="794"/>
        </w:trPr>
        <w:tc>
          <w:tcPr>
            <w:tcW w:w="149" w:type="pct"/>
            <w:shd w:val="clear" w:color="auto" w:fill="auto"/>
            <w:noWrap/>
            <w:vAlign w:val="center"/>
          </w:tcPr>
          <w:p w14:paraId="6EDD461A" w14:textId="4634B5AB"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lastRenderedPageBreak/>
              <w:t>1.7</w:t>
            </w:r>
          </w:p>
        </w:tc>
        <w:tc>
          <w:tcPr>
            <w:tcW w:w="602" w:type="pct"/>
            <w:shd w:val="clear" w:color="auto" w:fill="auto"/>
            <w:vAlign w:val="center"/>
          </w:tcPr>
          <w:p w14:paraId="39D756DF" w14:textId="7E6A69C1"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Zwiększenie oferty spędzania czasu wolnego wykorzystującej dziedzictwo naturalne i/lub kulturowe w ramach realizowanych działań, w tym wynikających z Koncepcji Smart Village </w:t>
            </w:r>
          </w:p>
        </w:tc>
        <w:tc>
          <w:tcPr>
            <w:tcW w:w="694" w:type="pct"/>
            <w:shd w:val="clear" w:color="000000" w:fill="FFFFFF"/>
            <w:vAlign w:val="center"/>
          </w:tcPr>
          <w:p w14:paraId="152C7391"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 na rzecz rozwoju i zagospodarowania czasu wolnego</w:t>
            </w:r>
          </w:p>
        </w:tc>
        <w:tc>
          <w:tcPr>
            <w:tcW w:w="279" w:type="pct"/>
            <w:vAlign w:val="center"/>
          </w:tcPr>
          <w:p w14:paraId="655A513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4EBDA5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724307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281" w:type="pct"/>
            <w:vAlign w:val="center"/>
          </w:tcPr>
          <w:p w14:paraId="4265396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057DFF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0638AFE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47C0CCD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A8030F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32E38F8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F0539E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68B3E4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6E181E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1440B59D"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3AD3BFF8" w14:textId="77777777" w:rsidTr="007F6F0A">
        <w:trPr>
          <w:trHeight w:val="794"/>
        </w:trPr>
        <w:tc>
          <w:tcPr>
            <w:tcW w:w="149" w:type="pct"/>
            <w:shd w:val="clear" w:color="auto" w:fill="auto"/>
            <w:noWrap/>
            <w:vAlign w:val="center"/>
          </w:tcPr>
          <w:p w14:paraId="0F3AC36E" w14:textId="43021715" w:rsidR="00893413" w:rsidRPr="00CE5D9A" w:rsidRDefault="00893413" w:rsidP="0089341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w:t>
            </w:r>
          </w:p>
        </w:tc>
        <w:tc>
          <w:tcPr>
            <w:tcW w:w="602" w:type="pct"/>
            <w:shd w:val="clear" w:color="auto" w:fill="auto"/>
            <w:vAlign w:val="center"/>
          </w:tcPr>
          <w:p w14:paraId="5C6804B6" w14:textId="5BAF13B0"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Kojarzenie partnerów </w:t>
            </w:r>
            <w:r w:rsidRPr="00CE5D9A">
              <w:rPr>
                <w:rFonts w:ascii="Times New Roman" w:eastAsia="Times New Roman" w:hAnsi="Times New Roman"/>
                <w:sz w:val="18"/>
                <w:szCs w:val="18"/>
                <w:lang w:eastAsia="pl-PL"/>
              </w:rPr>
              <w:br/>
              <w:t>i animowanie do realizacji wspólnych projektów, w tym przygotowanie do wdrożenia idei Smart Villages</w:t>
            </w:r>
          </w:p>
        </w:tc>
        <w:tc>
          <w:tcPr>
            <w:tcW w:w="694" w:type="pct"/>
            <w:shd w:val="clear" w:color="000000" w:fill="FFFFFF"/>
            <w:vAlign w:val="center"/>
          </w:tcPr>
          <w:p w14:paraId="1D89AB56"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w:t>
            </w:r>
          </w:p>
        </w:tc>
        <w:tc>
          <w:tcPr>
            <w:tcW w:w="279" w:type="pct"/>
            <w:vAlign w:val="center"/>
          </w:tcPr>
          <w:p w14:paraId="457EC75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BB1A72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96546A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D5427D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08965A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w:t>
            </w:r>
          </w:p>
        </w:tc>
        <w:tc>
          <w:tcPr>
            <w:tcW w:w="281" w:type="pct"/>
            <w:vAlign w:val="center"/>
          </w:tcPr>
          <w:p w14:paraId="720CBB5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6D7CAB8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2CC9A6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E4D3FB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491E31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BC299A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38CF4B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01948C37"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2A0A95D1" w14:textId="77777777" w:rsidTr="007F6F0A">
        <w:trPr>
          <w:trHeight w:val="794"/>
        </w:trPr>
        <w:tc>
          <w:tcPr>
            <w:tcW w:w="149" w:type="pct"/>
            <w:shd w:val="clear" w:color="auto" w:fill="auto"/>
            <w:noWrap/>
            <w:vAlign w:val="center"/>
          </w:tcPr>
          <w:p w14:paraId="36B00A17" w14:textId="35EE9CD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1.9</w:t>
            </w:r>
          </w:p>
        </w:tc>
        <w:tc>
          <w:tcPr>
            <w:tcW w:w="602" w:type="pct"/>
            <w:shd w:val="clear" w:color="auto" w:fill="auto"/>
            <w:vAlign w:val="center"/>
          </w:tcPr>
          <w:p w14:paraId="1A7FE5E1" w14:textId="36295AC9"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Opracowanie Koncepcji Smart Village – inteligentnej wsi </w:t>
            </w:r>
          </w:p>
        </w:tc>
        <w:tc>
          <w:tcPr>
            <w:tcW w:w="694" w:type="pct"/>
            <w:shd w:val="clear" w:color="000000" w:fill="FFFFFF"/>
            <w:vAlign w:val="center"/>
          </w:tcPr>
          <w:p w14:paraId="37A2B431" w14:textId="08609AF2"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w:t>
            </w:r>
          </w:p>
        </w:tc>
        <w:tc>
          <w:tcPr>
            <w:tcW w:w="279" w:type="pct"/>
            <w:vAlign w:val="center"/>
          </w:tcPr>
          <w:p w14:paraId="77E79244" w14:textId="1447E592"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09E32C13" w14:textId="78DD29DA"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B1E81A2" w14:textId="2C33A3C0"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5</w:t>
            </w:r>
          </w:p>
        </w:tc>
        <w:tc>
          <w:tcPr>
            <w:tcW w:w="281" w:type="pct"/>
            <w:vAlign w:val="center"/>
          </w:tcPr>
          <w:p w14:paraId="0C600E8E" w14:textId="50CAE8E5"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C1B03DF" w14:textId="3B0678B8"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3707B40" w14:textId="331EE198"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5D34F5AE" w14:textId="2565190F"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3C1ED3A" w14:textId="7E84BD52"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1B69BD1" w14:textId="6A480BD2"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65848148" w14:textId="76778506"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76097A0" w14:textId="125FCC94"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FA5A14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174" w:type="pct"/>
            <w:vMerge/>
            <w:vAlign w:val="center"/>
          </w:tcPr>
          <w:p w14:paraId="50280311"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5C2DE6EF" w14:textId="77777777" w:rsidTr="007F6F0A">
        <w:trPr>
          <w:trHeight w:val="794"/>
        </w:trPr>
        <w:tc>
          <w:tcPr>
            <w:tcW w:w="149" w:type="pct"/>
            <w:shd w:val="clear" w:color="auto" w:fill="auto"/>
            <w:noWrap/>
            <w:vAlign w:val="center"/>
          </w:tcPr>
          <w:p w14:paraId="68786A74" w14:textId="11E547BA"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1.10</w:t>
            </w:r>
          </w:p>
        </w:tc>
        <w:tc>
          <w:tcPr>
            <w:tcW w:w="602" w:type="pct"/>
            <w:shd w:val="clear" w:color="auto" w:fill="auto"/>
            <w:vAlign w:val="center"/>
          </w:tcPr>
          <w:p w14:paraId="6E98D5E1" w14:textId="0AD795E3"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Podejmowanie działalności gospodarczej</w:t>
            </w:r>
          </w:p>
        </w:tc>
        <w:tc>
          <w:tcPr>
            <w:tcW w:w="694" w:type="pct"/>
            <w:shd w:val="clear" w:color="000000" w:fill="FFFFFF"/>
            <w:vAlign w:val="center"/>
          </w:tcPr>
          <w:p w14:paraId="78520E99"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Liczba nowych działalności gospodarczych </w:t>
            </w:r>
          </w:p>
        </w:tc>
        <w:tc>
          <w:tcPr>
            <w:tcW w:w="279" w:type="pct"/>
            <w:vAlign w:val="center"/>
          </w:tcPr>
          <w:p w14:paraId="7F06F92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990DA2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50D0E2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281" w:type="pct"/>
            <w:vAlign w:val="center"/>
          </w:tcPr>
          <w:p w14:paraId="70E5237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18F887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A741D0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738A1B1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43E05C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A7003E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652644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1DDA37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6ED5553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0931F26D"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7EAA1BAA" w14:textId="77777777" w:rsidTr="007F6F0A">
        <w:trPr>
          <w:trHeight w:val="794"/>
        </w:trPr>
        <w:tc>
          <w:tcPr>
            <w:tcW w:w="149" w:type="pct"/>
            <w:shd w:val="clear" w:color="auto" w:fill="auto"/>
            <w:noWrap/>
            <w:vAlign w:val="center"/>
          </w:tcPr>
          <w:p w14:paraId="68014686" w14:textId="43A23D2C"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1.11</w:t>
            </w:r>
          </w:p>
        </w:tc>
        <w:tc>
          <w:tcPr>
            <w:tcW w:w="602" w:type="pct"/>
            <w:shd w:val="clear" w:color="auto" w:fill="auto"/>
            <w:vAlign w:val="center"/>
          </w:tcPr>
          <w:p w14:paraId="13FB6B82" w14:textId="4244DF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działalności gospodarczej</w:t>
            </w:r>
          </w:p>
        </w:tc>
        <w:tc>
          <w:tcPr>
            <w:tcW w:w="694" w:type="pct"/>
            <w:shd w:val="clear" w:color="000000" w:fill="FFFFFF"/>
            <w:vAlign w:val="center"/>
          </w:tcPr>
          <w:p w14:paraId="2F581220"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rozwijanych działalności gospodarczych</w:t>
            </w:r>
          </w:p>
        </w:tc>
        <w:tc>
          <w:tcPr>
            <w:tcW w:w="279" w:type="pct"/>
            <w:vAlign w:val="center"/>
          </w:tcPr>
          <w:p w14:paraId="60BC1C6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B9B9AC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B8C9C1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w:t>
            </w:r>
          </w:p>
        </w:tc>
        <w:tc>
          <w:tcPr>
            <w:tcW w:w="281" w:type="pct"/>
            <w:vAlign w:val="center"/>
          </w:tcPr>
          <w:p w14:paraId="2C4C8D6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FDA402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2DAE7F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6300B3A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2CF838B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9A4059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478490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596681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623E5F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5A3A03A1"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1A120CC8" w14:textId="77777777" w:rsidTr="007F6F0A">
        <w:trPr>
          <w:trHeight w:val="794"/>
        </w:trPr>
        <w:tc>
          <w:tcPr>
            <w:tcW w:w="149" w:type="pct"/>
            <w:shd w:val="clear" w:color="auto" w:fill="auto"/>
            <w:noWrap/>
            <w:vAlign w:val="center"/>
          </w:tcPr>
          <w:p w14:paraId="5EF44357" w14:textId="6959B3DD"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1.12</w:t>
            </w:r>
          </w:p>
        </w:tc>
        <w:tc>
          <w:tcPr>
            <w:tcW w:w="602" w:type="pct"/>
            <w:shd w:val="clear" w:color="auto" w:fill="auto"/>
            <w:vAlign w:val="center"/>
          </w:tcPr>
          <w:p w14:paraId="5BC840BD" w14:textId="42448C79"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Utworzenie lub rozwój gospodarstwa agroturystycznego</w:t>
            </w:r>
          </w:p>
        </w:tc>
        <w:tc>
          <w:tcPr>
            <w:tcW w:w="694" w:type="pct"/>
            <w:shd w:val="clear" w:color="000000" w:fill="FFFFFF"/>
            <w:vAlign w:val="center"/>
          </w:tcPr>
          <w:p w14:paraId="2C686E39"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nowych ofert zagospodarowania czasu wolnego</w:t>
            </w:r>
          </w:p>
        </w:tc>
        <w:tc>
          <w:tcPr>
            <w:tcW w:w="279" w:type="pct"/>
            <w:vAlign w:val="center"/>
          </w:tcPr>
          <w:p w14:paraId="3D59593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7BFC0D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2568EC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DAFBCA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9E66A5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vAlign w:val="center"/>
          </w:tcPr>
          <w:p w14:paraId="478AFB4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39D7956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E8CA2B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144ADC5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6F490C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3F624C6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91AC54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530FA3F7"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4B59BD76" w14:textId="77777777" w:rsidTr="007F6F0A">
        <w:trPr>
          <w:trHeight w:val="794"/>
        </w:trPr>
        <w:tc>
          <w:tcPr>
            <w:tcW w:w="149" w:type="pct"/>
            <w:shd w:val="clear" w:color="auto" w:fill="auto"/>
            <w:noWrap/>
            <w:vAlign w:val="center"/>
          </w:tcPr>
          <w:p w14:paraId="41810429" w14:textId="3771019A"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1.13</w:t>
            </w:r>
          </w:p>
        </w:tc>
        <w:tc>
          <w:tcPr>
            <w:tcW w:w="602" w:type="pct"/>
            <w:shd w:val="clear" w:color="auto" w:fill="auto"/>
            <w:vAlign w:val="center"/>
          </w:tcPr>
          <w:p w14:paraId="0D8978E2" w14:textId="26947682"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Utworzenia lub rozwój zagrody edukacyjnej</w:t>
            </w:r>
          </w:p>
        </w:tc>
        <w:tc>
          <w:tcPr>
            <w:tcW w:w="694" w:type="pct"/>
            <w:shd w:val="clear" w:color="000000" w:fill="FFFFFF"/>
            <w:vAlign w:val="center"/>
          </w:tcPr>
          <w:p w14:paraId="6DEF1D5D"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nowych ofert zagospodarowania czasu wolnego</w:t>
            </w:r>
          </w:p>
        </w:tc>
        <w:tc>
          <w:tcPr>
            <w:tcW w:w="279" w:type="pct"/>
            <w:vAlign w:val="center"/>
          </w:tcPr>
          <w:p w14:paraId="0946598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AE509F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FBC7A4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CAD156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71B994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vAlign w:val="center"/>
          </w:tcPr>
          <w:p w14:paraId="48D4898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1CAD754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579388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67B5A8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54DD18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56CF18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F79AF3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5A42AFA9"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7B901AF8" w14:textId="77777777" w:rsidTr="007F6F0A">
        <w:trPr>
          <w:trHeight w:val="794"/>
        </w:trPr>
        <w:tc>
          <w:tcPr>
            <w:tcW w:w="149" w:type="pct"/>
            <w:noWrap/>
            <w:vAlign w:val="center"/>
          </w:tcPr>
          <w:p w14:paraId="4CC63441" w14:textId="3E90939C"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hAnsi="Times New Roman"/>
                <w:sz w:val="18"/>
                <w:szCs w:val="18"/>
              </w:rPr>
              <w:t>1.14</w:t>
            </w:r>
          </w:p>
        </w:tc>
        <w:tc>
          <w:tcPr>
            <w:tcW w:w="602" w:type="pct"/>
            <w:vAlign w:val="center"/>
          </w:tcPr>
          <w:p w14:paraId="6ACF7A07" w14:textId="2D01DF90"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kultury, dziedzictwa kulturowego i turystyki (FEM EFRR)</w:t>
            </w:r>
          </w:p>
        </w:tc>
        <w:tc>
          <w:tcPr>
            <w:tcW w:w="694" w:type="pct"/>
            <w:vAlign w:val="center"/>
          </w:tcPr>
          <w:p w14:paraId="34894545"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RCO 77 – liczba obiektów kulturalnych i turystycznych objętych wsparciem</w:t>
            </w:r>
          </w:p>
        </w:tc>
        <w:tc>
          <w:tcPr>
            <w:tcW w:w="279" w:type="pct"/>
            <w:vAlign w:val="center"/>
          </w:tcPr>
          <w:p w14:paraId="1133431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76A230E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73A324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EA7C87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25C1CAE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281" w:type="pct"/>
            <w:vAlign w:val="center"/>
          </w:tcPr>
          <w:p w14:paraId="1690F12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51814A9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816D39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EBF970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710CAB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A3DC80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F2F0CC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0B093703"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FEM</w:t>
            </w:r>
          </w:p>
        </w:tc>
      </w:tr>
      <w:tr w:rsidR="00893413" w:rsidRPr="00CE5D9A" w14:paraId="4547BF21" w14:textId="77777777" w:rsidTr="007F6F0A">
        <w:trPr>
          <w:trHeight w:val="794"/>
        </w:trPr>
        <w:tc>
          <w:tcPr>
            <w:tcW w:w="149" w:type="pct"/>
            <w:vMerge w:val="restart"/>
            <w:noWrap/>
            <w:vAlign w:val="center"/>
          </w:tcPr>
          <w:p w14:paraId="626794BA" w14:textId="742B5048"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1.15</w:t>
            </w:r>
          </w:p>
        </w:tc>
        <w:tc>
          <w:tcPr>
            <w:tcW w:w="602" w:type="pct"/>
            <w:vMerge w:val="restart"/>
            <w:vAlign w:val="center"/>
          </w:tcPr>
          <w:p w14:paraId="3AC18E7E" w14:textId="2A9F46E1"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Wspieranie oddolnych inicjatyw na rzecz aktywnego włączenia społecznego (FEM EFS+)</w:t>
            </w:r>
          </w:p>
        </w:tc>
        <w:tc>
          <w:tcPr>
            <w:tcW w:w="694" w:type="pct"/>
            <w:vAlign w:val="center"/>
          </w:tcPr>
          <w:p w14:paraId="2E845955"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PLKCO02 – liczba osób objętych usługami świadczonymi w społeczności lokalnej w programie</w:t>
            </w:r>
          </w:p>
        </w:tc>
        <w:tc>
          <w:tcPr>
            <w:tcW w:w="279" w:type="pct"/>
            <w:vAlign w:val="center"/>
          </w:tcPr>
          <w:p w14:paraId="2663D86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F7124E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2A0C08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3C07C1E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0A5BAB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180</w:t>
            </w:r>
          </w:p>
        </w:tc>
        <w:tc>
          <w:tcPr>
            <w:tcW w:w="281" w:type="pct"/>
            <w:vAlign w:val="center"/>
          </w:tcPr>
          <w:p w14:paraId="40F8E07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26C8E55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414055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F1DAB4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0419AD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FDEEDB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652991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39C7E923"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5120B8" w:rsidRPr="00CE5D9A" w14:paraId="5DAE0F4F" w14:textId="77777777" w:rsidTr="007F6F0A">
        <w:trPr>
          <w:trHeight w:val="794"/>
        </w:trPr>
        <w:tc>
          <w:tcPr>
            <w:tcW w:w="149" w:type="pct"/>
            <w:vMerge/>
            <w:vAlign w:val="center"/>
          </w:tcPr>
          <w:p w14:paraId="6C7C1F8A" w14:textId="77777777" w:rsidR="005120B8" w:rsidRPr="00CE5D9A" w:rsidRDefault="005120B8" w:rsidP="005120B8">
            <w:pPr>
              <w:spacing w:after="0" w:line="240" w:lineRule="auto"/>
              <w:rPr>
                <w:rFonts w:ascii="Times New Roman" w:eastAsia="Times New Roman" w:hAnsi="Times New Roman"/>
                <w:sz w:val="16"/>
                <w:szCs w:val="16"/>
                <w:lang w:eastAsia="pl-PL"/>
              </w:rPr>
            </w:pPr>
          </w:p>
        </w:tc>
        <w:tc>
          <w:tcPr>
            <w:tcW w:w="602" w:type="pct"/>
            <w:vMerge/>
            <w:vAlign w:val="center"/>
          </w:tcPr>
          <w:p w14:paraId="70D2E711" w14:textId="77777777" w:rsidR="005120B8" w:rsidRPr="00CE5D9A" w:rsidRDefault="005120B8" w:rsidP="005120B8">
            <w:pPr>
              <w:spacing w:after="0" w:line="240" w:lineRule="auto"/>
              <w:rPr>
                <w:rFonts w:ascii="Times New Roman" w:eastAsia="Times New Roman" w:hAnsi="Times New Roman"/>
                <w:sz w:val="16"/>
                <w:szCs w:val="16"/>
                <w:lang w:eastAsia="pl-PL"/>
              </w:rPr>
            </w:pPr>
          </w:p>
        </w:tc>
        <w:tc>
          <w:tcPr>
            <w:tcW w:w="694" w:type="pct"/>
            <w:vAlign w:val="center"/>
          </w:tcPr>
          <w:p w14:paraId="65F773C8" w14:textId="77777777" w:rsidR="005120B8" w:rsidRPr="00CE5D9A" w:rsidRDefault="005120B8"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PLKCO03 – liczba opiekunów faktycznych/nieformalnych objętych wsparciem </w:t>
            </w:r>
            <w:r w:rsidRPr="00CE5D9A">
              <w:rPr>
                <w:rFonts w:ascii="Times New Roman" w:eastAsia="Times New Roman" w:hAnsi="Times New Roman"/>
                <w:sz w:val="18"/>
                <w:szCs w:val="18"/>
                <w:lang w:eastAsia="pl-PL"/>
              </w:rPr>
              <w:br/>
              <w:t>w programie</w:t>
            </w:r>
          </w:p>
        </w:tc>
        <w:tc>
          <w:tcPr>
            <w:tcW w:w="279" w:type="pct"/>
            <w:vAlign w:val="center"/>
          </w:tcPr>
          <w:p w14:paraId="61219C31"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171EA27"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A30B8A6"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A28BA61"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78301AB"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w:t>
            </w:r>
          </w:p>
        </w:tc>
        <w:tc>
          <w:tcPr>
            <w:tcW w:w="281" w:type="pct"/>
            <w:vAlign w:val="center"/>
          </w:tcPr>
          <w:p w14:paraId="37E3BC36"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36B83B36"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4C4470E"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8E6C605"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84770CE"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7BF5127"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198EF21" w14:textId="77777777" w:rsidR="005120B8" w:rsidRPr="00CE5D9A" w:rsidRDefault="005120B8"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731A9409" w14:textId="77777777" w:rsidR="005120B8" w:rsidRPr="00CE5D9A" w:rsidRDefault="005120B8" w:rsidP="005120B8">
            <w:pPr>
              <w:spacing w:after="0" w:line="240" w:lineRule="auto"/>
              <w:rPr>
                <w:rFonts w:ascii="Times New Roman" w:eastAsia="Times New Roman" w:hAnsi="Times New Roman"/>
                <w:sz w:val="18"/>
                <w:szCs w:val="18"/>
                <w:lang w:eastAsia="pl-PL"/>
              </w:rPr>
            </w:pPr>
          </w:p>
        </w:tc>
      </w:tr>
      <w:tr w:rsidR="00893413" w:rsidRPr="00CE5D9A" w14:paraId="3579D84E" w14:textId="77777777" w:rsidTr="007F6F0A">
        <w:trPr>
          <w:trHeight w:val="794"/>
        </w:trPr>
        <w:tc>
          <w:tcPr>
            <w:tcW w:w="751" w:type="pct"/>
            <w:gridSpan w:val="2"/>
            <w:shd w:val="clear" w:color="auto" w:fill="auto"/>
            <w:vAlign w:val="center"/>
          </w:tcPr>
          <w:p w14:paraId="798E3538"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1.1</w:t>
            </w:r>
          </w:p>
        </w:tc>
        <w:tc>
          <w:tcPr>
            <w:tcW w:w="694" w:type="pct"/>
            <w:shd w:val="clear" w:color="000000" w:fill="FFFFFF"/>
            <w:vAlign w:val="center"/>
          </w:tcPr>
          <w:p w14:paraId="5F9C9848"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R.37 Wzrost gospodarczy </w:t>
            </w:r>
            <w:r w:rsidRPr="00CE5D9A">
              <w:rPr>
                <w:rFonts w:ascii="Times New Roman" w:eastAsia="Times New Roman" w:hAnsi="Times New Roman"/>
                <w:sz w:val="18"/>
                <w:szCs w:val="18"/>
                <w:lang w:eastAsia="pl-PL"/>
              </w:rPr>
              <w:br/>
              <w:t>i zatrudnienie na obszarach wiejskich</w:t>
            </w:r>
          </w:p>
        </w:tc>
        <w:tc>
          <w:tcPr>
            <w:tcW w:w="279" w:type="pct"/>
            <w:shd w:val="clear" w:color="auto" w:fill="auto"/>
            <w:vAlign w:val="center"/>
          </w:tcPr>
          <w:p w14:paraId="158AF49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0ED56CE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2CBF373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w:t>
            </w:r>
          </w:p>
        </w:tc>
        <w:tc>
          <w:tcPr>
            <w:tcW w:w="281" w:type="pct"/>
            <w:shd w:val="clear" w:color="000000" w:fill="D9D9D9"/>
            <w:vAlign w:val="center"/>
          </w:tcPr>
          <w:p w14:paraId="3EB6821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AA973E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51D09D6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4B32E6F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7AD338D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438894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57F6C49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30E12C0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963BBF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122F23B7"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PS WPR</w:t>
            </w:r>
          </w:p>
        </w:tc>
      </w:tr>
      <w:tr w:rsidR="00893413" w:rsidRPr="00CE5D9A" w14:paraId="3E36ECB3" w14:textId="77777777" w:rsidTr="007F6F0A">
        <w:trPr>
          <w:trHeight w:val="794"/>
        </w:trPr>
        <w:tc>
          <w:tcPr>
            <w:tcW w:w="751" w:type="pct"/>
            <w:gridSpan w:val="2"/>
            <w:shd w:val="clear" w:color="auto" w:fill="auto"/>
            <w:vAlign w:val="center"/>
          </w:tcPr>
          <w:p w14:paraId="1E6C045A"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1.2</w:t>
            </w:r>
          </w:p>
        </w:tc>
        <w:tc>
          <w:tcPr>
            <w:tcW w:w="694" w:type="pct"/>
            <w:shd w:val="clear" w:color="000000" w:fill="FFFFFF"/>
            <w:vAlign w:val="center"/>
          </w:tcPr>
          <w:p w14:paraId="30EFA645"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R.41PR Łączenie obszarów wiejskich w Europie</w:t>
            </w:r>
          </w:p>
        </w:tc>
        <w:tc>
          <w:tcPr>
            <w:tcW w:w="279" w:type="pct"/>
            <w:shd w:val="clear" w:color="auto" w:fill="auto"/>
            <w:vAlign w:val="center"/>
          </w:tcPr>
          <w:p w14:paraId="74CA7A0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16B8845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FBA963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8 300</w:t>
            </w:r>
          </w:p>
        </w:tc>
        <w:tc>
          <w:tcPr>
            <w:tcW w:w="281" w:type="pct"/>
            <w:shd w:val="clear" w:color="000000" w:fill="D9D9D9"/>
            <w:vAlign w:val="center"/>
          </w:tcPr>
          <w:p w14:paraId="742178D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4324FD0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7 000</w:t>
            </w:r>
          </w:p>
        </w:tc>
        <w:tc>
          <w:tcPr>
            <w:tcW w:w="281" w:type="pct"/>
            <w:shd w:val="clear" w:color="000000" w:fill="D9D9D9"/>
            <w:vAlign w:val="center"/>
          </w:tcPr>
          <w:p w14:paraId="7D0B252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2F9CDA1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2F67F36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41F0CB9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4DBE792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1F39BFB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57C38A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099542F8"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p>
        </w:tc>
      </w:tr>
      <w:tr w:rsidR="00893413" w:rsidRPr="00CE5D9A" w14:paraId="6120119B" w14:textId="77777777" w:rsidTr="007F6F0A">
        <w:trPr>
          <w:trHeight w:val="794"/>
        </w:trPr>
        <w:tc>
          <w:tcPr>
            <w:tcW w:w="751" w:type="pct"/>
            <w:gridSpan w:val="2"/>
            <w:shd w:val="clear" w:color="auto" w:fill="auto"/>
            <w:vAlign w:val="center"/>
          </w:tcPr>
          <w:p w14:paraId="5C23693D"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1.3</w:t>
            </w:r>
          </w:p>
        </w:tc>
        <w:tc>
          <w:tcPr>
            <w:tcW w:w="694" w:type="pct"/>
            <w:shd w:val="clear" w:color="000000" w:fill="FFFFFF"/>
            <w:vAlign w:val="center"/>
          </w:tcPr>
          <w:p w14:paraId="55893DAC"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R.42 Promowanie włączenia społecznego</w:t>
            </w:r>
          </w:p>
        </w:tc>
        <w:tc>
          <w:tcPr>
            <w:tcW w:w="279" w:type="pct"/>
            <w:shd w:val="clear" w:color="auto" w:fill="auto"/>
            <w:vAlign w:val="center"/>
          </w:tcPr>
          <w:p w14:paraId="0D0FDAA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44348F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45272C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A0A611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B3A66B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140</w:t>
            </w:r>
          </w:p>
        </w:tc>
        <w:tc>
          <w:tcPr>
            <w:tcW w:w="281" w:type="pct"/>
            <w:shd w:val="clear" w:color="000000" w:fill="D9D9D9"/>
            <w:vAlign w:val="center"/>
          </w:tcPr>
          <w:p w14:paraId="4A82AA3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11C9850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7B01577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D84C4E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69836C2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71D9B71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852B94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289B1923"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p>
        </w:tc>
      </w:tr>
      <w:tr w:rsidR="00893413" w:rsidRPr="00CE5D9A" w14:paraId="4C573993" w14:textId="77777777" w:rsidTr="007F6F0A">
        <w:trPr>
          <w:trHeight w:val="794"/>
        </w:trPr>
        <w:tc>
          <w:tcPr>
            <w:tcW w:w="751" w:type="pct"/>
            <w:gridSpan w:val="2"/>
            <w:shd w:val="clear" w:color="auto" w:fill="auto"/>
            <w:vAlign w:val="center"/>
          </w:tcPr>
          <w:p w14:paraId="5FCADB0C" w14:textId="43322DBA"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1.4</w:t>
            </w:r>
          </w:p>
        </w:tc>
        <w:tc>
          <w:tcPr>
            <w:tcW w:w="694" w:type="pct"/>
            <w:shd w:val="clear" w:color="000000" w:fill="FFFFFF"/>
            <w:vAlign w:val="center"/>
          </w:tcPr>
          <w:p w14:paraId="044236A0" w14:textId="59229B24"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R.40 Inteligentna przemiana gospodarki wiejskiej: liczba wspieranych strategii inteligentnych wsi</w:t>
            </w:r>
          </w:p>
        </w:tc>
        <w:tc>
          <w:tcPr>
            <w:tcW w:w="279" w:type="pct"/>
            <w:shd w:val="clear" w:color="auto" w:fill="auto"/>
            <w:vAlign w:val="center"/>
          </w:tcPr>
          <w:p w14:paraId="7B3654BD" w14:textId="65A8900E"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E5DD4D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20BB1173" w14:textId="237C3FA6"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5</w:t>
            </w:r>
          </w:p>
        </w:tc>
        <w:tc>
          <w:tcPr>
            <w:tcW w:w="281" w:type="pct"/>
            <w:shd w:val="clear" w:color="000000" w:fill="D9D9D9"/>
            <w:vAlign w:val="center"/>
          </w:tcPr>
          <w:p w14:paraId="43993E6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68FC804F" w14:textId="70A2865D"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9D3570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295" w:type="pct"/>
            <w:shd w:val="clear" w:color="auto" w:fill="auto"/>
            <w:vAlign w:val="center"/>
          </w:tcPr>
          <w:p w14:paraId="7BBF6D54" w14:textId="26098D6E"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79D2270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0E300698" w14:textId="57838129"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6379C0F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p>
        </w:tc>
        <w:tc>
          <w:tcPr>
            <w:tcW w:w="280" w:type="pct"/>
            <w:vAlign w:val="center"/>
          </w:tcPr>
          <w:p w14:paraId="50ECDC6F" w14:textId="6AFEF7AE"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9D16F35" w14:textId="42FA21C6"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2A418C5"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p>
        </w:tc>
      </w:tr>
      <w:tr w:rsidR="00893413" w:rsidRPr="00CE5D9A" w14:paraId="45923EC0" w14:textId="77777777" w:rsidTr="007F6F0A">
        <w:trPr>
          <w:trHeight w:val="794"/>
        </w:trPr>
        <w:tc>
          <w:tcPr>
            <w:tcW w:w="751" w:type="pct"/>
            <w:gridSpan w:val="2"/>
            <w:shd w:val="clear" w:color="auto" w:fill="auto"/>
            <w:vAlign w:val="center"/>
          </w:tcPr>
          <w:p w14:paraId="26504280" w14:textId="771116E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1.5</w:t>
            </w:r>
          </w:p>
        </w:tc>
        <w:tc>
          <w:tcPr>
            <w:tcW w:w="694" w:type="pct"/>
            <w:shd w:val="clear" w:color="000000" w:fill="FFFFFF"/>
            <w:vAlign w:val="center"/>
          </w:tcPr>
          <w:p w14:paraId="7013DE25"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R.39 Rozwój gospodarki wiejskiej: liczba przedsiębiorstw rolnych, w tym przedsiębiorstw zajmujących się biogospodarką, rozwiniętych dzięki wsparciu w ramach WPR</w:t>
            </w:r>
          </w:p>
        </w:tc>
        <w:tc>
          <w:tcPr>
            <w:tcW w:w="279" w:type="pct"/>
            <w:shd w:val="clear" w:color="auto" w:fill="auto"/>
            <w:vAlign w:val="center"/>
          </w:tcPr>
          <w:p w14:paraId="453E33B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7E53D51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121CD3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8CB4B8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A1DD7C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4</w:t>
            </w:r>
          </w:p>
        </w:tc>
        <w:tc>
          <w:tcPr>
            <w:tcW w:w="281" w:type="pct"/>
            <w:shd w:val="clear" w:color="000000" w:fill="D9D9D9"/>
            <w:vAlign w:val="center"/>
          </w:tcPr>
          <w:p w14:paraId="15EAF32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717F42E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3A35D3E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E0E61A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48C4909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37EAE92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9FFA59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w:t>
            </w:r>
          </w:p>
        </w:tc>
        <w:tc>
          <w:tcPr>
            <w:tcW w:w="174" w:type="pct"/>
            <w:vMerge/>
            <w:vAlign w:val="center"/>
          </w:tcPr>
          <w:p w14:paraId="6F8111BC"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p>
        </w:tc>
      </w:tr>
      <w:tr w:rsidR="00893413" w:rsidRPr="00CE5D9A" w14:paraId="71BF02A2" w14:textId="77777777" w:rsidTr="007F6F0A">
        <w:trPr>
          <w:trHeight w:val="794"/>
        </w:trPr>
        <w:tc>
          <w:tcPr>
            <w:tcW w:w="751" w:type="pct"/>
            <w:gridSpan w:val="2"/>
            <w:shd w:val="clear" w:color="auto" w:fill="auto"/>
            <w:vAlign w:val="center"/>
          </w:tcPr>
          <w:p w14:paraId="167E237E" w14:textId="368FDE50"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1.6</w:t>
            </w:r>
          </w:p>
        </w:tc>
        <w:tc>
          <w:tcPr>
            <w:tcW w:w="694" w:type="pct"/>
            <w:shd w:val="clear" w:color="auto" w:fill="auto"/>
            <w:vAlign w:val="center"/>
          </w:tcPr>
          <w:p w14:paraId="00246727"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RCR 77 – liczba osób odwiedzających obiekty kulturalne i turystyczne objęte wsparciem</w:t>
            </w:r>
          </w:p>
        </w:tc>
        <w:tc>
          <w:tcPr>
            <w:tcW w:w="279" w:type="pct"/>
            <w:shd w:val="clear" w:color="auto" w:fill="auto"/>
            <w:vAlign w:val="center"/>
          </w:tcPr>
          <w:p w14:paraId="0F95F67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071E29E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2B39400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4E59839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5B1B303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7 000</w:t>
            </w:r>
          </w:p>
        </w:tc>
        <w:tc>
          <w:tcPr>
            <w:tcW w:w="281" w:type="pct"/>
            <w:shd w:val="clear" w:color="000000" w:fill="D9D9D9"/>
            <w:vAlign w:val="center"/>
          </w:tcPr>
          <w:p w14:paraId="3D15BCC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05F89988"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2D26AB7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F8C720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0A00790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4F2FB14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3B098F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58E8B044"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FEM</w:t>
            </w:r>
          </w:p>
        </w:tc>
      </w:tr>
      <w:tr w:rsidR="00893413" w:rsidRPr="00CE5D9A" w14:paraId="44F38D5A" w14:textId="77777777" w:rsidTr="007F6F0A">
        <w:trPr>
          <w:trHeight w:val="794"/>
        </w:trPr>
        <w:tc>
          <w:tcPr>
            <w:tcW w:w="751" w:type="pct"/>
            <w:gridSpan w:val="2"/>
            <w:shd w:val="clear" w:color="auto" w:fill="auto"/>
            <w:vAlign w:val="center"/>
          </w:tcPr>
          <w:p w14:paraId="47D4EA33" w14:textId="52A0BDEB"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1.7</w:t>
            </w:r>
          </w:p>
        </w:tc>
        <w:tc>
          <w:tcPr>
            <w:tcW w:w="694" w:type="pct"/>
            <w:shd w:val="clear" w:color="auto" w:fill="auto"/>
            <w:vAlign w:val="center"/>
          </w:tcPr>
          <w:p w14:paraId="4E298F5A"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PLKCR02 – liczba utworzonych miejsc świadczenia usług </w:t>
            </w:r>
            <w:r w:rsidRPr="00CE5D9A">
              <w:rPr>
                <w:rFonts w:ascii="Times New Roman" w:eastAsia="Times New Roman" w:hAnsi="Times New Roman"/>
                <w:sz w:val="18"/>
                <w:szCs w:val="18"/>
                <w:lang w:eastAsia="pl-PL"/>
              </w:rPr>
              <w:br/>
              <w:t>w społeczności lokalnej</w:t>
            </w:r>
          </w:p>
        </w:tc>
        <w:tc>
          <w:tcPr>
            <w:tcW w:w="279" w:type="pct"/>
            <w:shd w:val="clear" w:color="auto" w:fill="auto"/>
            <w:vAlign w:val="center"/>
          </w:tcPr>
          <w:p w14:paraId="2B6D4DF5"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1B5476D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25ED5F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5B442F3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1D5195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140</w:t>
            </w:r>
          </w:p>
        </w:tc>
        <w:tc>
          <w:tcPr>
            <w:tcW w:w="281" w:type="pct"/>
            <w:shd w:val="clear" w:color="000000" w:fill="D9D9D9"/>
            <w:vAlign w:val="center"/>
          </w:tcPr>
          <w:p w14:paraId="4739105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7333CFB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25B5571C"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8DB91B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5A72947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78B76C4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FC1DD1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3B4AF05A"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7D1827C6" w14:textId="77777777" w:rsidTr="007F6F0A">
        <w:trPr>
          <w:trHeight w:val="794"/>
        </w:trPr>
        <w:tc>
          <w:tcPr>
            <w:tcW w:w="751" w:type="pct"/>
            <w:gridSpan w:val="2"/>
            <w:shd w:val="clear" w:color="auto" w:fill="auto"/>
            <w:vAlign w:val="center"/>
          </w:tcPr>
          <w:p w14:paraId="4E829BAC" w14:textId="2C5B80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1.8</w:t>
            </w:r>
          </w:p>
        </w:tc>
        <w:tc>
          <w:tcPr>
            <w:tcW w:w="694" w:type="pct"/>
            <w:shd w:val="clear" w:color="auto" w:fill="auto"/>
            <w:vAlign w:val="center"/>
          </w:tcPr>
          <w:p w14:paraId="039AF77F"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PLKCR03 – liczba podmiotów, które rozszerzyły ofertę wsparcia lub podniosły jakość oferowanych usług</w:t>
            </w:r>
          </w:p>
        </w:tc>
        <w:tc>
          <w:tcPr>
            <w:tcW w:w="279" w:type="pct"/>
            <w:shd w:val="clear" w:color="auto" w:fill="auto"/>
            <w:vAlign w:val="center"/>
          </w:tcPr>
          <w:p w14:paraId="6B1566B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2F12D220"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0013E67A"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167D896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90DC96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shd w:val="clear" w:color="000000" w:fill="D9D9D9"/>
            <w:vAlign w:val="center"/>
          </w:tcPr>
          <w:p w14:paraId="50F5563F"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6EFA9BF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1F3ED80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48F186E3"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74D09B36"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01DF6447"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2169C6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87C2158"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r w:rsidR="00893413" w:rsidRPr="00CE5D9A" w14:paraId="4D7F0D10" w14:textId="77777777" w:rsidTr="007F6F0A">
        <w:trPr>
          <w:trHeight w:val="794"/>
        </w:trPr>
        <w:tc>
          <w:tcPr>
            <w:tcW w:w="751" w:type="pct"/>
            <w:gridSpan w:val="2"/>
            <w:shd w:val="clear" w:color="auto" w:fill="auto"/>
            <w:vAlign w:val="center"/>
          </w:tcPr>
          <w:p w14:paraId="22BACBF8" w14:textId="606A868B" w:rsidR="00893413" w:rsidRPr="00CE5D9A" w:rsidRDefault="00893413" w:rsidP="0089341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1.9</w:t>
            </w:r>
          </w:p>
        </w:tc>
        <w:tc>
          <w:tcPr>
            <w:tcW w:w="694" w:type="pct"/>
            <w:shd w:val="clear" w:color="auto" w:fill="auto"/>
            <w:vAlign w:val="center"/>
          </w:tcPr>
          <w:p w14:paraId="732FB871" w14:textId="77777777" w:rsidR="00893413" w:rsidRPr="00CE5D9A" w:rsidRDefault="00893413" w:rsidP="005120B8">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PLKCR04 – liczba osób świadczących usługi </w:t>
            </w:r>
            <w:r w:rsidRPr="00CE5D9A">
              <w:rPr>
                <w:rFonts w:ascii="Times New Roman" w:eastAsia="Times New Roman" w:hAnsi="Times New Roman"/>
                <w:sz w:val="18"/>
                <w:szCs w:val="18"/>
                <w:lang w:eastAsia="pl-PL"/>
              </w:rPr>
              <w:br/>
              <w:t>w społeczności lokalnej dzięki wsparciu w programie</w:t>
            </w:r>
          </w:p>
        </w:tc>
        <w:tc>
          <w:tcPr>
            <w:tcW w:w="279" w:type="pct"/>
            <w:shd w:val="clear" w:color="auto" w:fill="auto"/>
            <w:vAlign w:val="center"/>
          </w:tcPr>
          <w:p w14:paraId="08C3AE9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560E24F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7ADA59E"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5BB7A8F1"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2FD8F9D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w:t>
            </w:r>
          </w:p>
        </w:tc>
        <w:tc>
          <w:tcPr>
            <w:tcW w:w="281" w:type="pct"/>
            <w:shd w:val="clear" w:color="000000" w:fill="D9D9D9"/>
            <w:vAlign w:val="center"/>
          </w:tcPr>
          <w:p w14:paraId="31F5BA9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3B034A7B"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084D298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33FCA09"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11367D82"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7279AD94"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105004D" w14:textId="77777777" w:rsidR="00893413" w:rsidRPr="00CE5D9A" w:rsidRDefault="00893413" w:rsidP="005120B8">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77E9556C" w14:textId="77777777" w:rsidR="00893413" w:rsidRPr="00CE5D9A" w:rsidRDefault="00893413" w:rsidP="005120B8">
            <w:pPr>
              <w:spacing w:after="0" w:line="240" w:lineRule="auto"/>
              <w:rPr>
                <w:rFonts w:ascii="Times New Roman" w:eastAsia="Times New Roman" w:hAnsi="Times New Roman"/>
                <w:sz w:val="18"/>
                <w:szCs w:val="18"/>
                <w:lang w:eastAsia="pl-PL"/>
              </w:rPr>
            </w:pPr>
          </w:p>
        </w:tc>
      </w:tr>
    </w:tbl>
    <w:p w14:paraId="5B3D2DA5" w14:textId="57D7315D" w:rsidR="00686DFE" w:rsidRPr="00CE5D9A" w:rsidRDefault="00021DC4" w:rsidP="00021DC4">
      <w:pPr>
        <w:jc w:val="center"/>
        <w:rPr>
          <w:rFonts w:ascii="Times New Roman" w:hAnsi="Times New Roman"/>
          <w:i/>
          <w:iCs/>
          <w:sz w:val="20"/>
          <w:szCs w:val="20"/>
        </w:rPr>
      </w:pPr>
      <w:r w:rsidRPr="00CE5D9A">
        <w:rPr>
          <w:rFonts w:ascii="Times New Roman" w:hAnsi="Times New Roman"/>
          <w:i/>
          <w:iCs/>
          <w:sz w:val="20"/>
          <w:szCs w:val="20"/>
        </w:rPr>
        <w:lastRenderedPageBreak/>
        <w:t xml:space="preserve">Źródło: opracowanie własne </w:t>
      </w:r>
    </w:p>
    <w:p w14:paraId="550CFF36" w14:textId="77777777" w:rsidR="00686DFE" w:rsidRPr="00CE5D9A" w:rsidRDefault="00686DFE">
      <w:pPr>
        <w:rPr>
          <w:rFonts w:ascii="Times New Roman" w:hAnsi="Times New Roman"/>
          <w:b/>
          <w:bCs/>
        </w:rPr>
        <w:sectPr w:rsidR="00686DFE" w:rsidRPr="00CE5D9A" w:rsidSect="007804E6">
          <w:pgSz w:w="16838" w:h="11906" w:orient="landscape"/>
          <w:pgMar w:top="851" w:right="851" w:bottom="851" w:left="851" w:header="709" w:footer="709" w:gutter="0"/>
          <w:cols w:space="708"/>
          <w:titlePg/>
          <w:docGrid w:linePitch="360"/>
        </w:sectPr>
      </w:pPr>
    </w:p>
    <w:p w14:paraId="6EA7A683" w14:textId="77777777" w:rsidR="00686DFE" w:rsidRPr="00CE5D9A" w:rsidRDefault="00686DFE">
      <w:pPr>
        <w:pStyle w:val="Akapitzlist"/>
        <w:numPr>
          <w:ilvl w:val="0"/>
          <w:numId w:val="2"/>
        </w:numPr>
        <w:outlineLvl w:val="0"/>
        <w:rPr>
          <w:rFonts w:ascii="Times New Roman" w:hAnsi="Times New Roman"/>
          <w:b/>
          <w:bCs/>
        </w:rPr>
      </w:pPr>
      <w:bookmarkStart w:id="162" w:name="_Toc135647312"/>
      <w:bookmarkStart w:id="163" w:name="_Toc135994841"/>
      <w:r w:rsidRPr="00CE5D9A">
        <w:rPr>
          <w:rFonts w:ascii="Times New Roman" w:hAnsi="Times New Roman"/>
          <w:b/>
          <w:bCs/>
        </w:rPr>
        <w:lastRenderedPageBreak/>
        <w:t>PLAN FINANSOWY LSR</w:t>
      </w:r>
      <w:bookmarkEnd w:id="162"/>
      <w:bookmarkEnd w:id="163"/>
    </w:p>
    <w:p w14:paraId="1B2957AA" w14:textId="36F0DF9F" w:rsidR="00271792" w:rsidRPr="00CE5D9A" w:rsidRDefault="00686DFE" w:rsidP="00271792">
      <w:pPr>
        <w:spacing w:line="276" w:lineRule="auto"/>
        <w:ind w:firstLine="708"/>
        <w:jc w:val="both"/>
        <w:rPr>
          <w:rFonts w:ascii="Times New Roman" w:hAnsi="Times New Roman"/>
        </w:rPr>
      </w:pPr>
      <w:r w:rsidRPr="00CE5D9A">
        <w:rPr>
          <w:rFonts w:ascii="Times New Roman" w:hAnsi="Times New Roman"/>
        </w:rPr>
        <w:t>Lokalna Strategia Rozwoju</w:t>
      </w:r>
      <w:r w:rsidR="00B16A46">
        <w:rPr>
          <w:rFonts w:ascii="Times New Roman" w:hAnsi="Times New Roman"/>
        </w:rPr>
        <w:t xml:space="preserve"> </w:t>
      </w:r>
      <w:r w:rsidR="00B16A46" w:rsidRPr="00B16A46">
        <w:rPr>
          <w:rFonts w:ascii="Times New Roman" w:hAnsi="Times New Roman"/>
          <w:color w:val="FF0000"/>
        </w:rPr>
        <w:t>LGD Regionu Myślenickiego</w:t>
      </w:r>
      <w:r w:rsidRPr="00B16A46">
        <w:rPr>
          <w:rFonts w:ascii="Times New Roman" w:hAnsi="Times New Roman"/>
          <w:color w:val="FF0000"/>
        </w:rPr>
        <w:t xml:space="preserve"> </w:t>
      </w:r>
      <w:r w:rsidRPr="00B16A46">
        <w:rPr>
          <w:rFonts w:ascii="Times New Roman" w:hAnsi="Times New Roman"/>
          <w:strike/>
          <w:color w:val="FF0000"/>
        </w:rPr>
        <w:t>Stowarzyszenia Lokalna Grupa Działania „Między Dalinem i Gościbią”</w:t>
      </w:r>
      <w:r w:rsidRPr="00CE5D9A">
        <w:rPr>
          <w:rFonts w:ascii="Times New Roman" w:hAnsi="Times New Roman"/>
        </w:rPr>
        <w:t xml:space="preserve"> to strategia wielofunduszowa, której bezpośrednim źródłem finansowania jest Europejski Fundusz Rolny na rzecz Rozwoju Obszarów Wiejskich w ramach </w:t>
      </w:r>
      <w:r w:rsidRPr="00CE5D9A">
        <w:rPr>
          <w:rFonts w:ascii="Times New Roman" w:hAnsi="Times New Roman"/>
          <w:i/>
          <w:iCs/>
        </w:rPr>
        <w:t>Planu Strategicznego dla Wspólnej Polityki Rolnej na lata 2023–2027</w:t>
      </w:r>
      <w:r w:rsidRPr="00CE5D9A">
        <w:rPr>
          <w:rFonts w:ascii="Times New Roman" w:hAnsi="Times New Roman"/>
        </w:rPr>
        <w:t xml:space="preserve"> oraz Europejski Fundusz Społeczny Plus (EFS+) i Europejski Fundusz Rozwoju Regionalnego (EFRR) w ramach programu regionalnego </w:t>
      </w:r>
      <w:r w:rsidRPr="00CE5D9A">
        <w:rPr>
          <w:rFonts w:ascii="Times New Roman" w:hAnsi="Times New Roman"/>
          <w:i/>
          <w:iCs/>
        </w:rPr>
        <w:t>Fundusze Europejskie dla Małopolski 2021–2027</w:t>
      </w:r>
      <w:r w:rsidRPr="00CE5D9A">
        <w:rPr>
          <w:rFonts w:ascii="Times New Roman" w:hAnsi="Times New Roman"/>
        </w:rPr>
        <w:t>.</w:t>
      </w:r>
    </w:p>
    <w:p w14:paraId="4C972D76" w14:textId="77777777" w:rsidR="00686DFE" w:rsidRPr="00CE5D9A" w:rsidRDefault="00686DFE">
      <w:pPr>
        <w:numPr>
          <w:ilvl w:val="0"/>
          <w:numId w:val="48"/>
        </w:numPr>
        <w:spacing w:line="276" w:lineRule="auto"/>
        <w:jc w:val="both"/>
        <w:rPr>
          <w:rFonts w:ascii="Times New Roman" w:hAnsi="Times New Roman"/>
          <w:b/>
          <w:bCs/>
        </w:rPr>
      </w:pPr>
      <w:bookmarkStart w:id="164" w:name="_Toc124403900"/>
      <w:r w:rsidRPr="00CE5D9A">
        <w:rPr>
          <w:rFonts w:ascii="Times New Roman" w:hAnsi="Times New Roman"/>
          <w:b/>
          <w:bCs/>
        </w:rPr>
        <w:t>Źródła finansowania działalności LGD</w:t>
      </w:r>
      <w:bookmarkEnd w:id="164"/>
    </w:p>
    <w:p w14:paraId="5EB7EA9F" w14:textId="77777777" w:rsidR="00686DFE" w:rsidRPr="00CE5D9A" w:rsidRDefault="00686DFE">
      <w:pPr>
        <w:spacing w:after="0" w:line="276" w:lineRule="auto"/>
        <w:ind w:left="708"/>
        <w:jc w:val="both"/>
        <w:rPr>
          <w:rFonts w:ascii="Times New Roman" w:hAnsi="Times New Roman"/>
        </w:rPr>
      </w:pPr>
      <w:r w:rsidRPr="00CE5D9A">
        <w:rPr>
          <w:rFonts w:ascii="Times New Roman" w:hAnsi="Times New Roman"/>
        </w:rPr>
        <w:t>Działalność LGD finansowana będzie w ramach:</w:t>
      </w:r>
    </w:p>
    <w:p w14:paraId="50B0BF09" w14:textId="77777777" w:rsidR="00686DFE" w:rsidRPr="00CE5D9A" w:rsidRDefault="00686DFE">
      <w:pPr>
        <w:pStyle w:val="Akapitzlist"/>
        <w:numPr>
          <w:ilvl w:val="0"/>
          <w:numId w:val="49"/>
        </w:numPr>
        <w:spacing w:line="276" w:lineRule="auto"/>
        <w:jc w:val="both"/>
        <w:rPr>
          <w:rFonts w:ascii="Times New Roman" w:hAnsi="Times New Roman"/>
        </w:rPr>
      </w:pPr>
      <w:r w:rsidRPr="00CE5D9A">
        <w:rPr>
          <w:rFonts w:ascii="Times New Roman" w:hAnsi="Times New Roman"/>
        </w:rPr>
        <w:t xml:space="preserve">Funduszy EFSI stanowiących </w:t>
      </w:r>
      <w:r w:rsidRPr="00CE5D9A">
        <w:rPr>
          <w:rFonts w:ascii="Times New Roman" w:hAnsi="Times New Roman"/>
          <w:b/>
          <w:bCs/>
        </w:rPr>
        <w:t>bezpośrednie źródło finansowania</w:t>
      </w:r>
      <w:r w:rsidRPr="00CE5D9A">
        <w:rPr>
          <w:rFonts w:ascii="Times New Roman" w:hAnsi="Times New Roman"/>
        </w:rPr>
        <w:t xml:space="preserve"> LSR jako budżetu LSR:</w:t>
      </w:r>
    </w:p>
    <w:p w14:paraId="279D9DFA" w14:textId="77777777" w:rsidR="00686DFE" w:rsidRPr="00CE5D9A" w:rsidRDefault="00686DFE">
      <w:pPr>
        <w:pStyle w:val="Akapitzlist"/>
        <w:numPr>
          <w:ilvl w:val="0"/>
          <w:numId w:val="50"/>
        </w:numPr>
        <w:spacing w:line="276" w:lineRule="auto"/>
        <w:jc w:val="both"/>
        <w:rPr>
          <w:rFonts w:ascii="Times New Roman" w:hAnsi="Times New Roman"/>
        </w:rPr>
      </w:pPr>
      <w:r w:rsidRPr="00CE5D9A">
        <w:rPr>
          <w:rFonts w:ascii="Times New Roman" w:hAnsi="Times New Roman"/>
        </w:rPr>
        <w:t xml:space="preserve">Europejski Fundusz Rolny na rzecz Rozwoju Obszarów Wiejskich w ramach </w:t>
      </w:r>
      <w:r w:rsidRPr="00CE5D9A">
        <w:rPr>
          <w:rFonts w:ascii="Times New Roman" w:hAnsi="Times New Roman"/>
          <w:i/>
          <w:iCs/>
        </w:rPr>
        <w:t>Planu Strategicznego dla Wspólnej Polityki Rolnej na lata 2023–2027</w:t>
      </w:r>
      <w:r w:rsidRPr="00CE5D9A">
        <w:rPr>
          <w:rFonts w:ascii="Times New Roman" w:hAnsi="Times New Roman"/>
        </w:rPr>
        <w:t>;</w:t>
      </w:r>
    </w:p>
    <w:p w14:paraId="64C25443" w14:textId="77777777" w:rsidR="00686DFE" w:rsidRPr="00CE5D9A" w:rsidRDefault="00686DFE">
      <w:pPr>
        <w:pStyle w:val="Akapitzlist"/>
        <w:numPr>
          <w:ilvl w:val="0"/>
          <w:numId w:val="50"/>
        </w:numPr>
        <w:spacing w:line="276" w:lineRule="auto"/>
        <w:jc w:val="both"/>
        <w:rPr>
          <w:rFonts w:ascii="Times New Roman" w:hAnsi="Times New Roman"/>
        </w:rPr>
      </w:pPr>
      <w:r w:rsidRPr="00CE5D9A">
        <w:rPr>
          <w:rFonts w:ascii="Times New Roman" w:hAnsi="Times New Roman"/>
        </w:rPr>
        <w:t xml:space="preserve">Europejski Fundusz Rozwoju Regionalnego w ramach programu regionalnego </w:t>
      </w:r>
      <w:r w:rsidRPr="00CE5D9A">
        <w:rPr>
          <w:rFonts w:ascii="Times New Roman" w:hAnsi="Times New Roman"/>
          <w:i/>
          <w:iCs/>
        </w:rPr>
        <w:t>Fundusze Europejskie dla Małopolski 2021–2027</w:t>
      </w:r>
      <w:r w:rsidRPr="00CE5D9A">
        <w:rPr>
          <w:rFonts w:ascii="Times New Roman" w:hAnsi="Times New Roman"/>
        </w:rPr>
        <w:t xml:space="preserve">, celu szczegółowego polityki 5. </w:t>
      </w:r>
      <w:r w:rsidRPr="00CE5D9A">
        <w:rPr>
          <w:rFonts w:ascii="Times New Roman" w:hAnsi="Times New Roman"/>
          <w:i/>
          <w:iCs/>
        </w:rPr>
        <w:t>Europa bliższa obywatelom dzięki wspieraniu zrównoważonego i zintegrowanego rozwoju wszystkich rodzajów terytoriów i inicjatyw lokalnych.</w:t>
      </w:r>
    </w:p>
    <w:p w14:paraId="0E278362" w14:textId="77777777" w:rsidR="00686DFE" w:rsidRPr="00CE5D9A" w:rsidRDefault="00686DFE">
      <w:pPr>
        <w:pStyle w:val="Akapitzlist"/>
        <w:numPr>
          <w:ilvl w:val="0"/>
          <w:numId w:val="50"/>
        </w:numPr>
        <w:spacing w:line="276" w:lineRule="auto"/>
        <w:jc w:val="both"/>
        <w:rPr>
          <w:rFonts w:ascii="Times New Roman" w:hAnsi="Times New Roman"/>
        </w:rPr>
      </w:pPr>
      <w:r w:rsidRPr="00CE5D9A">
        <w:rPr>
          <w:rFonts w:ascii="Times New Roman" w:hAnsi="Times New Roman"/>
        </w:rPr>
        <w:t xml:space="preserve">Europejski Fundusz Rozwoju Regionalnego w ramach programu regionalnego </w:t>
      </w:r>
      <w:r w:rsidRPr="00CE5D9A">
        <w:rPr>
          <w:rFonts w:ascii="Times New Roman" w:hAnsi="Times New Roman"/>
          <w:i/>
          <w:iCs/>
        </w:rPr>
        <w:t>Fundusze Europejskie dla Małopolski na lata 2021–2027</w:t>
      </w:r>
      <w:r w:rsidRPr="00CE5D9A">
        <w:rPr>
          <w:rFonts w:ascii="Times New Roman" w:hAnsi="Times New Roman"/>
        </w:rPr>
        <w:t xml:space="preserve">, celu szczegółowego polityki 4. </w:t>
      </w:r>
      <w:r w:rsidRPr="00CE5D9A">
        <w:rPr>
          <w:rFonts w:ascii="Times New Roman" w:hAnsi="Times New Roman"/>
          <w:i/>
          <w:iCs/>
        </w:rPr>
        <w:t>Europa o silniejszym wymiarze społecznym, bardziej sprzyjająca włączeniu społecznemu i wdrażająca Europejski filar praw socjalnych</w:t>
      </w:r>
      <w:r w:rsidRPr="00CE5D9A">
        <w:rPr>
          <w:rFonts w:ascii="Times New Roman" w:hAnsi="Times New Roman"/>
        </w:rPr>
        <w:t>.</w:t>
      </w:r>
    </w:p>
    <w:p w14:paraId="1CE7EF71" w14:textId="77777777" w:rsidR="00686DFE" w:rsidRPr="00CE5D9A" w:rsidRDefault="00686DFE">
      <w:pPr>
        <w:pStyle w:val="Akapitzlist"/>
        <w:numPr>
          <w:ilvl w:val="0"/>
          <w:numId w:val="49"/>
        </w:numPr>
        <w:jc w:val="both"/>
        <w:rPr>
          <w:rFonts w:ascii="Times New Roman" w:hAnsi="Times New Roman"/>
        </w:rPr>
      </w:pPr>
      <w:r w:rsidRPr="00CE5D9A">
        <w:rPr>
          <w:rFonts w:ascii="Times New Roman" w:hAnsi="Times New Roman"/>
        </w:rPr>
        <w:t xml:space="preserve">Innych potencjalnych / </w:t>
      </w:r>
      <w:r w:rsidRPr="00CE5D9A">
        <w:rPr>
          <w:rFonts w:ascii="Times New Roman" w:hAnsi="Times New Roman"/>
          <w:b/>
          <w:bCs/>
        </w:rPr>
        <w:t>pośrednich źródeł finansowania</w:t>
      </w:r>
      <w:r w:rsidRPr="00CE5D9A">
        <w:rPr>
          <w:rFonts w:ascii="Times New Roman" w:hAnsi="Times New Roman"/>
        </w:rPr>
        <w:t xml:space="preserve"> przedsięwzięć wynikających z LSR, w tym także EFSI w zakresie nieobjętym RLKS, które nie stanowią źródła finansowania, o którym mowa w pkt. 1):</w:t>
      </w:r>
    </w:p>
    <w:p w14:paraId="08D9754E" w14:textId="77777777" w:rsidR="00686DFE" w:rsidRPr="00CE5D9A" w:rsidRDefault="00686DFE">
      <w:pPr>
        <w:pStyle w:val="Akapitzlist"/>
        <w:numPr>
          <w:ilvl w:val="0"/>
          <w:numId w:val="51"/>
        </w:numPr>
        <w:jc w:val="both"/>
        <w:rPr>
          <w:rFonts w:ascii="Times New Roman" w:hAnsi="Times New Roman"/>
        </w:rPr>
      </w:pPr>
      <w:r w:rsidRPr="00CE5D9A">
        <w:rPr>
          <w:rFonts w:ascii="Times New Roman" w:hAnsi="Times New Roman"/>
          <w:i/>
          <w:iCs/>
        </w:rPr>
        <w:t>Fundusze Europejskie na Infrastrukturę, Klimat, Środowisko 2021–2027</w:t>
      </w:r>
      <w:r w:rsidRPr="00CE5D9A">
        <w:rPr>
          <w:rFonts w:ascii="Times New Roman" w:hAnsi="Times New Roman"/>
        </w:rPr>
        <w:t xml:space="preserve"> w ramach priorytetu VII </w:t>
      </w:r>
      <w:r w:rsidRPr="00CE5D9A">
        <w:rPr>
          <w:rFonts w:ascii="Times New Roman" w:hAnsi="Times New Roman"/>
          <w:i/>
          <w:iCs/>
        </w:rPr>
        <w:t>Kultura</w:t>
      </w:r>
      <w:r w:rsidRPr="00CE5D9A">
        <w:rPr>
          <w:rFonts w:ascii="Times New Roman" w:hAnsi="Times New Roman"/>
        </w:rPr>
        <w:t xml:space="preserve"> Cel szczegółowy 4.6 </w:t>
      </w:r>
      <w:r w:rsidRPr="00CE5D9A">
        <w:rPr>
          <w:rFonts w:ascii="Times New Roman" w:hAnsi="Times New Roman"/>
          <w:i/>
          <w:iCs/>
        </w:rPr>
        <w:t>Wzmacnianie roli kultury i zrównoważonej turystyki w rozwoju gospodarczym, włączeniu społecznym i innowacjach społecznych;</w:t>
      </w:r>
    </w:p>
    <w:p w14:paraId="1975EE1B" w14:textId="77777777" w:rsidR="00686DFE" w:rsidRPr="00CE5D9A" w:rsidRDefault="00686DFE">
      <w:pPr>
        <w:pStyle w:val="Akapitzlist"/>
        <w:numPr>
          <w:ilvl w:val="0"/>
          <w:numId w:val="51"/>
        </w:numPr>
        <w:jc w:val="both"/>
        <w:rPr>
          <w:rFonts w:ascii="Times New Roman" w:hAnsi="Times New Roman"/>
        </w:rPr>
      </w:pPr>
      <w:r w:rsidRPr="00CE5D9A">
        <w:rPr>
          <w:rFonts w:ascii="Times New Roman" w:hAnsi="Times New Roman"/>
          <w:i/>
          <w:iCs/>
        </w:rPr>
        <w:t>Program Fundusz Inicjatyw Obywatelskich NOWEFIO na lata 2021–2030 – w ramach priorytetu I Mikro-inicjatywy oraz w ramach priorytetu II Organizacje obywatelskie na rzecz dobra wspólnego;</w:t>
      </w:r>
    </w:p>
    <w:p w14:paraId="5C3C4132" w14:textId="77777777" w:rsidR="00686DFE" w:rsidRPr="00CE5D9A" w:rsidRDefault="00686DFE">
      <w:pPr>
        <w:pStyle w:val="Akapitzlist"/>
        <w:numPr>
          <w:ilvl w:val="0"/>
          <w:numId w:val="51"/>
        </w:numPr>
        <w:jc w:val="both"/>
        <w:rPr>
          <w:rFonts w:ascii="Times New Roman" w:hAnsi="Times New Roman"/>
        </w:rPr>
      </w:pPr>
      <w:r w:rsidRPr="00CE5D9A">
        <w:rPr>
          <w:rFonts w:ascii="Times New Roman" w:hAnsi="Times New Roman"/>
          <w:i/>
          <w:iCs/>
        </w:rPr>
        <w:t xml:space="preserve">Program Interreg Polska-Słowacja 2021–2027 </w:t>
      </w:r>
      <w:r w:rsidRPr="00CE5D9A">
        <w:rPr>
          <w:rFonts w:ascii="Times New Roman" w:hAnsi="Times New Roman"/>
        </w:rPr>
        <w:t xml:space="preserve">w ramach priorytetu 3 </w:t>
      </w:r>
      <w:r w:rsidRPr="00CE5D9A">
        <w:rPr>
          <w:rFonts w:ascii="Times New Roman" w:hAnsi="Times New Roman"/>
          <w:i/>
          <w:iCs/>
        </w:rPr>
        <w:t xml:space="preserve">Twórcze i atrakcyjne turystycznie Pogranicze </w:t>
      </w:r>
      <w:r w:rsidRPr="00CE5D9A">
        <w:rPr>
          <w:rFonts w:ascii="Times New Roman" w:hAnsi="Times New Roman"/>
        </w:rPr>
        <w:t xml:space="preserve">Cel szczegółowy </w:t>
      </w:r>
      <w:r w:rsidRPr="00CE5D9A">
        <w:rPr>
          <w:rFonts w:ascii="Times New Roman" w:hAnsi="Times New Roman"/>
          <w:i/>
          <w:iCs/>
        </w:rPr>
        <w:t xml:space="preserve">wzmacnianie roli kultury i zrównoważonej turystyki </w:t>
      </w:r>
      <w:r w:rsidRPr="00CE5D9A">
        <w:rPr>
          <w:rFonts w:ascii="Times New Roman" w:hAnsi="Times New Roman"/>
          <w:i/>
          <w:iCs/>
        </w:rPr>
        <w:br/>
        <w:t>w rozwoju gospodarczym, włączeniu społecznym i innowacjach społecznych;</w:t>
      </w:r>
      <w:r w:rsidRPr="00CE5D9A">
        <w:rPr>
          <w:rFonts w:ascii="Times New Roman" w:hAnsi="Times New Roman"/>
        </w:rPr>
        <w:t xml:space="preserve"> </w:t>
      </w:r>
    </w:p>
    <w:p w14:paraId="0E9E0EA2" w14:textId="77777777" w:rsidR="00686DFE" w:rsidRPr="00CE5D9A" w:rsidRDefault="00686DFE">
      <w:pPr>
        <w:pStyle w:val="Akapitzlist"/>
        <w:numPr>
          <w:ilvl w:val="0"/>
          <w:numId w:val="51"/>
        </w:numPr>
        <w:jc w:val="both"/>
        <w:rPr>
          <w:rFonts w:ascii="Times New Roman" w:hAnsi="Times New Roman"/>
        </w:rPr>
      </w:pPr>
      <w:r w:rsidRPr="00CE5D9A">
        <w:rPr>
          <w:rFonts w:ascii="Times New Roman" w:hAnsi="Times New Roman"/>
        </w:rPr>
        <w:t>Środki krajowe;</w:t>
      </w:r>
    </w:p>
    <w:p w14:paraId="60A40CCE" w14:textId="77777777" w:rsidR="00686DFE" w:rsidRPr="00CE5D9A" w:rsidRDefault="00686DFE">
      <w:pPr>
        <w:pStyle w:val="Akapitzlist"/>
        <w:numPr>
          <w:ilvl w:val="0"/>
          <w:numId w:val="51"/>
        </w:numPr>
        <w:jc w:val="both"/>
        <w:rPr>
          <w:rFonts w:ascii="Times New Roman" w:hAnsi="Times New Roman"/>
        </w:rPr>
      </w:pPr>
      <w:r w:rsidRPr="00CE5D9A">
        <w:rPr>
          <w:rFonts w:ascii="Times New Roman" w:hAnsi="Times New Roman"/>
        </w:rPr>
        <w:t>Fundusze Norweskie i EOG (Europejski Obszar Gospodarczy).</w:t>
      </w:r>
    </w:p>
    <w:p w14:paraId="108C1E45" w14:textId="77777777" w:rsidR="00686DFE" w:rsidRPr="00CE5D9A" w:rsidRDefault="00686DFE">
      <w:pPr>
        <w:pStyle w:val="Akapitzlist"/>
        <w:spacing w:after="0" w:line="276" w:lineRule="auto"/>
        <w:ind w:left="0" w:firstLine="708"/>
        <w:jc w:val="both"/>
        <w:rPr>
          <w:rFonts w:ascii="Times New Roman" w:hAnsi="Times New Roman"/>
        </w:rPr>
      </w:pPr>
    </w:p>
    <w:p w14:paraId="6A71F1F7"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Zadania finansowane z innych źródeł niż bezpośrednie, przyczynią się do realizacji celów określonych w ramach RLKS.</w:t>
      </w:r>
    </w:p>
    <w:p w14:paraId="305C73B6" w14:textId="77777777" w:rsidR="00686DFE" w:rsidRPr="00CE5D9A" w:rsidRDefault="00686DFE">
      <w:pPr>
        <w:numPr>
          <w:ilvl w:val="0"/>
          <w:numId w:val="48"/>
        </w:numPr>
        <w:spacing w:before="240" w:line="276" w:lineRule="auto"/>
        <w:jc w:val="both"/>
        <w:rPr>
          <w:rFonts w:ascii="Times New Roman" w:hAnsi="Times New Roman"/>
          <w:b/>
          <w:bCs/>
        </w:rPr>
      </w:pPr>
      <w:r w:rsidRPr="00CE5D9A">
        <w:rPr>
          <w:rFonts w:ascii="Times New Roman" w:hAnsi="Times New Roman"/>
          <w:b/>
          <w:bCs/>
        </w:rPr>
        <w:t>Powiązanie źródeł finansowania</w:t>
      </w:r>
    </w:p>
    <w:p w14:paraId="65CFE4EE" w14:textId="77777777" w:rsidR="00686DFE" w:rsidRPr="00CE5D9A" w:rsidRDefault="00686DFE">
      <w:pPr>
        <w:spacing w:after="0" w:line="276" w:lineRule="auto"/>
        <w:ind w:firstLine="708"/>
        <w:jc w:val="both"/>
        <w:rPr>
          <w:rFonts w:ascii="Times New Roman" w:hAnsi="Times New Roman"/>
          <w:b/>
          <w:bCs/>
        </w:rPr>
      </w:pPr>
      <w:r w:rsidRPr="00CE5D9A">
        <w:rPr>
          <w:rFonts w:ascii="Times New Roman" w:hAnsi="Times New Roman"/>
        </w:rPr>
        <w:t xml:space="preserve">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uwagę te źródła finansowania, z których środki przeznaczane będą na operacje zgodnie z celem niniejszej LSR, 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738E7A2A" w14:textId="77777777" w:rsidR="00686DFE" w:rsidRPr="00CE5D9A" w:rsidRDefault="00686DFE">
      <w:pPr>
        <w:spacing w:before="240" w:line="276" w:lineRule="auto"/>
        <w:ind w:firstLine="708"/>
        <w:jc w:val="both"/>
        <w:rPr>
          <w:rFonts w:ascii="Times New Roman" w:hAnsi="Times New Roman"/>
        </w:rPr>
      </w:pPr>
      <w:r w:rsidRPr="00CE5D9A">
        <w:rPr>
          <w:rFonts w:ascii="Times New Roman" w:hAnsi="Times New Roman"/>
        </w:rPr>
        <w:t xml:space="preserve">Zaplanowany do realizacji budżet został przedstawiony w Załączniku nr 3 do LSR pn. </w:t>
      </w:r>
      <w:r w:rsidRPr="00CE5D9A">
        <w:rPr>
          <w:rFonts w:ascii="Times New Roman" w:hAnsi="Times New Roman"/>
          <w:i/>
          <w:iCs/>
        </w:rPr>
        <w:t>Budżet LSR</w:t>
      </w:r>
      <w:r w:rsidRPr="00CE5D9A">
        <w:rPr>
          <w:rFonts w:ascii="Times New Roman" w:hAnsi="Times New Roman"/>
        </w:rPr>
        <w:t xml:space="preserve"> oraz w Załączniku nr 4 do LSR pn. </w:t>
      </w:r>
      <w:r w:rsidRPr="00CE5D9A">
        <w:rPr>
          <w:rFonts w:ascii="Times New Roman" w:hAnsi="Times New Roman"/>
          <w:i/>
          <w:iCs/>
        </w:rPr>
        <w:t>Plan wykorzystania budżetu</w:t>
      </w:r>
      <w:r w:rsidRPr="00CE5D9A">
        <w:rPr>
          <w:rFonts w:ascii="Times New Roman" w:hAnsi="Times New Roman"/>
        </w:rPr>
        <w:t>.</w:t>
      </w:r>
    </w:p>
    <w:p w14:paraId="3BF19931" w14:textId="77777777" w:rsidR="00686DFE" w:rsidRPr="00CE5D9A" w:rsidRDefault="00686DFE">
      <w:pPr>
        <w:rPr>
          <w:rFonts w:ascii="Times New Roman" w:hAnsi="Times New Roman"/>
          <w:b/>
          <w:bCs/>
          <w:sz w:val="20"/>
          <w:szCs w:val="20"/>
        </w:rPr>
      </w:pPr>
      <w:r w:rsidRPr="00CE5D9A">
        <w:rPr>
          <w:rFonts w:ascii="Times New Roman" w:hAnsi="Times New Roman"/>
          <w:b/>
          <w:bCs/>
          <w:i/>
          <w:iCs/>
          <w:sz w:val="20"/>
          <w:szCs w:val="20"/>
        </w:rPr>
        <w:br w:type="page"/>
      </w:r>
    </w:p>
    <w:p w14:paraId="3E8EB110" w14:textId="77777777" w:rsidR="00686DFE" w:rsidRPr="00CE5D9A" w:rsidRDefault="00686DFE">
      <w:pPr>
        <w:pStyle w:val="Akapitzlist"/>
        <w:numPr>
          <w:ilvl w:val="0"/>
          <w:numId w:val="2"/>
        </w:numPr>
        <w:outlineLvl w:val="0"/>
        <w:rPr>
          <w:rFonts w:ascii="Times New Roman" w:hAnsi="Times New Roman"/>
          <w:b/>
          <w:bCs/>
        </w:rPr>
      </w:pPr>
      <w:r w:rsidRPr="00CE5D9A">
        <w:rPr>
          <w:rFonts w:ascii="Times New Roman" w:hAnsi="Times New Roman"/>
          <w:b/>
          <w:bCs/>
        </w:rPr>
        <w:lastRenderedPageBreak/>
        <w:t xml:space="preserve"> </w:t>
      </w:r>
      <w:bookmarkStart w:id="165" w:name="_Toc135647313"/>
      <w:bookmarkStart w:id="166" w:name="_Toc135994842"/>
      <w:r w:rsidRPr="00CE5D9A">
        <w:rPr>
          <w:rFonts w:ascii="Times New Roman" w:hAnsi="Times New Roman"/>
          <w:b/>
          <w:bCs/>
        </w:rPr>
        <w:t>MONITORING I EWALUACJA</w:t>
      </w:r>
      <w:bookmarkEnd w:id="165"/>
      <w:bookmarkEnd w:id="166"/>
    </w:p>
    <w:p w14:paraId="032B7880"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zadowalający społeczność lokalną zamieszkującą obszar LGD.</w:t>
      </w:r>
    </w:p>
    <w:p w14:paraId="35BA7721" w14:textId="77777777" w:rsidR="00686DFE" w:rsidRPr="00CE5D9A" w:rsidRDefault="00686DFE">
      <w:pPr>
        <w:pStyle w:val="Akapitzlist"/>
        <w:numPr>
          <w:ilvl w:val="1"/>
          <w:numId w:val="2"/>
        </w:numPr>
        <w:spacing w:line="276" w:lineRule="auto"/>
        <w:jc w:val="both"/>
        <w:rPr>
          <w:rFonts w:ascii="Times New Roman" w:hAnsi="Times New Roman"/>
          <w:b/>
          <w:bCs/>
        </w:rPr>
      </w:pPr>
      <w:r w:rsidRPr="00CE5D9A">
        <w:rPr>
          <w:rFonts w:ascii="Times New Roman" w:hAnsi="Times New Roman"/>
          <w:b/>
          <w:bCs/>
        </w:rPr>
        <w:t xml:space="preserve">Monitoring </w:t>
      </w:r>
    </w:p>
    <w:p w14:paraId="4D790269"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Monitoring LSR prowadzony będzie na bieżąco przez pracowników Biura LGD. </w:t>
      </w:r>
    </w:p>
    <w:p w14:paraId="365E4352"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 xml:space="preserve">Monitoring obejmuje: </w:t>
      </w:r>
    </w:p>
    <w:p w14:paraId="59497E13" w14:textId="77777777" w:rsidR="00686DFE" w:rsidRPr="00CE5D9A" w:rsidRDefault="00686DFE">
      <w:pPr>
        <w:pStyle w:val="Akapitzlist"/>
        <w:numPr>
          <w:ilvl w:val="0"/>
          <w:numId w:val="52"/>
        </w:numPr>
        <w:spacing w:line="276" w:lineRule="auto"/>
        <w:ind w:left="709"/>
        <w:jc w:val="both"/>
        <w:rPr>
          <w:rFonts w:ascii="Times New Roman" w:hAnsi="Times New Roman"/>
          <w:b/>
          <w:bCs/>
        </w:rPr>
      </w:pPr>
      <w:r w:rsidRPr="00CE5D9A">
        <w:rPr>
          <w:rFonts w:ascii="Times New Roman" w:hAnsi="Times New Roman"/>
        </w:rPr>
        <w:t xml:space="preserve">zebranie danych na temat: wskaźników realizacji LSR, harmonogramu ogłaszanych konkursów, budżetu LGD, liczby osób odwiedzających stronę internetową; </w:t>
      </w:r>
    </w:p>
    <w:p w14:paraId="73767E35" w14:textId="77777777" w:rsidR="00686DFE" w:rsidRPr="00CE5D9A" w:rsidRDefault="00686DFE">
      <w:pPr>
        <w:pStyle w:val="Akapitzlist"/>
        <w:numPr>
          <w:ilvl w:val="0"/>
          <w:numId w:val="52"/>
        </w:numPr>
        <w:spacing w:line="276" w:lineRule="auto"/>
        <w:ind w:left="709"/>
        <w:jc w:val="both"/>
        <w:rPr>
          <w:rFonts w:ascii="Times New Roman" w:hAnsi="Times New Roman"/>
          <w:b/>
          <w:bCs/>
        </w:rPr>
      </w:pPr>
      <w:r w:rsidRPr="00CE5D9A">
        <w:rPr>
          <w:rFonts w:ascii="Times New Roman" w:hAnsi="Times New Roman"/>
        </w:rPr>
        <w:t xml:space="preserve">ocenę zebranych informacji w stosunku do założonych wartości; </w:t>
      </w:r>
    </w:p>
    <w:p w14:paraId="23D4B942" w14:textId="77777777" w:rsidR="00686DFE" w:rsidRPr="00CE5D9A" w:rsidRDefault="00686DFE">
      <w:pPr>
        <w:pStyle w:val="Akapitzlist"/>
        <w:numPr>
          <w:ilvl w:val="0"/>
          <w:numId w:val="52"/>
        </w:numPr>
        <w:spacing w:line="276" w:lineRule="auto"/>
        <w:ind w:left="709"/>
        <w:jc w:val="both"/>
        <w:rPr>
          <w:rFonts w:ascii="Times New Roman" w:hAnsi="Times New Roman"/>
          <w:b/>
          <w:bCs/>
        </w:rPr>
      </w:pPr>
      <w:r w:rsidRPr="00CE5D9A">
        <w:rPr>
          <w:rFonts w:ascii="Times New Roman" w:hAnsi="Times New Roman"/>
        </w:rPr>
        <w:t>opracowanie Raportów z monitoringu Strategii w okresie rocznym, zawierających podsumowanie danych wraz z wygenerowanymi wnioskami dotyczącymi wpływu podejmowanych działań na realizację założeń Strategii.</w:t>
      </w:r>
    </w:p>
    <w:p w14:paraId="32D3D226" w14:textId="77777777" w:rsidR="00686DFE" w:rsidRPr="00CE5D9A" w:rsidRDefault="00686DFE">
      <w:pPr>
        <w:spacing w:after="0" w:line="276" w:lineRule="auto"/>
        <w:ind w:firstLine="708"/>
        <w:jc w:val="both"/>
        <w:rPr>
          <w:rFonts w:ascii="Times New Roman" w:hAnsi="Times New Roman"/>
        </w:rPr>
      </w:pPr>
      <w:r w:rsidRPr="00CE5D9A">
        <w:rPr>
          <w:rFonts w:ascii="Times New Roman" w:hAnsi="Times New Roman"/>
        </w:rPr>
        <w:t>Charakterystyka źródeł danych oraz sposobu pomiaru i oceny danych:</w:t>
      </w:r>
    </w:p>
    <w:p w14:paraId="0331C5FD" w14:textId="77777777" w:rsidR="00686DFE" w:rsidRPr="00CE5D9A" w:rsidRDefault="00686DFE">
      <w:pPr>
        <w:pStyle w:val="Akapitzlist"/>
        <w:numPr>
          <w:ilvl w:val="0"/>
          <w:numId w:val="38"/>
        </w:numPr>
        <w:spacing w:line="276" w:lineRule="auto"/>
        <w:ind w:hanging="436"/>
        <w:jc w:val="both"/>
        <w:rPr>
          <w:rFonts w:ascii="Times New Roman" w:hAnsi="Times New Roman"/>
        </w:rPr>
      </w:pPr>
      <w:r w:rsidRPr="00CE5D9A">
        <w:rPr>
          <w:rFonts w:ascii="Times New Roman" w:hAnsi="Times New Roman"/>
        </w:rPr>
        <w:t>Dane własne LGD – informacje gromadzone w toku normalnej działalności LGD, w szczególności w ramach obowiązkowej sprawozdawczości. Dane własne obejmują:</w:t>
      </w:r>
    </w:p>
    <w:p w14:paraId="278527A5"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wskaźniki Planu komunikacji,</w:t>
      </w:r>
    </w:p>
    <w:p w14:paraId="3A4EA947"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dane ilościowe dotyczące doradztwa w Biurze,</w:t>
      </w:r>
    </w:p>
    <w:p w14:paraId="76C0EC72"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dane gromadzone w trakcie naborów (m.in. terminy naborów, ilość złożonych wniosków, środki finansowe przypisane do naborów),</w:t>
      </w:r>
    </w:p>
    <w:p w14:paraId="623BC194"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wskaźniki LSR, EFSI,</w:t>
      </w:r>
    </w:p>
    <w:p w14:paraId="297E47D3"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realizację budżetu LSR,</w:t>
      </w:r>
    </w:p>
    <w:p w14:paraId="6C962332"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dane dotyczące pracy organów LGD,</w:t>
      </w:r>
    </w:p>
    <w:p w14:paraId="56D1222F" w14:textId="77777777" w:rsidR="00686DFE" w:rsidRPr="00CE5D9A" w:rsidRDefault="00686DFE">
      <w:pPr>
        <w:pStyle w:val="Akapitzlist"/>
        <w:numPr>
          <w:ilvl w:val="0"/>
          <w:numId w:val="53"/>
        </w:numPr>
        <w:spacing w:line="276" w:lineRule="auto"/>
        <w:jc w:val="both"/>
        <w:rPr>
          <w:rFonts w:ascii="Times New Roman" w:hAnsi="Times New Roman"/>
        </w:rPr>
      </w:pPr>
      <w:r w:rsidRPr="00CE5D9A">
        <w:rPr>
          <w:rFonts w:ascii="Times New Roman" w:hAnsi="Times New Roman"/>
        </w:rPr>
        <w:t>informacje o szkoleniach dla pracowników Biura i członków organów LGD.</w:t>
      </w:r>
    </w:p>
    <w:p w14:paraId="30194A01" w14:textId="77777777" w:rsidR="00686DFE" w:rsidRPr="00CE5D9A" w:rsidRDefault="00686DFE">
      <w:pPr>
        <w:pStyle w:val="Akapitzlist"/>
        <w:numPr>
          <w:ilvl w:val="0"/>
          <w:numId w:val="38"/>
        </w:numPr>
        <w:spacing w:line="276" w:lineRule="auto"/>
        <w:ind w:left="709" w:hanging="425"/>
        <w:jc w:val="both"/>
        <w:rPr>
          <w:rFonts w:ascii="Times New Roman" w:hAnsi="Times New Roman"/>
        </w:rPr>
      </w:pPr>
      <w:r w:rsidRPr="00CE5D9A">
        <w:rPr>
          <w:rFonts w:ascii="Times New Roman" w:hAnsi="Times New Roman"/>
        </w:rPr>
        <w:t>Badania własne:</w:t>
      </w:r>
    </w:p>
    <w:p w14:paraId="5538D58A" w14:textId="77777777" w:rsidR="00686DFE" w:rsidRPr="00CE5D9A" w:rsidRDefault="00686DFE">
      <w:pPr>
        <w:pStyle w:val="Akapitzlist"/>
        <w:numPr>
          <w:ilvl w:val="0"/>
          <w:numId w:val="54"/>
        </w:numPr>
        <w:spacing w:line="276" w:lineRule="auto"/>
        <w:jc w:val="both"/>
        <w:rPr>
          <w:rFonts w:ascii="Times New Roman" w:hAnsi="Times New Roman"/>
        </w:rPr>
      </w:pPr>
      <w:r w:rsidRPr="00CE5D9A">
        <w:rPr>
          <w:rFonts w:ascii="Times New Roman" w:hAnsi="Times New Roman"/>
        </w:rPr>
        <w:t xml:space="preserve">ankieta monitorująca dla beneficjentów i grantobiorców – badanie pozwoli na zbieranie istotnych informacji dotyczących postępu rzeczowo-finansowego. Pozwoli także pogłębić informacje uzyskane z wniosków o dofinansowanie operacji – ankieta będzie wypełniana przez beneficjentów </w:t>
      </w:r>
      <w:r w:rsidRPr="00CE5D9A">
        <w:rPr>
          <w:rFonts w:ascii="Times New Roman" w:hAnsi="Times New Roman"/>
        </w:rPr>
        <w:br/>
        <w:t xml:space="preserve">i grantobiorców w roku, w którym rozliczyli oni operację; </w:t>
      </w:r>
    </w:p>
    <w:p w14:paraId="0064EC6C" w14:textId="77777777" w:rsidR="00686DFE" w:rsidRPr="00CE5D9A" w:rsidRDefault="00686DFE">
      <w:pPr>
        <w:pStyle w:val="Akapitzlist"/>
        <w:numPr>
          <w:ilvl w:val="0"/>
          <w:numId w:val="54"/>
        </w:numPr>
        <w:spacing w:line="276" w:lineRule="auto"/>
        <w:jc w:val="both"/>
        <w:rPr>
          <w:rFonts w:ascii="Times New Roman" w:hAnsi="Times New Roman"/>
        </w:rPr>
      </w:pPr>
      <w:r w:rsidRPr="00CE5D9A">
        <w:rPr>
          <w:rFonts w:ascii="Times New Roman" w:hAnsi="Times New Roman"/>
        </w:rPr>
        <w:t>badanie ankietowe osób korzystających z doradztwa – badanie realizowane na bieżąco, w których jednostką analizy będą udzielone porady. O wypełnienie ankiety będą proszone osoby korzystające z doradztwa w Biurze LGD;</w:t>
      </w:r>
    </w:p>
    <w:p w14:paraId="3ACEA42E" w14:textId="77777777" w:rsidR="00686DFE" w:rsidRPr="00CE5D9A" w:rsidRDefault="00686DFE">
      <w:pPr>
        <w:pStyle w:val="Akapitzlist"/>
        <w:numPr>
          <w:ilvl w:val="0"/>
          <w:numId w:val="54"/>
        </w:numPr>
        <w:spacing w:line="276" w:lineRule="auto"/>
        <w:jc w:val="both"/>
        <w:rPr>
          <w:rFonts w:ascii="Times New Roman" w:hAnsi="Times New Roman"/>
        </w:rPr>
      </w:pPr>
      <w:r w:rsidRPr="00CE5D9A">
        <w:rPr>
          <w:rFonts w:ascii="Times New Roman" w:hAnsi="Times New Roman"/>
        </w:rPr>
        <w:t>badanie ankietowe uczestników spotkań informacyjno-konsultacyjnych lub szkoleń organizowanych przez LGD – realizowane w czasie każdego tego typu wydarzenia zorganizowanego przez LGD.</w:t>
      </w:r>
    </w:p>
    <w:p w14:paraId="247D545A" w14:textId="77777777" w:rsidR="00686DFE" w:rsidRPr="00CE5D9A" w:rsidRDefault="00686DFE" w:rsidP="00FD0A02">
      <w:pPr>
        <w:pStyle w:val="Akapitzlist"/>
        <w:spacing w:before="240" w:line="276" w:lineRule="auto"/>
        <w:ind w:left="0" w:firstLine="709"/>
        <w:contextualSpacing w:val="0"/>
        <w:jc w:val="both"/>
        <w:rPr>
          <w:rFonts w:ascii="Times New Roman" w:hAnsi="Times New Roman"/>
        </w:rPr>
      </w:pPr>
      <w:r w:rsidRPr="00CE5D9A">
        <w:rPr>
          <w:rFonts w:ascii="Times New Roman" w:hAnsi="Times New Roman"/>
        </w:rPr>
        <w:t>Istotną częścią monitoringu, która zasługuje na osobne omówienie, będzie monitoring realizacji projektów grantowych. LGD będzie ponosić bowiem szczególną odpowiedzialność za efekty przedsięwzięć realizowanych przez grantobiorców. Monitorowanie przedsięwzięć w ramach projektów grantowych powinno być przy tym traktowane nie jako kontrola, ale jako wsparcie dla osób je realizujących. W przypadku projektów grantowych zastosowany zostanie również monitoring operacyjny, polegający na osobistych kontaktach między pracownikami LGD a osobami realizującymi granty. Pracownicy LGD będą stosować wystandaryzowany formularz kontaktu, w którym będą zapisywać uzyskane od grantobiorców informacje oraz odnotowywać przekazane im rekomendacje. Dopuszcza się możliwość kontaktu telefonicznego z grantobiorcami bądź osobiste spotkania w Biurze LGD lub w miejscu realizacji operacji. Pracownicy będą zobowiązani odwiedzić grantobiorców w miejscu realizacji przedsięwzięć w czasie realizowania przez nich operacji. Jeśli charakter realizowanego przedsięwzięcia będzie na to pozwalał, to zbierana będzie dokumentacja fotograficzna, która będzie dołączona do formularza kontaktu.</w:t>
      </w:r>
    </w:p>
    <w:p w14:paraId="7719C82D" w14:textId="77777777" w:rsidR="00686DFE" w:rsidRPr="00CE5D9A" w:rsidRDefault="00686DFE">
      <w:pPr>
        <w:pStyle w:val="Akapitzlist"/>
        <w:numPr>
          <w:ilvl w:val="1"/>
          <w:numId w:val="2"/>
        </w:numPr>
        <w:spacing w:line="276" w:lineRule="auto"/>
        <w:jc w:val="both"/>
        <w:rPr>
          <w:rFonts w:ascii="Times New Roman" w:hAnsi="Times New Roman"/>
          <w:b/>
          <w:bCs/>
        </w:rPr>
      </w:pPr>
      <w:r w:rsidRPr="00CE5D9A">
        <w:rPr>
          <w:rFonts w:ascii="Times New Roman" w:hAnsi="Times New Roman"/>
          <w:b/>
          <w:bCs/>
        </w:rPr>
        <w:lastRenderedPageBreak/>
        <w:t xml:space="preserve">Ewaluacja </w:t>
      </w:r>
    </w:p>
    <w:p w14:paraId="33214B21"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Ewaluacja LSR realizowana będzie w następujących etapach, które będą różniły się celami w zależności od etapu realizacji Strategii:</w:t>
      </w:r>
    </w:p>
    <w:p w14:paraId="1F4BF04E" w14:textId="77777777" w:rsidR="00686DFE" w:rsidRPr="00CE5D9A" w:rsidRDefault="00686DFE">
      <w:pPr>
        <w:pStyle w:val="Akapitzlist"/>
        <w:numPr>
          <w:ilvl w:val="1"/>
          <w:numId w:val="55"/>
        </w:numPr>
        <w:spacing w:line="276" w:lineRule="auto"/>
        <w:jc w:val="both"/>
        <w:rPr>
          <w:rFonts w:ascii="Times New Roman" w:hAnsi="Times New Roman"/>
        </w:rPr>
      </w:pPr>
      <w:r w:rsidRPr="00CE5D9A">
        <w:rPr>
          <w:rFonts w:ascii="Times New Roman" w:hAnsi="Times New Roman"/>
        </w:rPr>
        <w:t>Ewaluacja on-going – corocznie w latach 2024–2029, dokonywana w pierwszym kwartale roku kolejnego.</w:t>
      </w:r>
    </w:p>
    <w:p w14:paraId="3F4EA678" w14:textId="77777777" w:rsidR="00686DFE" w:rsidRPr="00CE5D9A" w:rsidRDefault="00686DFE">
      <w:pPr>
        <w:pStyle w:val="Akapitzlist"/>
        <w:numPr>
          <w:ilvl w:val="1"/>
          <w:numId w:val="55"/>
        </w:numPr>
        <w:spacing w:line="276" w:lineRule="auto"/>
        <w:jc w:val="both"/>
        <w:rPr>
          <w:rFonts w:ascii="Times New Roman" w:hAnsi="Times New Roman"/>
        </w:rPr>
      </w:pPr>
      <w:r w:rsidRPr="00CE5D9A">
        <w:rPr>
          <w:rFonts w:ascii="Times New Roman" w:hAnsi="Times New Roman"/>
        </w:rPr>
        <w:t>Ewaluacja mid-term (śródokresowa) – w 2026 roku.</w:t>
      </w:r>
    </w:p>
    <w:p w14:paraId="47552408" w14:textId="77777777" w:rsidR="00686DFE" w:rsidRPr="00CE5D9A" w:rsidRDefault="00686DFE">
      <w:pPr>
        <w:pStyle w:val="Akapitzlist"/>
        <w:numPr>
          <w:ilvl w:val="1"/>
          <w:numId w:val="55"/>
        </w:numPr>
        <w:spacing w:line="276" w:lineRule="auto"/>
        <w:jc w:val="both"/>
        <w:rPr>
          <w:rFonts w:ascii="Times New Roman" w:hAnsi="Times New Roman"/>
        </w:rPr>
      </w:pPr>
      <w:r w:rsidRPr="00CE5D9A">
        <w:rPr>
          <w:rFonts w:ascii="Times New Roman" w:hAnsi="Times New Roman"/>
        </w:rPr>
        <w:t>Ewaluacja ex-post (końcowa ewaluacja zewnętrzna).</w:t>
      </w:r>
    </w:p>
    <w:p w14:paraId="285429F7"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Ewaluacja dotyczyć będzie: oceny działalności LGD, pracowników i funkcjonowania Biura, skuteczności promocji i aktywizacji społeczności lokalnej, harmonogramu rzeczowo-finansowego LSR, stopnia realizacji celów (wskaźników) oraz budżetu LSR.</w:t>
      </w:r>
    </w:p>
    <w:p w14:paraId="3FDAA127"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 xml:space="preserve">Coroczna ewaluacja wewnętrzna prowadzona będzie w ramach warsztatów refleksyjnych w ramach ewaluacji on-going. Przeprowadzenie ewaluacji mid-term i ex-post zostanie powierzone wyspecjalizowanemu podmiotowi zewnętrznemu (niezależnym ekspertom). Decyzję w tym względzie podejmie Zarząd LGD na podstawie ofert przedstawionych przez potencjalnych wykonawców. </w:t>
      </w:r>
    </w:p>
    <w:p w14:paraId="41652664"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Raport z ewaluacji Strategii obejmuje przede wszystkim:</w:t>
      </w:r>
    </w:p>
    <w:p w14:paraId="607EA045" w14:textId="77777777" w:rsidR="00686DFE" w:rsidRPr="00CE5D9A" w:rsidRDefault="00686DFE">
      <w:pPr>
        <w:pStyle w:val="Akapitzlist"/>
        <w:numPr>
          <w:ilvl w:val="0"/>
          <w:numId w:val="56"/>
        </w:numPr>
        <w:spacing w:line="276" w:lineRule="auto"/>
        <w:jc w:val="both"/>
        <w:rPr>
          <w:rFonts w:ascii="Times New Roman" w:hAnsi="Times New Roman"/>
        </w:rPr>
      </w:pPr>
      <w:r w:rsidRPr="00CE5D9A">
        <w:rPr>
          <w:rFonts w:ascii="Times New Roman" w:hAnsi="Times New Roman"/>
        </w:rPr>
        <w:t xml:space="preserve">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 efektywność doradztwa w Biurze LGD, liczbę porad i charakter doradztwa w Biurze, częstotliwość, regularność i frekwencję spotkań organów LGD. </w:t>
      </w:r>
    </w:p>
    <w:p w14:paraId="74D75E04" w14:textId="77777777" w:rsidR="00686DFE" w:rsidRPr="00CE5D9A" w:rsidRDefault="00686DFE">
      <w:pPr>
        <w:pStyle w:val="Akapitzlist"/>
        <w:numPr>
          <w:ilvl w:val="0"/>
          <w:numId w:val="56"/>
        </w:numPr>
        <w:spacing w:line="276" w:lineRule="auto"/>
        <w:jc w:val="both"/>
        <w:rPr>
          <w:rFonts w:ascii="Times New Roman" w:hAnsi="Times New Roman"/>
        </w:rPr>
      </w:pPr>
      <w:r w:rsidRPr="00CE5D9A">
        <w:rPr>
          <w:rFonts w:ascii="Times New Roman" w:hAnsi="Times New Roman"/>
        </w:rPr>
        <w:t xml:space="preserve">Ocenę realizacji planu działania. </w:t>
      </w:r>
    </w:p>
    <w:p w14:paraId="053EAF53" w14:textId="77777777" w:rsidR="00686DFE" w:rsidRPr="00CE5D9A" w:rsidRDefault="00686DFE">
      <w:pPr>
        <w:pStyle w:val="Akapitzlist"/>
        <w:numPr>
          <w:ilvl w:val="0"/>
          <w:numId w:val="56"/>
        </w:numPr>
        <w:spacing w:line="276" w:lineRule="auto"/>
        <w:jc w:val="both"/>
        <w:rPr>
          <w:rFonts w:ascii="Times New Roman" w:hAnsi="Times New Roman"/>
        </w:rPr>
      </w:pPr>
      <w:r w:rsidRPr="00CE5D9A">
        <w:rPr>
          <w:rFonts w:ascii="Times New Roman" w:hAnsi="Times New Roman"/>
        </w:rPr>
        <w:t xml:space="preserve">Ocenę stopnia wdrażania celów LSR, w tym stopnia osiągnięcia wskaźników, stopnia wykorzystania funduszy, realizacji budżetu, realizacji działań skierowanych do grupy osób w niekorzystnej sytuacji. </w:t>
      </w:r>
    </w:p>
    <w:p w14:paraId="50D8BDF8" w14:textId="77777777" w:rsidR="00686DFE" w:rsidRPr="00CE5D9A" w:rsidRDefault="00686DFE">
      <w:pPr>
        <w:pStyle w:val="Akapitzlist"/>
        <w:numPr>
          <w:ilvl w:val="0"/>
          <w:numId w:val="56"/>
        </w:numPr>
        <w:spacing w:line="276" w:lineRule="auto"/>
        <w:jc w:val="both"/>
        <w:rPr>
          <w:rFonts w:ascii="Times New Roman" w:hAnsi="Times New Roman"/>
        </w:rPr>
      </w:pPr>
      <w:r w:rsidRPr="00CE5D9A">
        <w:rPr>
          <w:rFonts w:ascii="Times New Roman" w:hAnsi="Times New Roman"/>
        </w:rPr>
        <w:t xml:space="preserve">Podsumowanie działalności LGD w badanym okresie, wnioski i rekomendacje. </w:t>
      </w:r>
    </w:p>
    <w:p w14:paraId="25FCC37D"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Ewaluacja prowadzona będzie w oparciu o kryteria ewaluacji, tj.: trafności, efektywności i wydajności, skuteczności, trwałości, użyteczności. Źródła danych są tożsame ze źródłami dla monitoringu (dane własne, badania własne).</w:t>
      </w:r>
    </w:p>
    <w:p w14:paraId="6CE45791" w14:textId="77777777" w:rsidR="00686DFE" w:rsidRPr="00CE5D9A" w:rsidRDefault="00686DFE">
      <w:pPr>
        <w:spacing w:line="276" w:lineRule="auto"/>
        <w:ind w:firstLine="708"/>
        <w:jc w:val="both"/>
        <w:rPr>
          <w:rFonts w:ascii="Times New Roman" w:hAnsi="Times New Roman"/>
        </w:rPr>
      </w:pPr>
      <w:r w:rsidRPr="00CE5D9A">
        <w:rPr>
          <w:rFonts w:ascii="Times New Roman" w:hAnsi="Times New Roman"/>
        </w:rPr>
        <w:t>Zatwierdzenia Raportu z ewaluacji Strategii dokonuje się uchwałą Walnego Zebrania Członków.</w:t>
      </w:r>
    </w:p>
    <w:p w14:paraId="0F00489E" w14:textId="77777777" w:rsidR="00686DFE" w:rsidRPr="00CE5D9A" w:rsidRDefault="00686DFE">
      <w:pPr>
        <w:spacing w:line="276" w:lineRule="auto"/>
        <w:jc w:val="both"/>
        <w:rPr>
          <w:rFonts w:ascii="Times New Roman" w:eastAsia="DengXian Light" w:hAnsi="Times New Roman"/>
        </w:rPr>
      </w:pPr>
      <w:r w:rsidRPr="00CE5D9A">
        <w:rPr>
          <w:rFonts w:ascii="Times New Roman" w:eastAsia="DengXian Light" w:hAnsi="Times New Roman"/>
        </w:rPr>
        <w:tab/>
        <w:t>Zalecenia z kontroli, oceny, monitoringu i/lub ewaluacji mogą być podstawą do aktualizacji LSR, podobnie jak zmiana przepisów dotyczących LSR czy zmiana danych dotyczących LSR.</w:t>
      </w:r>
    </w:p>
    <w:p w14:paraId="18EEA174" w14:textId="77777777" w:rsidR="00686DFE" w:rsidRPr="00CE5D9A" w:rsidRDefault="00686DFE">
      <w:pPr>
        <w:spacing w:after="0" w:line="276" w:lineRule="auto"/>
        <w:jc w:val="both"/>
        <w:rPr>
          <w:rFonts w:ascii="Times New Roman" w:eastAsia="DengXian Light" w:hAnsi="Times New Roman"/>
        </w:rPr>
      </w:pPr>
      <w:r w:rsidRPr="00CE5D9A">
        <w:rPr>
          <w:rFonts w:ascii="Times New Roman" w:eastAsia="DengXian Light" w:hAnsi="Times New Roman"/>
        </w:rPr>
        <w:tab/>
        <w:t>Aktualizacja Strategii Rozwoju Lokalnego Kierowanego przez Społeczność może nastąpić w związku z:</w:t>
      </w:r>
    </w:p>
    <w:p w14:paraId="15B4A0A2" w14:textId="77777777" w:rsidR="00686DFE" w:rsidRPr="00CE5D9A" w:rsidRDefault="00686DFE">
      <w:pPr>
        <w:pStyle w:val="Akapitzlist"/>
        <w:numPr>
          <w:ilvl w:val="1"/>
          <w:numId w:val="57"/>
        </w:numPr>
        <w:spacing w:after="0" w:line="276" w:lineRule="auto"/>
        <w:jc w:val="both"/>
        <w:rPr>
          <w:rFonts w:ascii="Times New Roman" w:eastAsia="DengXian Light" w:hAnsi="Times New Roman"/>
        </w:rPr>
      </w:pPr>
      <w:r w:rsidRPr="00CE5D9A">
        <w:rPr>
          <w:rFonts w:ascii="Times New Roman" w:eastAsia="DengXian Light" w:hAnsi="Times New Roman"/>
        </w:rPr>
        <w:t>zmianą danych dotyczących obszaru LSR,</w:t>
      </w:r>
    </w:p>
    <w:p w14:paraId="4D8310E3" w14:textId="77777777" w:rsidR="00686DFE" w:rsidRPr="00CE5D9A" w:rsidRDefault="00686DFE">
      <w:pPr>
        <w:pStyle w:val="Akapitzlist"/>
        <w:numPr>
          <w:ilvl w:val="1"/>
          <w:numId w:val="57"/>
        </w:numPr>
        <w:spacing w:line="276" w:lineRule="auto"/>
        <w:jc w:val="both"/>
        <w:rPr>
          <w:rFonts w:ascii="Times New Roman" w:eastAsia="DengXian Light" w:hAnsi="Times New Roman"/>
        </w:rPr>
      </w:pPr>
      <w:r w:rsidRPr="00CE5D9A">
        <w:rPr>
          <w:rFonts w:ascii="Times New Roman" w:eastAsia="DengXian Light" w:hAnsi="Times New Roman"/>
        </w:rPr>
        <w:t>zmianą przepisów dotyczących LSR,</w:t>
      </w:r>
    </w:p>
    <w:p w14:paraId="382BAA7C" w14:textId="77777777" w:rsidR="00686DFE" w:rsidRPr="00CE5D9A" w:rsidRDefault="00686DFE">
      <w:pPr>
        <w:pStyle w:val="Akapitzlist"/>
        <w:numPr>
          <w:ilvl w:val="1"/>
          <w:numId w:val="57"/>
        </w:numPr>
        <w:spacing w:line="276" w:lineRule="auto"/>
        <w:jc w:val="both"/>
        <w:rPr>
          <w:rFonts w:ascii="Times New Roman" w:eastAsia="DengXian Light" w:hAnsi="Times New Roman"/>
        </w:rPr>
      </w:pPr>
      <w:r w:rsidRPr="00CE5D9A">
        <w:rPr>
          <w:rFonts w:ascii="Times New Roman" w:eastAsia="DengXian Light" w:hAnsi="Times New Roman"/>
        </w:rPr>
        <w:t>potrzebą zastosowania zaleceń z kontroli, oceny, monitoringu i/lub ewaluacji LSR/LGD,</w:t>
      </w:r>
    </w:p>
    <w:p w14:paraId="7E381E9A" w14:textId="77777777" w:rsidR="00686DFE" w:rsidRPr="00CE5D9A" w:rsidRDefault="00686DFE">
      <w:pPr>
        <w:pStyle w:val="Akapitzlist"/>
        <w:numPr>
          <w:ilvl w:val="1"/>
          <w:numId w:val="57"/>
        </w:numPr>
        <w:spacing w:line="276" w:lineRule="auto"/>
        <w:jc w:val="both"/>
        <w:rPr>
          <w:rFonts w:ascii="Times New Roman" w:eastAsia="DengXian Light" w:hAnsi="Times New Roman"/>
        </w:rPr>
      </w:pPr>
      <w:r w:rsidRPr="00CE5D9A">
        <w:rPr>
          <w:rFonts w:ascii="Times New Roman" w:eastAsia="DengXian Light" w:hAnsi="Times New Roman"/>
        </w:rPr>
        <w:t xml:space="preserve">rocznymi wynikami ciągłego </w:t>
      </w:r>
      <w:r w:rsidRPr="00CE5D9A">
        <w:rPr>
          <w:rFonts w:ascii="Times New Roman" w:hAnsi="Times New Roman"/>
        </w:rPr>
        <w:t>naboru propozycji projektów do realizacji.</w:t>
      </w:r>
    </w:p>
    <w:p w14:paraId="49FAE5B1" w14:textId="77777777" w:rsidR="00686DFE" w:rsidRPr="00CE5D9A" w:rsidRDefault="00686DFE">
      <w:pPr>
        <w:spacing w:after="0" w:line="276" w:lineRule="auto"/>
        <w:ind w:firstLine="708"/>
        <w:jc w:val="both"/>
        <w:rPr>
          <w:rFonts w:ascii="Times New Roman" w:eastAsia="DengXian Light" w:hAnsi="Times New Roman"/>
        </w:rPr>
      </w:pPr>
      <w:r w:rsidRPr="00CE5D9A">
        <w:rPr>
          <w:rFonts w:ascii="Times New Roman" w:eastAsia="DengXian Light" w:hAnsi="Times New Roman"/>
        </w:rPr>
        <w:t>Aktualizacja LSR może nastąpić na wniosek:</w:t>
      </w:r>
    </w:p>
    <w:p w14:paraId="394A98EF" w14:textId="77777777" w:rsidR="00686DFE" w:rsidRPr="00CE5D9A" w:rsidRDefault="00686DFE">
      <w:pPr>
        <w:pStyle w:val="Akapitzlist"/>
        <w:numPr>
          <w:ilvl w:val="1"/>
          <w:numId w:val="58"/>
        </w:numPr>
        <w:spacing w:after="0" w:line="276" w:lineRule="auto"/>
        <w:jc w:val="both"/>
        <w:rPr>
          <w:rFonts w:ascii="Times New Roman" w:eastAsia="DengXian Light" w:hAnsi="Times New Roman"/>
        </w:rPr>
      </w:pPr>
      <w:r w:rsidRPr="00CE5D9A">
        <w:rPr>
          <w:rFonts w:ascii="Times New Roman" w:eastAsia="DengXian Light" w:hAnsi="Times New Roman"/>
        </w:rPr>
        <w:t>Rady LGD,</w:t>
      </w:r>
    </w:p>
    <w:p w14:paraId="7DD9D64C" w14:textId="77777777" w:rsidR="00686DFE" w:rsidRPr="00CE5D9A" w:rsidRDefault="00686DFE">
      <w:pPr>
        <w:pStyle w:val="Akapitzlist"/>
        <w:numPr>
          <w:ilvl w:val="1"/>
          <w:numId w:val="58"/>
        </w:numPr>
        <w:spacing w:after="0" w:line="276" w:lineRule="auto"/>
        <w:jc w:val="both"/>
        <w:rPr>
          <w:rFonts w:ascii="Times New Roman" w:eastAsia="DengXian Light" w:hAnsi="Times New Roman"/>
        </w:rPr>
      </w:pPr>
      <w:r w:rsidRPr="00CE5D9A">
        <w:rPr>
          <w:rFonts w:ascii="Times New Roman" w:eastAsia="DengXian Light" w:hAnsi="Times New Roman"/>
        </w:rPr>
        <w:t>Komisji Rewizyjnej LGD,</w:t>
      </w:r>
    </w:p>
    <w:p w14:paraId="28FF1AC5" w14:textId="77777777" w:rsidR="00686DFE" w:rsidRPr="00CE5D9A" w:rsidRDefault="00686DFE">
      <w:pPr>
        <w:pStyle w:val="Akapitzlist"/>
        <w:numPr>
          <w:ilvl w:val="1"/>
          <w:numId w:val="58"/>
        </w:numPr>
        <w:spacing w:line="276" w:lineRule="auto"/>
        <w:jc w:val="both"/>
        <w:rPr>
          <w:rFonts w:ascii="Times New Roman" w:eastAsia="DengXian Light" w:hAnsi="Times New Roman"/>
        </w:rPr>
      </w:pPr>
      <w:r w:rsidRPr="00CE5D9A">
        <w:rPr>
          <w:rFonts w:ascii="Times New Roman" w:eastAsia="DengXian Light" w:hAnsi="Times New Roman"/>
        </w:rPr>
        <w:t>Zarządu LGD,</w:t>
      </w:r>
    </w:p>
    <w:p w14:paraId="5DB2C677" w14:textId="77777777" w:rsidR="00686DFE" w:rsidRPr="00CE5D9A" w:rsidRDefault="00686DFE">
      <w:pPr>
        <w:pStyle w:val="Akapitzlist"/>
        <w:numPr>
          <w:ilvl w:val="1"/>
          <w:numId w:val="58"/>
        </w:numPr>
        <w:spacing w:line="276" w:lineRule="auto"/>
        <w:jc w:val="both"/>
        <w:rPr>
          <w:rFonts w:ascii="Times New Roman" w:eastAsia="DengXian Light" w:hAnsi="Times New Roman"/>
        </w:rPr>
      </w:pPr>
      <w:r w:rsidRPr="00CE5D9A">
        <w:rPr>
          <w:rFonts w:ascii="Times New Roman" w:eastAsia="DengXian Light" w:hAnsi="Times New Roman"/>
        </w:rPr>
        <w:t>grupy liczącej powyżej 10% wszystkich członków LGD.</w:t>
      </w:r>
    </w:p>
    <w:p w14:paraId="2E74A756" w14:textId="77777777" w:rsidR="00686DFE" w:rsidRPr="00CE5D9A" w:rsidRDefault="00686DFE" w:rsidP="00FD0A02">
      <w:pPr>
        <w:spacing w:line="276" w:lineRule="auto"/>
        <w:ind w:firstLine="708"/>
        <w:jc w:val="both"/>
        <w:rPr>
          <w:rFonts w:ascii="Times New Roman" w:eastAsia="DengXian Light" w:hAnsi="Times New Roman"/>
        </w:rPr>
      </w:pPr>
      <w:r w:rsidRPr="00CE5D9A">
        <w:rPr>
          <w:rFonts w:ascii="Times New Roman" w:eastAsia="DengXian Light" w:hAnsi="Times New Roman"/>
        </w:rPr>
        <w:t xml:space="preserve">Wniosek o aktualizację LSR będzie składany do Zarządu LGD, który zobowiązany jest przedstawić go na najbliższym Walnym Zebraniu Członków. Projekt zmiany LSR musi zostać poddany konsultacjom społecznym poprzez zamieszczenie zmienianych części LSR wraz z uzasadnieniem na stronie internetowej LGD na co najmniej </w:t>
      </w:r>
      <w:r w:rsidR="0042713F" w:rsidRPr="00CE5D9A">
        <w:rPr>
          <w:rFonts w:ascii="Times New Roman" w:eastAsia="DengXian Light" w:hAnsi="Times New Roman"/>
        </w:rPr>
        <w:t>7</w:t>
      </w:r>
      <w:r w:rsidRPr="00CE5D9A">
        <w:rPr>
          <w:rFonts w:ascii="Times New Roman" w:eastAsia="DengXian Light" w:hAnsi="Times New Roman"/>
        </w:rPr>
        <w:t xml:space="preserve"> dni.</w:t>
      </w:r>
      <w:r w:rsidRPr="00CE5D9A">
        <w:rPr>
          <w:rFonts w:ascii="Times New Roman" w:eastAsia="DengXian Light" w:hAnsi="Times New Roman"/>
          <w:b/>
          <w:bCs/>
        </w:rPr>
        <w:br w:type="page"/>
      </w:r>
    </w:p>
    <w:p w14:paraId="4C445B7E" w14:textId="77777777" w:rsidR="00686DFE" w:rsidRPr="00CE5D9A" w:rsidRDefault="00686DFE">
      <w:pPr>
        <w:pStyle w:val="Nagwek2"/>
        <w:spacing w:after="240"/>
        <w:ind w:firstLine="360"/>
        <w:rPr>
          <w:rFonts w:ascii="Times New Roman" w:hAnsi="Times New Roman"/>
          <w:b/>
          <w:bCs/>
          <w:color w:val="auto"/>
          <w:sz w:val="22"/>
          <w:szCs w:val="22"/>
        </w:rPr>
      </w:pPr>
      <w:bookmarkStart w:id="167" w:name="_Toc135647314"/>
      <w:bookmarkStart w:id="168" w:name="_Toc135994843"/>
      <w:r w:rsidRPr="00CE5D9A">
        <w:rPr>
          <w:rFonts w:ascii="Times New Roman" w:hAnsi="Times New Roman"/>
          <w:b/>
          <w:bCs/>
          <w:color w:val="auto"/>
          <w:sz w:val="22"/>
          <w:szCs w:val="22"/>
        </w:rPr>
        <w:lastRenderedPageBreak/>
        <w:t>Spis rysunków</w:t>
      </w:r>
      <w:bookmarkEnd w:id="167"/>
      <w:bookmarkEnd w:id="168"/>
    </w:p>
    <w:p w14:paraId="7576D506" w14:textId="6242B65A" w:rsidR="00686DFE" w:rsidRPr="00CE5D9A" w:rsidRDefault="00686DFE">
      <w:pPr>
        <w:pStyle w:val="Spisilustracji"/>
        <w:tabs>
          <w:tab w:val="right" w:leader="dot" w:pos="10194"/>
        </w:tabs>
        <w:spacing w:line="276" w:lineRule="auto"/>
        <w:jc w:val="both"/>
        <w:rPr>
          <w:rFonts w:ascii="Times New Roman" w:eastAsia="DengXian" w:hAnsi="Times New Roman"/>
          <w:noProof/>
          <w:lang w:eastAsia="pl-PL"/>
        </w:rPr>
      </w:pPr>
      <w:r w:rsidRPr="00CE5D9A">
        <w:rPr>
          <w:rFonts w:ascii="Times New Roman" w:hAnsi="Times New Roman"/>
        </w:rPr>
        <w:fldChar w:fldCharType="begin"/>
      </w:r>
      <w:r w:rsidRPr="00CE5D9A">
        <w:rPr>
          <w:rFonts w:ascii="Times New Roman" w:hAnsi="Times New Roman"/>
        </w:rPr>
        <w:instrText xml:space="preserve"> TOC \h \z \c "Rysunek" </w:instrText>
      </w:r>
      <w:r w:rsidRPr="00CE5D9A">
        <w:rPr>
          <w:rFonts w:ascii="Times New Roman" w:hAnsi="Times New Roman"/>
        </w:rPr>
        <w:fldChar w:fldCharType="separate"/>
      </w:r>
      <w:hyperlink w:anchor="_Toc136241281" w:history="1">
        <w:r w:rsidRPr="00CE5D9A">
          <w:rPr>
            <w:rStyle w:val="Hipercze"/>
            <w:rFonts w:ascii="Times New Roman" w:hAnsi="Times New Roman"/>
            <w:noProof/>
            <w:color w:val="auto"/>
          </w:rPr>
          <w:t>Rysunek 1 Sposób określania celu LSR</w:t>
        </w:r>
        <w:r w:rsidRPr="00CE5D9A">
          <w:rPr>
            <w:rFonts w:ascii="Times New Roman" w:hAnsi="Times New Roman"/>
            <w:noProof/>
          </w:rPr>
          <w:tab/>
        </w:r>
        <w:r w:rsidRPr="00CE5D9A">
          <w:rPr>
            <w:rFonts w:ascii="Times New Roman" w:hAnsi="Times New Roman"/>
            <w:noProof/>
          </w:rPr>
          <w:fldChar w:fldCharType="begin"/>
        </w:r>
        <w:r w:rsidRPr="00CE5D9A">
          <w:rPr>
            <w:rFonts w:ascii="Times New Roman" w:hAnsi="Times New Roman"/>
            <w:noProof/>
          </w:rPr>
          <w:instrText xml:space="preserve"> PAGEREF _Toc136241281 \h </w:instrText>
        </w:r>
        <w:r w:rsidRPr="00CE5D9A">
          <w:rPr>
            <w:rFonts w:ascii="Times New Roman" w:hAnsi="Times New Roman"/>
            <w:noProof/>
          </w:rPr>
        </w:r>
        <w:r w:rsidRPr="00CE5D9A">
          <w:rPr>
            <w:rFonts w:ascii="Times New Roman" w:hAnsi="Times New Roman"/>
            <w:noProof/>
          </w:rPr>
          <w:fldChar w:fldCharType="separate"/>
        </w:r>
        <w:r w:rsidR="00AD7096">
          <w:rPr>
            <w:rFonts w:ascii="Times New Roman" w:hAnsi="Times New Roman"/>
            <w:noProof/>
          </w:rPr>
          <w:t>68</w:t>
        </w:r>
        <w:r w:rsidRPr="00CE5D9A">
          <w:rPr>
            <w:rFonts w:ascii="Times New Roman" w:hAnsi="Times New Roman"/>
            <w:noProof/>
          </w:rPr>
          <w:fldChar w:fldCharType="end"/>
        </w:r>
      </w:hyperlink>
    </w:p>
    <w:p w14:paraId="6AD748BA" w14:textId="77777777" w:rsidR="00686DFE" w:rsidRPr="00CE5D9A" w:rsidRDefault="00686DFE">
      <w:pPr>
        <w:spacing w:line="276" w:lineRule="auto"/>
        <w:jc w:val="both"/>
        <w:rPr>
          <w:rFonts w:ascii="Times New Roman" w:hAnsi="Times New Roman"/>
        </w:rPr>
      </w:pPr>
      <w:r w:rsidRPr="00CE5D9A">
        <w:rPr>
          <w:rFonts w:ascii="Times New Roman" w:hAnsi="Times New Roman"/>
        </w:rPr>
        <w:fldChar w:fldCharType="end"/>
      </w:r>
    </w:p>
    <w:p w14:paraId="600E0A05" w14:textId="77777777" w:rsidR="00686DFE" w:rsidRPr="00CE5D9A" w:rsidRDefault="00686DFE">
      <w:pPr>
        <w:pStyle w:val="Nagwek2"/>
        <w:spacing w:after="240"/>
        <w:ind w:firstLine="360"/>
        <w:rPr>
          <w:rFonts w:ascii="Times New Roman" w:hAnsi="Times New Roman"/>
          <w:b/>
          <w:bCs/>
          <w:color w:val="auto"/>
          <w:sz w:val="22"/>
          <w:szCs w:val="22"/>
        </w:rPr>
      </w:pPr>
      <w:bookmarkStart w:id="169" w:name="_Toc135994844"/>
      <w:bookmarkStart w:id="170" w:name="_Toc135647315"/>
      <w:r w:rsidRPr="00CE5D9A">
        <w:rPr>
          <w:rFonts w:ascii="Times New Roman" w:hAnsi="Times New Roman"/>
          <w:b/>
          <w:bCs/>
          <w:color w:val="auto"/>
          <w:sz w:val="22"/>
          <w:szCs w:val="22"/>
        </w:rPr>
        <w:t>Spis map</w:t>
      </w:r>
      <w:bookmarkEnd w:id="169"/>
      <w:bookmarkEnd w:id="170"/>
    </w:p>
    <w:p w14:paraId="25291E31" w14:textId="72CA7500" w:rsidR="004647AB" w:rsidRPr="00CE5D9A" w:rsidRDefault="00686DFE">
      <w:pPr>
        <w:pStyle w:val="Spisilustracji"/>
        <w:tabs>
          <w:tab w:val="right" w:leader="dot" w:pos="10194"/>
        </w:tabs>
        <w:rPr>
          <w:rFonts w:ascii="Times New Roman" w:eastAsiaTheme="minorEastAsia" w:hAnsi="Times New Roman"/>
          <w:noProof/>
          <w:lang w:eastAsia="pl-PL"/>
        </w:rPr>
      </w:pPr>
      <w:r w:rsidRPr="00CE5D9A">
        <w:rPr>
          <w:rFonts w:ascii="Times New Roman" w:hAnsi="Times New Roman"/>
        </w:rPr>
        <w:fldChar w:fldCharType="begin"/>
      </w:r>
      <w:r w:rsidRPr="00CE5D9A">
        <w:rPr>
          <w:rFonts w:ascii="Times New Roman" w:hAnsi="Times New Roman"/>
        </w:rPr>
        <w:instrText xml:space="preserve"> TOC \h \z \c "Mapa" </w:instrText>
      </w:r>
      <w:r w:rsidRPr="00CE5D9A">
        <w:rPr>
          <w:rFonts w:ascii="Times New Roman" w:hAnsi="Times New Roman"/>
        </w:rPr>
        <w:fldChar w:fldCharType="separate"/>
      </w:r>
      <w:hyperlink w:anchor="_Toc194581394" w:history="1">
        <w:r w:rsidR="004647AB" w:rsidRPr="00CE5D9A">
          <w:rPr>
            <w:rStyle w:val="Hipercze"/>
            <w:rFonts w:ascii="Times New Roman" w:hAnsi="Times New Roman"/>
            <w:bCs/>
            <w:noProof/>
            <w:color w:val="auto"/>
          </w:rPr>
          <w:t xml:space="preserve">Mapa 1 Gminy objęte partnerstwem </w:t>
        </w:r>
        <w:r w:rsidR="004647AB" w:rsidRPr="00D14B74">
          <w:rPr>
            <w:rStyle w:val="Hipercze"/>
            <w:rFonts w:ascii="Times New Roman" w:hAnsi="Times New Roman"/>
            <w:bCs/>
            <w:strike/>
            <w:noProof/>
            <w:color w:val="FF0000"/>
          </w:rPr>
          <w:t>LGD Między Dalinem i Gościbią</w:t>
        </w:r>
        <w:r w:rsidR="00D14B74">
          <w:rPr>
            <w:rStyle w:val="Hipercze"/>
            <w:rFonts w:ascii="Times New Roman" w:hAnsi="Times New Roman"/>
            <w:bCs/>
            <w:noProof/>
            <w:color w:val="auto"/>
          </w:rPr>
          <w:t xml:space="preserve"> </w:t>
        </w:r>
        <w:r w:rsidR="00D14B74" w:rsidRPr="003D77F1">
          <w:rPr>
            <w:rFonts w:ascii="Times New Roman" w:hAnsi="Times New Roman"/>
            <w:color w:val="FF0000"/>
          </w:rPr>
          <w:t>LGD Regionu Myślenickiego</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_Toc194581394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11</w:t>
        </w:r>
        <w:r w:rsidR="004647AB" w:rsidRPr="00CE5D9A">
          <w:rPr>
            <w:rFonts w:ascii="Times New Roman" w:hAnsi="Times New Roman"/>
            <w:noProof/>
            <w:webHidden/>
          </w:rPr>
          <w:fldChar w:fldCharType="end"/>
        </w:r>
      </w:hyperlink>
    </w:p>
    <w:p w14:paraId="35780057" w14:textId="4BC2BEF0" w:rsidR="004647AB" w:rsidRPr="00CE5D9A" w:rsidRDefault="00970EF5">
      <w:pPr>
        <w:pStyle w:val="Spisilustracji"/>
        <w:tabs>
          <w:tab w:val="right" w:leader="dot" w:pos="10194"/>
        </w:tabs>
        <w:rPr>
          <w:rFonts w:ascii="Times New Roman" w:eastAsiaTheme="minorEastAsia" w:hAnsi="Times New Roman"/>
          <w:noProof/>
          <w:lang w:eastAsia="pl-PL"/>
        </w:rPr>
      </w:pPr>
      <w:hyperlink w:anchor="_Toc194581395" w:history="1">
        <w:r w:rsidR="004647AB" w:rsidRPr="00CE5D9A">
          <w:rPr>
            <w:rStyle w:val="Hipercze"/>
            <w:rFonts w:ascii="Times New Roman" w:hAnsi="Times New Roman"/>
            <w:bCs/>
            <w:noProof/>
            <w:color w:val="auto"/>
          </w:rPr>
          <w:t>Mapa 2 Penetracja budynkowa zasięgami Internetu stacjonarnego o przepustowości co najmniej 30 Mb/s – fragment mapy dla województwa małopolskiego</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_Toc194581395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48</w:t>
        </w:r>
        <w:r w:rsidR="004647AB" w:rsidRPr="00CE5D9A">
          <w:rPr>
            <w:rFonts w:ascii="Times New Roman" w:hAnsi="Times New Roman"/>
            <w:noProof/>
            <w:webHidden/>
          </w:rPr>
          <w:fldChar w:fldCharType="end"/>
        </w:r>
      </w:hyperlink>
    </w:p>
    <w:p w14:paraId="2DEFE271" w14:textId="77777777" w:rsidR="00686DFE" w:rsidRPr="00CE5D9A" w:rsidRDefault="00686DFE">
      <w:pPr>
        <w:spacing w:line="276" w:lineRule="auto"/>
        <w:jc w:val="both"/>
        <w:rPr>
          <w:rFonts w:ascii="Times New Roman" w:hAnsi="Times New Roman"/>
        </w:rPr>
      </w:pPr>
      <w:r w:rsidRPr="00CE5D9A">
        <w:rPr>
          <w:rFonts w:ascii="Times New Roman" w:hAnsi="Times New Roman"/>
        </w:rPr>
        <w:fldChar w:fldCharType="end"/>
      </w:r>
    </w:p>
    <w:p w14:paraId="66CEDE9E" w14:textId="77777777" w:rsidR="00686DFE" w:rsidRPr="00CE5D9A" w:rsidRDefault="00686DFE">
      <w:pPr>
        <w:pStyle w:val="Nagwek2"/>
        <w:spacing w:after="240"/>
        <w:ind w:firstLine="360"/>
        <w:rPr>
          <w:rFonts w:ascii="Times New Roman" w:hAnsi="Times New Roman"/>
          <w:b/>
          <w:bCs/>
          <w:color w:val="auto"/>
          <w:sz w:val="22"/>
          <w:szCs w:val="22"/>
        </w:rPr>
      </w:pPr>
      <w:bookmarkStart w:id="171" w:name="_Toc135647316"/>
      <w:bookmarkStart w:id="172" w:name="_Toc135994845"/>
      <w:r w:rsidRPr="00CE5D9A">
        <w:rPr>
          <w:rFonts w:ascii="Times New Roman" w:hAnsi="Times New Roman"/>
          <w:b/>
          <w:bCs/>
          <w:color w:val="auto"/>
          <w:sz w:val="22"/>
          <w:szCs w:val="22"/>
        </w:rPr>
        <w:t>Spis wykresów</w:t>
      </w:r>
      <w:bookmarkEnd w:id="171"/>
      <w:bookmarkEnd w:id="172"/>
    </w:p>
    <w:p w14:paraId="1FE96236" w14:textId="41FC76AF" w:rsidR="004647AB" w:rsidRPr="00CE5D9A" w:rsidRDefault="00686DFE" w:rsidP="004647AB">
      <w:pPr>
        <w:pStyle w:val="Spisilustracji"/>
        <w:tabs>
          <w:tab w:val="right" w:leader="dot" w:pos="10194"/>
        </w:tabs>
        <w:jc w:val="both"/>
        <w:rPr>
          <w:rFonts w:ascii="Times New Roman" w:eastAsiaTheme="minorEastAsia" w:hAnsi="Times New Roman"/>
          <w:noProof/>
          <w:lang w:eastAsia="pl-PL"/>
        </w:rPr>
      </w:pPr>
      <w:r w:rsidRPr="00CE5D9A">
        <w:rPr>
          <w:rFonts w:ascii="Times New Roman" w:hAnsi="Times New Roman"/>
        </w:rPr>
        <w:fldChar w:fldCharType="begin"/>
      </w:r>
      <w:r w:rsidRPr="00CE5D9A">
        <w:rPr>
          <w:rFonts w:ascii="Times New Roman" w:hAnsi="Times New Roman"/>
        </w:rPr>
        <w:instrText xml:space="preserve"> TOC \h \z \c "Wykres" </w:instrText>
      </w:r>
      <w:r w:rsidRPr="00CE5D9A">
        <w:rPr>
          <w:rFonts w:ascii="Times New Roman" w:hAnsi="Times New Roman"/>
        </w:rPr>
        <w:fldChar w:fldCharType="separate"/>
      </w:r>
      <w:hyperlink w:anchor="_Toc194581410" w:history="1">
        <w:r w:rsidR="004647AB" w:rsidRPr="00CE5D9A">
          <w:rPr>
            <w:rStyle w:val="Hipercze"/>
            <w:rFonts w:ascii="Times New Roman" w:hAnsi="Times New Roman"/>
            <w:bCs/>
            <w:noProof/>
            <w:color w:val="auto"/>
          </w:rPr>
          <w:t>Wykres 1 Liczba ludności ogółem na obszarze LGD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_Toc194581410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21</w:t>
        </w:r>
        <w:r w:rsidR="004647AB" w:rsidRPr="00CE5D9A">
          <w:rPr>
            <w:rFonts w:ascii="Times New Roman" w:hAnsi="Times New Roman"/>
            <w:noProof/>
            <w:webHidden/>
          </w:rPr>
          <w:fldChar w:fldCharType="end"/>
        </w:r>
      </w:hyperlink>
    </w:p>
    <w:p w14:paraId="57697C05" w14:textId="033A8CE1"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1" w:history="1">
        <w:r w:rsidR="004647AB" w:rsidRPr="00CE5D9A">
          <w:rPr>
            <w:rStyle w:val="Hipercze"/>
            <w:rFonts w:ascii="Times New Roman" w:hAnsi="Times New Roman"/>
            <w:bCs/>
            <w:noProof/>
            <w:color w:val="auto"/>
          </w:rPr>
          <w:t>Wykres 2 Udział ludności wg ekonomicznych grup wieku w % ludności ogółem na obszarze LGD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_Toc194581411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22</w:t>
        </w:r>
        <w:r w:rsidR="004647AB" w:rsidRPr="00CE5D9A">
          <w:rPr>
            <w:rFonts w:ascii="Times New Roman" w:hAnsi="Times New Roman"/>
            <w:noProof/>
            <w:webHidden/>
          </w:rPr>
          <w:fldChar w:fldCharType="end"/>
        </w:r>
      </w:hyperlink>
    </w:p>
    <w:p w14:paraId="04C7B3D2" w14:textId="15DCF283"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2" w:history="1">
        <w:r w:rsidR="004647AB" w:rsidRPr="00CE5D9A">
          <w:rPr>
            <w:rStyle w:val="Hipercze"/>
            <w:rFonts w:ascii="Times New Roman" w:hAnsi="Times New Roman"/>
            <w:bCs/>
            <w:noProof/>
            <w:color w:val="auto"/>
          </w:rPr>
          <w:t>Wykres 3 Udział ludności wg ekonomicznych grup wieku w % ludności ogółem na obszarze LGD w porównaniu do średniej dla województwa i kraju w 2021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_Toc194581412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22</w:t>
        </w:r>
        <w:r w:rsidR="004647AB" w:rsidRPr="00CE5D9A">
          <w:rPr>
            <w:rFonts w:ascii="Times New Roman" w:hAnsi="Times New Roman"/>
            <w:noProof/>
            <w:webHidden/>
          </w:rPr>
          <w:fldChar w:fldCharType="end"/>
        </w:r>
      </w:hyperlink>
    </w:p>
    <w:p w14:paraId="7C4A3742" w14:textId="1887CCC0"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3" w:history="1">
        <w:r w:rsidR="004647AB" w:rsidRPr="00CE5D9A">
          <w:rPr>
            <w:rStyle w:val="Hipercze"/>
            <w:rFonts w:ascii="Times New Roman" w:hAnsi="Times New Roman"/>
            <w:bCs/>
            <w:noProof/>
            <w:color w:val="auto"/>
          </w:rPr>
          <w:t>Wykres 4 Przyrost naturalny na 1 000 ludności na obszarze LGD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_Toc194581413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23</w:t>
        </w:r>
        <w:r w:rsidR="004647AB" w:rsidRPr="00CE5D9A">
          <w:rPr>
            <w:rFonts w:ascii="Times New Roman" w:hAnsi="Times New Roman"/>
            <w:noProof/>
            <w:webHidden/>
          </w:rPr>
          <w:fldChar w:fldCharType="end"/>
        </w:r>
      </w:hyperlink>
    </w:p>
    <w:p w14:paraId="4636D31E" w14:textId="5899EC47"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4" w:history="1">
        <w:r w:rsidR="004647AB" w:rsidRPr="00CE5D9A">
          <w:rPr>
            <w:rStyle w:val="Hipercze"/>
            <w:rFonts w:ascii="Times New Roman" w:hAnsi="Times New Roman"/>
            <w:bCs/>
            <w:noProof/>
            <w:color w:val="auto"/>
          </w:rPr>
          <w:t>Wykres 5 Saldo migracji na 1 000 ludności na obszarze LGD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_Toc194581414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23</w:t>
        </w:r>
        <w:r w:rsidR="004647AB" w:rsidRPr="00CE5D9A">
          <w:rPr>
            <w:rFonts w:ascii="Times New Roman" w:hAnsi="Times New Roman"/>
            <w:noProof/>
            <w:webHidden/>
          </w:rPr>
          <w:fldChar w:fldCharType="end"/>
        </w:r>
      </w:hyperlink>
    </w:p>
    <w:p w14:paraId="404DEE34" w14:textId="37C4C85A"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5" w:history="1">
        <w:r w:rsidR="004647AB" w:rsidRPr="00CE5D9A">
          <w:rPr>
            <w:rStyle w:val="Hipercze"/>
            <w:rFonts w:ascii="Times New Roman" w:hAnsi="Times New Roman"/>
            <w:bCs/>
            <w:noProof/>
            <w:color w:val="auto"/>
          </w:rPr>
          <w:t>Wykres 6 Saldo migracji na 1 000 ludności na obszarze LGD w porównaniu do województwa i kraju w 2021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_Toc194581415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24</w:t>
        </w:r>
        <w:r w:rsidR="004647AB" w:rsidRPr="00CE5D9A">
          <w:rPr>
            <w:rFonts w:ascii="Times New Roman" w:hAnsi="Times New Roman"/>
            <w:noProof/>
            <w:webHidden/>
          </w:rPr>
          <w:fldChar w:fldCharType="end"/>
        </w:r>
      </w:hyperlink>
    </w:p>
    <w:p w14:paraId="08B82599" w14:textId="23D973E0"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6" w:history="1">
        <w:r w:rsidR="004647AB" w:rsidRPr="00CE5D9A">
          <w:rPr>
            <w:rStyle w:val="Hipercze"/>
            <w:rFonts w:ascii="Times New Roman" w:hAnsi="Times New Roman"/>
            <w:bCs/>
            <w:noProof/>
            <w:color w:val="auto"/>
          </w:rPr>
          <w:t>Wykres 7</w:t>
        </w:r>
        <w:r w:rsidR="004647AB" w:rsidRPr="00CE5D9A">
          <w:rPr>
            <w:rStyle w:val="Hipercze"/>
            <w:rFonts w:ascii="Times New Roman" w:hAnsi="Times New Roman"/>
            <w:noProof/>
            <w:color w:val="auto"/>
          </w:rPr>
          <w:t xml:space="preserve"> </w:t>
        </w:r>
        <w:r w:rsidR="004647AB" w:rsidRPr="00CE5D9A">
          <w:rPr>
            <w:rStyle w:val="Hipercze"/>
            <w:rFonts w:ascii="Times New Roman" w:hAnsi="Times New Roman"/>
            <w:bCs/>
            <w:noProof/>
            <w:color w:val="auto"/>
          </w:rPr>
          <w:t>Dynamika wzrostu wartości wskaźników gospodarczych obszaru LGD, województwa i kraju – wzrost procentowy w 2021 r. w stosunku do 2016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_Toc194581416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25</w:t>
        </w:r>
        <w:r w:rsidR="004647AB" w:rsidRPr="00CE5D9A">
          <w:rPr>
            <w:rFonts w:ascii="Times New Roman" w:hAnsi="Times New Roman"/>
            <w:noProof/>
            <w:webHidden/>
          </w:rPr>
          <w:fldChar w:fldCharType="end"/>
        </w:r>
      </w:hyperlink>
    </w:p>
    <w:p w14:paraId="1B8716DB" w14:textId="5B3CBC3D"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7" w:history="1">
        <w:r w:rsidR="004647AB" w:rsidRPr="00CE5D9A">
          <w:rPr>
            <w:rStyle w:val="Hipercze"/>
            <w:rFonts w:ascii="Times New Roman" w:hAnsi="Times New Roman"/>
            <w:bCs/>
            <w:noProof/>
            <w:color w:val="auto"/>
          </w:rPr>
          <w:t>Wykres 8 Liczba fundacji, stowarzyszeń, organizacji społecznych na 10 tys. mieszkańców na obszarze LGD  w porównaniu do województwa i kraju w 2021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_Toc194581417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28</w:t>
        </w:r>
        <w:r w:rsidR="004647AB" w:rsidRPr="00CE5D9A">
          <w:rPr>
            <w:rFonts w:ascii="Times New Roman" w:hAnsi="Times New Roman"/>
            <w:noProof/>
            <w:webHidden/>
          </w:rPr>
          <w:fldChar w:fldCharType="end"/>
        </w:r>
      </w:hyperlink>
    </w:p>
    <w:p w14:paraId="288492D9" w14:textId="7402EA9E"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8" w:history="1">
        <w:r w:rsidR="004647AB" w:rsidRPr="00CE5D9A">
          <w:rPr>
            <w:rStyle w:val="Hipercze"/>
            <w:rFonts w:ascii="Times New Roman" w:hAnsi="Times New Roman"/>
            <w:bCs/>
            <w:noProof/>
            <w:color w:val="auto"/>
          </w:rPr>
          <w:t>Wykres 9 Procentowy udział bezrobotnych według płci na obszarze LGD, w województwie i kraju w 2021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_Toc194581418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29</w:t>
        </w:r>
        <w:r w:rsidR="004647AB" w:rsidRPr="00CE5D9A">
          <w:rPr>
            <w:rFonts w:ascii="Times New Roman" w:hAnsi="Times New Roman"/>
            <w:noProof/>
            <w:webHidden/>
          </w:rPr>
          <w:fldChar w:fldCharType="end"/>
        </w:r>
      </w:hyperlink>
    </w:p>
    <w:p w14:paraId="010246A8" w14:textId="39229BDF"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19" w:history="1">
        <w:r w:rsidR="004647AB" w:rsidRPr="00CE5D9A">
          <w:rPr>
            <w:rStyle w:val="Hipercze"/>
            <w:rFonts w:ascii="Times New Roman" w:hAnsi="Times New Roman"/>
            <w:bCs/>
            <w:noProof/>
            <w:color w:val="auto"/>
          </w:rPr>
          <w:t>Wykres 10</w:t>
        </w:r>
        <w:r w:rsidR="004647AB" w:rsidRPr="00CE5D9A">
          <w:rPr>
            <w:rStyle w:val="Hipercze"/>
            <w:rFonts w:ascii="Times New Roman" w:hAnsi="Times New Roman"/>
            <w:noProof/>
            <w:color w:val="auto"/>
          </w:rPr>
          <w:t xml:space="preserve"> </w:t>
        </w:r>
        <w:r w:rsidR="004647AB" w:rsidRPr="00CE5D9A">
          <w:rPr>
            <w:rStyle w:val="Hipercze"/>
            <w:rFonts w:ascii="Times New Roman" w:hAnsi="Times New Roman"/>
            <w:bCs/>
            <w:noProof/>
            <w:color w:val="auto"/>
          </w:rPr>
          <w:t>Udział osób korzystających ze środowiskowej pomocy społecznej w liczbie mieszkańców ogółem na obszarze LGD w latach 2016–2020</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_Toc194581419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30</w:t>
        </w:r>
        <w:r w:rsidR="004647AB" w:rsidRPr="00CE5D9A">
          <w:rPr>
            <w:rFonts w:ascii="Times New Roman" w:hAnsi="Times New Roman"/>
            <w:noProof/>
            <w:webHidden/>
          </w:rPr>
          <w:fldChar w:fldCharType="end"/>
        </w:r>
      </w:hyperlink>
    </w:p>
    <w:p w14:paraId="4F5D5ADF" w14:textId="632B2C58"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0" w:history="1">
        <w:r w:rsidR="004647AB" w:rsidRPr="00CE5D9A">
          <w:rPr>
            <w:rStyle w:val="Hipercze"/>
            <w:rFonts w:ascii="Times New Roman" w:hAnsi="Times New Roman"/>
            <w:bCs/>
            <w:noProof/>
            <w:color w:val="auto"/>
          </w:rPr>
          <w:t>Wykres 11 Udział osób korzystających ze środowiskowej pomocy społecznej w liczbie mieszkańców ogółem na obszarze LGD w porównaniu do województwa i kraju w 2020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_Toc194581420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30</w:t>
        </w:r>
        <w:r w:rsidR="004647AB" w:rsidRPr="00CE5D9A">
          <w:rPr>
            <w:rFonts w:ascii="Times New Roman" w:hAnsi="Times New Roman"/>
            <w:noProof/>
            <w:webHidden/>
          </w:rPr>
          <w:fldChar w:fldCharType="end"/>
        </w:r>
      </w:hyperlink>
    </w:p>
    <w:p w14:paraId="4B73ED8F" w14:textId="64DF3F43"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1" w:history="1">
        <w:r w:rsidR="004647AB" w:rsidRPr="00CE5D9A">
          <w:rPr>
            <w:rStyle w:val="Hipercze"/>
            <w:rFonts w:ascii="Times New Roman" w:hAnsi="Times New Roman"/>
            <w:bCs/>
            <w:noProof/>
            <w:color w:val="auto"/>
          </w:rPr>
          <w:t>Wykres 12 Udział % korzystających z instalacji w ogóle ludności na obszarze LGD, w województwie i kraju w 2020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_Toc194581421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37</w:t>
        </w:r>
        <w:r w:rsidR="004647AB" w:rsidRPr="00CE5D9A">
          <w:rPr>
            <w:rFonts w:ascii="Times New Roman" w:hAnsi="Times New Roman"/>
            <w:noProof/>
            <w:webHidden/>
          </w:rPr>
          <w:fldChar w:fldCharType="end"/>
        </w:r>
      </w:hyperlink>
    </w:p>
    <w:p w14:paraId="396D765E" w14:textId="5F83704F"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2" w:history="1">
        <w:r w:rsidR="004647AB" w:rsidRPr="00CE5D9A">
          <w:rPr>
            <w:rStyle w:val="Hipercze"/>
            <w:rFonts w:ascii="Times New Roman" w:hAnsi="Times New Roman"/>
            <w:bCs/>
            <w:noProof/>
            <w:color w:val="auto"/>
          </w:rPr>
          <w:t>Wykres 13 Uczniowie w oddziałach specjalnych, integracyjnych i ogólnodostępnych na 10 tys. ludności na obszarze LGD w porównaniu do województwa i kraju w 2021 roku</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_Toc194581422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46</w:t>
        </w:r>
        <w:r w:rsidR="004647AB" w:rsidRPr="00CE5D9A">
          <w:rPr>
            <w:rFonts w:ascii="Times New Roman" w:hAnsi="Times New Roman"/>
            <w:noProof/>
            <w:webHidden/>
          </w:rPr>
          <w:fldChar w:fldCharType="end"/>
        </w:r>
      </w:hyperlink>
    </w:p>
    <w:p w14:paraId="52229C68" w14:textId="77777777" w:rsidR="00686DFE" w:rsidRPr="00CE5D9A" w:rsidRDefault="00686DFE" w:rsidP="004647AB">
      <w:pPr>
        <w:spacing w:line="276" w:lineRule="auto"/>
        <w:jc w:val="both"/>
        <w:rPr>
          <w:rFonts w:ascii="Times New Roman" w:hAnsi="Times New Roman"/>
        </w:rPr>
      </w:pPr>
      <w:r w:rsidRPr="00CE5D9A">
        <w:rPr>
          <w:rFonts w:ascii="Times New Roman" w:hAnsi="Times New Roman"/>
        </w:rPr>
        <w:fldChar w:fldCharType="end"/>
      </w:r>
    </w:p>
    <w:p w14:paraId="14D72883" w14:textId="77777777" w:rsidR="00686DFE" w:rsidRPr="00CE5D9A" w:rsidRDefault="00686DFE">
      <w:pPr>
        <w:pStyle w:val="Nagwek2"/>
        <w:spacing w:after="240"/>
        <w:ind w:firstLine="360"/>
        <w:rPr>
          <w:rFonts w:ascii="Times New Roman" w:hAnsi="Times New Roman"/>
          <w:b/>
          <w:bCs/>
          <w:color w:val="auto"/>
          <w:sz w:val="22"/>
          <w:szCs w:val="22"/>
        </w:rPr>
      </w:pPr>
      <w:bookmarkStart w:id="173" w:name="_Toc135994846"/>
      <w:bookmarkStart w:id="174" w:name="_Toc135647317"/>
      <w:r w:rsidRPr="00CE5D9A">
        <w:rPr>
          <w:rFonts w:ascii="Times New Roman" w:hAnsi="Times New Roman"/>
          <w:b/>
          <w:bCs/>
          <w:color w:val="auto"/>
          <w:sz w:val="22"/>
          <w:szCs w:val="22"/>
        </w:rPr>
        <w:t>Spis tabel</w:t>
      </w:r>
      <w:bookmarkEnd w:id="173"/>
      <w:bookmarkEnd w:id="174"/>
    </w:p>
    <w:p w14:paraId="0730B50F" w14:textId="39C26A44" w:rsidR="004647AB" w:rsidRPr="00CE5D9A" w:rsidRDefault="00686DFE" w:rsidP="004647AB">
      <w:pPr>
        <w:pStyle w:val="Spisilustracji"/>
        <w:tabs>
          <w:tab w:val="right" w:leader="dot" w:pos="10194"/>
        </w:tabs>
        <w:jc w:val="both"/>
        <w:rPr>
          <w:rFonts w:ascii="Times New Roman" w:eastAsiaTheme="minorEastAsia" w:hAnsi="Times New Roman"/>
          <w:noProof/>
          <w:lang w:eastAsia="pl-PL"/>
        </w:rPr>
      </w:pPr>
      <w:r w:rsidRPr="00CE5D9A">
        <w:rPr>
          <w:rFonts w:ascii="Times New Roman" w:hAnsi="Times New Roman"/>
        </w:rPr>
        <w:fldChar w:fldCharType="begin"/>
      </w:r>
      <w:r w:rsidRPr="00CE5D9A">
        <w:rPr>
          <w:rFonts w:ascii="Times New Roman" w:hAnsi="Times New Roman"/>
        </w:rPr>
        <w:instrText xml:space="preserve"> TOC \h \z \c "Tabela" </w:instrText>
      </w:r>
      <w:r w:rsidRPr="00CE5D9A">
        <w:rPr>
          <w:rFonts w:ascii="Times New Roman" w:hAnsi="Times New Roman"/>
        </w:rPr>
        <w:fldChar w:fldCharType="separate"/>
      </w:r>
      <w:hyperlink w:anchor="_Toc194581425" w:history="1">
        <w:r w:rsidR="004647AB" w:rsidRPr="00CE5D9A">
          <w:rPr>
            <w:rStyle w:val="Hipercze"/>
            <w:rFonts w:ascii="Times New Roman" w:hAnsi="Times New Roman"/>
            <w:bCs/>
            <w:noProof/>
            <w:color w:val="auto"/>
          </w:rPr>
          <w:t>Tabela 1 Dokumenty regulujące funkcjonowanie LGD</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_Toc194581425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10</w:t>
        </w:r>
        <w:r w:rsidR="004647AB" w:rsidRPr="00CE5D9A">
          <w:rPr>
            <w:rFonts w:ascii="Times New Roman" w:hAnsi="Times New Roman"/>
            <w:noProof/>
            <w:webHidden/>
          </w:rPr>
          <w:fldChar w:fldCharType="end"/>
        </w:r>
      </w:hyperlink>
    </w:p>
    <w:p w14:paraId="729EADEE" w14:textId="68421FA9"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6" w:history="1">
        <w:r w:rsidR="004647AB" w:rsidRPr="00CE5D9A">
          <w:rPr>
            <w:rStyle w:val="Hipercze"/>
            <w:rFonts w:ascii="Times New Roman" w:hAnsi="Times New Roman"/>
            <w:bCs/>
            <w:noProof/>
            <w:color w:val="auto"/>
          </w:rPr>
          <w:t xml:space="preserve">Tabela 2 Podstawowe dane o gminach obszaru </w:t>
        </w:r>
        <w:r w:rsidR="004647AB" w:rsidRPr="00007063">
          <w:rPr>
            <w:rStyle w:val="Hipercze"/>
            <w:rFonts w:ascii="Times New Roman" w:hAnsi="Times New Roman"/>
            <w:bCs/>
            <w:strike/>
            <w:noProof/>
            <w:color w:val="FF0000"/>
          </w:rPr>
          <w:t>LGD Między Dalinem i Gościbią</w:t>
        </w:r>
        <w:r w:rsidR="00007063">
          <w:rPr>
            <w:rStyle w:val="Hipercze"/>
            <w:rFonts w:ascii="Times New Roman" w:hAnsi="Times New Roman"/>
            <w:bCs/>
            <w:strike/>
            <w:noProof/>
            <w:color w:val="FF0000"/>
          </w:rPr>
          <w:t xml:space="preserve"> </w:t>
        </w:r>
        <w:r w:rsidR="00007063" w:rsidRPr="00007063">
          <w:rPr>
            <w:rFonts w:ascii="Times New Roman" w:hAnsi="Times New Roman"/>
            <w:iCs/>
            <w:color w:val="FF0000"/>
          </w:rPr>
          <w:t>LGD Regionu Myślenickiego</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_Toc194581426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11</w:t>
        </w:r>
        <w:r w:rsidR="004647AB" w:rsidRPr="00CE5D9A">
          <w:rPr>
            <w:rFonts w:ascii="Times New Roman" w:hAnsi="Times New Roman"/>
            <w:noProof/>
            <w:webHidden/>
          </w:rPr>
          <w:fldChar w:fldCharType="end"/>
        </w:r>
      </w:hyperlink>
    </w:p>
    <w:p w14:paraId="4C83671D" w14:textId="00E49FC6"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7" w:history="1">
        <w:r w:rsidR="004647AB" w:rsidRPr="00CE5D9A">
          <w:rPr>
            <w:rStyle w:val="Hipercze"/>
            <w:rFonts w:ascii="Times New Roman" w:hAnsi="Times New Roman"/>
            <w:bCs/>
            <w:noProof/>
            <w:color w:val="auto"/>
          </w:rPr>
          <w:t>Tabela 3 Ludność poszczególnych gmin LGD w 2020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_Toc194581427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21</w:t>
        </w:r>
        <w:r w:rsidR="004647AB" w:rsidRPr="00CE5D9A">
          <w:rPr>
            <w:rFonts w:ascii="Times New Roman" w:hAnsi="Times New Roman"/>
            <w:noProof/>
            <w:webHidden/>
          </w:rPr>
          <w:fldChar w:fldCharType="end"/>
        </w:r>
      </w:hyperlink>
    </w:p>
    <w:p w14:paraId="6817B3B3" w14:textId="628CF54C"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8" w:history="1">
        <w:r w:rsidR="004647AB" w:rsidRPr="00CE5D9A">
          <w:rPr>
            <w:rStyle w:val="Hipercze"/>
            <w:rFonts w:ascii="Times New Roman" w:hAnsi="Times New Roman"/>
            <w:bCs/>
            <w:noProof/>
            <w:color w:val="auto"/>
          </w:rPr>
          <w:t>Tabela 4 Pozwolenia wydane na budowę i zgłoszenia budowy z projektem budowlanym w przeliczeniu na 10 tys. mieszkańców w poszczególnych gminach LGD oraz porównanie średniej obszaru LGD do województwa i kraju  w latach 2018–2021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_Toc194581428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24</w:t>
        </w:r>
        <w:r w:rsidR="004647AB" w:rsidRPr="00CE5D9A">
          <w:rPr>
            <w:rFonts w:ascii="Times New Roman" w:hAnsi="Times New Roman"/>
            <w:noProof/>
            <w:webHidden/>
          </w:rPr>
          <w:fldChar w:fldCharType="end"/>
        </w:r>
      </w:hyperlink>
    </w:p>
    <w:p w14:paraId="7055D701" w14:textId="499E66E8"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29" w:history="1">
        <w:r w:rsidR="004647AB" w:rsidRPr="00CE5D9A">
          <w:rPr>
            <w:rStyle w:val="Hipercze"/>
            <w:rFonts w:ascii="Times New Roman" w:hAnsi="Times New Roman"/>
            <w:bCs/>
            <w:noProof/>
            <w:color w:val="auto"/>
          </w:rPr>
          <w:t>Tabela 5 Wskaźniki gospodarcze na obszarze LGD oraz porównanie do województwa i kraju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_Toc194581429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25</w:t>
        </w:r>
        <w:r w:rsidR="004647AB" w:rsidRPr="00CE5D9A">
          <w:rPr>
            <w:rFonts w:ascii="Times New Roman" w:hAnsi="Times New Roman"/>
            <w:noProof/>
            <w:webHidden/>
          </w:rPr>
          <w:fldChar w:fldCharType="end"/>
        </w:r>
      </w:hyperlink>
    </w:p>
    <w:p w14:paraId="282640AB" w14:textId="6302AF83"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0" w:history="1">
        <w:r w:rsidR="004647AB" w:rsidRPr="00CE5D9A">
          <w:rPr>
            <w:rStyle w:val="Hipercze"/>
            <w:rFonts w:ascii="Times New Roman" w:hAnsi="Times New Roman"/>
            <w:bCs/>
            <w:noProof/>
            <w:color w:val="auto"/>
          </w:rPr>
          <w:t>Tabela 6 Wskaźniki dotyczące przedsiębiorczości dla obszaru LGD w porównaniu do województwa i kraju  w roku 2016 i 2020</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_Toc194581430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26</w:t>
        </w:r>
        <w:r w:rsidR="004647AB" w:rsidRPr="00CE5D9A">
          <w:rPr>
            <w:rFonts w:ascii="Times New Roman" w:hAnsi="Times New Roman"/>
            <w:noProof/>
            <w:webHidden/>
          </w:rPr>
          <w:fldChar w:fldCharType="end"/>
        </w:r>
      </w:hyperlink>
    </w:p>
    <w:p w14:paraId="5E8BAAF9" w14:textId="15AA9366"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1" w:history="1">
        <w:r w:rsidR="004647AB" w:rsidRPr="00CE5D9A">
          <w:rPr>
            <w:rStyle w:val="Hipercze"/>
            <w:rFonts w:ascii="Times New Roman" w:hAnsi="Times New Roman"/>
            <w:bCs/>
            <w:noProof/>
            <w:color w:val="auto"/>
          </w:rPr>
          <w:t>Tabela 7 Udział podmiotów gospodarczych według grup rodzajów działalności (PKD 2007) w poszczególnych gminach LGD, średnio na obszarze, w województwie i kraju w 2021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_Toc194581431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27</w:t>
        </w:r>
        <w:r w:rsidR="004647AB" w:rsidRPr="00CE5D9A">
          <w:rPr>
            <w:rFonts w:ascii="Times New Roman" w:hAnsi="Times New Roman"/>
            <w:noProof/>
            <w:webHidden/>
          </w:rPr>
          <w:fldChar w:fldCharType="end"/>
        </w:r>
      </w:hyperlink>
    </w:p>
    <w:p w14:paraId="2F2AFDE8" w14:textId="39B52F40"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2" w:history="1">
        <w:r w:rsidR="004647AB" w:rsidRPr="00CE5D9A">
          <w:rPr>
            <w:rStyle w:val="Hipercze"/>
            <w:rFonts w:ascii="Times New Roman" w:hAnsi="Times New Roman"/>
            <w:bCs/>
            <w:noProof/>
            <w:color w:val="auto"/>
          </w:rPr>
          <w:t>Tabela 8 Wskaźniki bezrobocia na obszarze LGD, średnio w województwie i kraju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_Toc194581432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29</w:t>
        </w:r>
        <w:r w:rsidR="004647AB" w:rsidRPr="00CE5D9A">
          <w:rPr>
            <w:rFonts w:ascii="Times New Roman" w:hAnsi="Times New Roman"/>
            <w:noProof/>
            <w:webHidden/>
          </w:rPr>
          <w:fldChar w:fldCharType="end"/>
        </w:r>
      </w:hyperlink>
    </w:p>
    <w:p w14:paraId="1F5B72E4" w14:textId="6C95E525"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3" w:history="1">
        <w:r w:rsidR="004647AB" w:rsidRPr="00CE5D9A">
          <w:rPr>
            <w:rStyle w:val="Hipercze"/>
            <w:rFonts w:ascii="Times New Roman" w:hAnsi="Times New Roman"/>
            <w:bCs/>
            <w:noProof/>
            <w:color w:val="auto"/>
          </w:rPr>
          <w:t>Tabela 9 Gospodarstwa domowe korzystające ze środowiskowej pomocy społecznej wg kryterium dochodowego  ogółem na 10 tys. mieszkańców w gminach LGD oraz porównanie średniej obszaru LGD do województwa  i kraju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_Toc194581433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31</w:t>
        </w:r>
        <w:r w:rsidR="004647AB" w:rsidRPr="00CE5D9A">
          <w:rPr>
            <w:rFonts w:ascii="Times New Roman" w:hAnsi="Times New Roman"/>
            <w:noProof/>
            <w:webHidden/>
          </w:rPr>
          <w:fldChar w:fldCharType="end"/>
        </w:r>
      </w:hyperlink>
    </w:p>
    <w:p w14:paraId="125364DB" w14:textId="744685BA"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4" w:history="1">
        <w:r w:rsidR="004647AB" w:rsidRPr="00CE5D9A">
          <w:rPr>
            <w:rStyle w:val="Hipercze"/>
            <w:rFonts w:ascii="Times New Roman" w:hAnsi="Times New Roman"/>
            <w:bCs/>
            <w:noProof/>
            <w:color w:val="auto"/>
          </w:rPr>
          <w:t>Tabela 10 Dofinansowanie likwidacji barier architektonicznych, w komunikowaniu się i technicznych na terenie powiatu myślenickiego w latach 2016–2020</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_Toc194581434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32</w:t>
        </w:r>
        <w:r w:rsidR="004647AB" w:rsidRPr="00CE5D9A">
          <w:rPr>
            <w:rFonts w:ascii="Times New Roman" w:hAnsi="Times New Roman"/>
            <w:noProof/>
            <w:webHidden/>
          </w:rPr>
          <w:fldChar w:fldCharType="end"/>
        </w:r>
      </w:hyperlink>
    </w:p>
    <w:p w14:paraId="2450D8BD" w14:textId="1D4BB4AE"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5" w:history="1">
        <w:r w:rsidR="004647AB" w:rsidRPr="00CE5D9A">
          <w:rPr>
            <w:rStyle w:val="Hipercze"/>
            <w:rFonts w:ascii="Times New Roman" w:hAnsi="Times New Roman"/>
            <w:bCs/>
            <w:noProof/>
            <w:color w:val="auto"/>
          </w:rPr>
          <w:t>Tabela 11 Liczba wniosków o dofinansowanie ze środków PFRON latach 2016-2020</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_Toc194581435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32</w:t>
        </w:r>
        <w:r w:rsidR="004647AB" w:rsidRPr="00CE5D9A">
          <w:rPr>
            <w:rFonts w:ascii="Times New Roman" w:hAnsi="Times New Roman"/>
            <w:noProof/>
            <w:webHidden/>
          </w:rPr>
          <w:fldChar w:fldCharType="end"/>
        </w:r>
      </w:hyperlink>
    </w:p>
    <w:p w14:paraId="4C978075" w14:textId="6DE66637"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6" w:history="1">
        <w:r w:rsidR="004647AB" w:rsidRPr="00CE5D9A">
          <w:rPr>
            <w:rStyle w:val="Hipercze"/>
            <w:rFonts w:ascii="Times New Roman" w:hAnsi="Times New Roman"/>
            <w:bCs/>
            <w:noProof/>
            <w:color w:val="auto"/>
          </w:rPr>
          <w:t>Tabela 12</w:t>
        </w:r>
        <w:r w:rsidR="004647AB" w:rsidRPr="00CE5D9A">
          <w:rPr>
            <w:rStyle w:val="Hipercze"/>
            <w:rFonts w:ascii="Times New Roman" w:hAnsi="Times New Roman"/>
            <w:noProof/>
            <w:color w:val="auto"/>
          </w:rPr>
          <w:t xml:space="preserve"> </w:t>
        </w:r>
        <w:r w:rsidR="004647AB" w:rsidRPr="00CE5D9A">
          <w:rPr>
            <w:rStyle w:val="Hipercze"/>
            <w:rFonts w:ascii="Times New Roman" w:hAnsi="Times New Roman"/>
            <w:bCs/>
            <w:noProof/>
            <w:color w:val="auto"/>
          </w:rPr>
          <w:t>Dochody ogółem i dochody własne na 1 mieszkańca (zł) na obszarze LGD oraz porównanie do województwa i kraju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_Toc194581436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33</w:t>
        </w:r>
        <w:r w:rsidR="004647AB" w:rsidRPr="00CE5D9A">
          <w:rPr>
            <w:rFonts w:ascii="Times New Roman" w:hAnsi="Times New Roman"/>
            <w:noProof/>
            <w:webHidden/>
          </w:rPr>
          <w:fldChar w:fldCharType="end"/>
        </w:r>
      </w:hyperlink>
    </w:p>
    <w:p w14:paraId="6B27F260" w14:textId="12176828"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7" w:history="1">
        <w:r w:rsidR="004647AB" w:rsidRPr="00CE5D9A">
          <w:rPr>
            <w:rStyle w:val="Hipercze"/>
            <w:rFonts w:ascii="Times New Roman" w:hAnsi="Times New Roman"/>
            <w:bCs/>
            <w:noProof/>
            <w:color w:val="auto"/>
          </w:rPr>
          <w:t>Tabela 13 Wskaźnik G (zł) dla poszczególnych gmin LGD oraz średnia wartość obszaru LGD w latach 2020–2022</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_Toc194581437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34</w:t>
        </w:r>
        <w:r w:rsidR="004647AB" w:rsidRPr="00CE5D9A">
          <w:rPr>
            <w:rFonts w:ascii="Times New Roman" w:hAnsi="Times New Roman"/>
            <w:noProof/>
            <w:webHidden/>
          </w:rPr>
          <w:fldChar w:fldCharType="end"/>
        </w:r>
      </w:hyperlink>
    </w:p>
    <w:p w14:paraId="768A3FF6" w14:textId="4E383032"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8" w:history="1">
        <w:r w:rsidR="004647AB" w:rsidRPr="00CE5D9A">
          <w:rPr>
            <w:rStyle w:val="Hipercze"/>
            <w:rFonts w:ascii="Times New Roman" w:hAnsi="Times New Roman"/>
            <w:bCs/>
            <w:noProof/>
            <w:color w:val="auto"/>
          </w:rPr>
          <w:t>Tabela 14 Udział dzieci objętych wychowaniem przedszkolnym w ogólnej liczbie dzieci w wieku 3–5 lat oraz liczba dzieci przypadająca na 1 placówkę wychowania przedszkolnego w gminach LGD oraz porównanie średniej obszaru LGD do województwa i kraju w latach 2016–2021</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_Toc194581438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37</w:t>
        </w:r>
        <w:r w:rsidR="004647AB" w:rsidRPr="00CE5D9A">
          <w:rPr>
            <w:rFonts w:ascii="Times New Roman" w:hAnsi="Times New Roman"/>
            <w:noProof/>
            <w:webHidden/>
          </w:rPr>
          <w:fldChar w:fldCharType="end"/>
        </w:r>
      </w:hyperlink>
    </w:p>
    <w:p w14:paraId="30C4C092" w14:textId="2D703021"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39" w:history="1">
        <w:r w:rsidR="004647AB" w:rsidRPr="00CE5D9A">
          <w:rPr>
            <w:rStyle w:val="Hipercze"/>
            <w:rFonts w:ascii="Times New Roman" w:hAnsi="Times New Roman"/>
            <w:bCs/>
            <w:noProof/>
            <w:color w:val="auto"/>
          </w:rPr>
          <w:t>Tabela 15 Struktura gospodarstw rolnych w poszczególnych gminach LGD oraz porównanie średniej obszaru LGD do województwa i kraju w 2020 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_Toc194581439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42</w:t>
        </w:r>
        <w:r w:rsidR="004647AB" w:rsidRPr="00CE5D9A">
          <w:rPr>
            <w:rFonts w:ascii="Times New Roman" w:hAnsi="Times New Roman"/>
            <w:noProof/>
            <w:webHidden/>
          </w:rPr>
          <w:fldChar w:fldCharType="end"/>
        </w:r>
      </w:hyperlink>
    </w:p>
    <w:p w14:paraId="071C72CA" w14:textId="6400748F"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0" w:history="1">
        <w:r w:rsidR="004647AB" w:rsidRPr="00CE5D9A">
          <w:rPr>
            <w:rStyle w:val="Hipercze"/>
            <w:rFonts w:ascii="Times New Roman" w:hAnsi="Times New Roman"/>
            <w:bCs/>
            <w:noProof/>
            <w:color w:val="auto"/>
          </w:rPr>
          <w:t>Tabela 16 Współczynnik skolaryzacji brutto oraz liczba uczniów w przeliczeniu na 1 000 mieszkańców  w poszczególnych gminach LGD oraz porównanie średniej obszaru LGD do województwa i kraju w latach 2016–2020</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_Toc194581440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44</w:t>
        </w:r>
        <w:r w:rsidR="004647AB" w:rsidRPr="00CE5D9A">
          <w:rPr>
            <w:rFonts w:ascii="Times New Roman" w:hAnsi="Times New Roman"/>
            <w:noProof/>
            <w:webHidden/>
          </w:rPr>
          <w:fldChar w:fldCharType="end"/>
        </w:r>
      </w:hyperlink>
    </w:p>
    <w:p w14:paraId="696C6960" w14:textId="751EFF6B"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1" w:history="1">
        <w:r w:rsidR="004647AB" w:rsidRPr="00CE5D9A">
          <w:rPr>
            <w:rStyle w:val="Hipercze"/>
            <w:rFonts w:ascii="Times New Roman" w:hAnsi="Times New Roman"/>
            <w:bCs/>
            <w:noProof/>
            <w:color w:val="auto"/>
          </w:rPr>
          <w:t>Tabela 17 Wyniki egzaminu ósmoklasisty w poszczególnych gminach LGD oraz porównanie średniej obszaru LGD do województwa i kraju w latach 2019–2022</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_Toc194581441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45</w:t>
        </w:r>
        <w:r w:rsidR="004647AB" w:rsidRPr="00CE5D9A">
          <w:rPr>
            <w:rFonts w:ascii="Times New Roman" w:hAnsi="Times New Roman"/>
            <w:noProof/>
            <w:webHidden/>
          </w:rPr>
          <w:fldChar w:fldCharType="end"/>
        </w:r>
      </w:hyperlink>
    </w:p>
    <w:p w14:paraId="7F137857" w14:textId="5DA20591"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2" w:history="1">
        <w:r w:rsidR="004647AB" w:rsidRPr="00CE5D9A">
          <w:rPr>
            <w:rStyle w:val="Hipercze"/>
            <w:rFonts w:ascii="Times New Roman" w:hAnsi="Times New Roman"/>
            <w:bCs/>
            <w:noProof/>
            <w:color w:val="auto"/>
          </w:rPr>
          <w:t>Tabela 18 Schemat analizy SWOT</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_Toc194581442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49</w:t>
        </w:r>
        <w:r w:rsidR="004647AB" w:rsidRPr="00CE5D9A">
          <w:rPr>
            <w:rFonts w:ascii="Times New Roman" w:hAnsi="Times New Roman"/>
            <w:noProof/>
            <w:webHidden/>
          </w:rPr>
          <w:fldChar w:fldCharType="end"/>
        </w:r>
      </w:hyperlink>
    </w:p>
    <w:p w14:paraId="28FC9419" w14:textId="78AB86CC"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3" w:history="1">
        <w:r w:rsidR="004647AB" w:rsidRPr="00CE5D9A">
          <w:rPr>
            <w:rStyle w:val="Hipercze"/>
            <w:rFonts w:ascii="Times New Roman" w:hAnsi="Times New Roman"/>
            <w:bCs/>
            <w:noProof/>
            <w:color w:val="auto"/>
          </w:rPr>
          <w:t>Tabela 19 Analiza SWOT</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_Toc194581443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49</w:t>
        </w:r>
        <w:r w:rsidR="004647AB" w:rsidRPr="00CE5D9A">
          <w:rPr>
            <w:rFonts w:ascii="Times New Roman" w:hAnsi="Times New Roman"/>
            <w:noProof/>
            <w:webHidden/>
          </w:rPr>
          <w:fldChar w:fldCharType="end"/>
        </w:r>
      </w:hyperlink>
    </w:p>
    <w:p w14:paraId="7CCA4B89" w14:textId="4D891F7E"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4" w:history="1">
        <w:r w:rsidR="004647AB" w:rsidRPr="00CE5D9A">
          <w:rPr>
            <w:rStyle w:val="Hipercze"/>
            <w:rFonts w:ascii="Times New Roman" w:hAnsi="Times New Roman"/>
            <w:bCs/>
            <w:noProof/>
            <w:color w:val="auto"/>
          </w:rPr>
          <w:t>Tabela 20 Powiązanie zidentyfikowanych przyczyn problemu z analizą SWOT</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_Toc194581444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50</w:t>
        </w:r>
        <w:r w:rsidR="004647AB" w:rsidRPr="00CE5D9A">
          <w:rPr>
            <w:rFonts w:ascii="Times New Roman" w:hAnsi="Times New Roman"/>
            <w:noProof/>
            <w:webHidden/>
          </w:rPr>
          <w:fldChar w:fldCharType="end"/>
        </w:r>
      </w:hyperlink>
    </w:p>
    <w:p w14:paraId="77C0B968" w14:textId="6C3E1912"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5" w:history="1">
        <w:r w:rsidR="004647AB" w:rsidRPr="00CE5D9A">
          <w:rPr>
            <w:rStyle w:val="Hipercze"/>
            <w:rFonts w:ascii="Times New Roman" w:hAnsi="Times New Roman"/>
            <w:bCs/>
            <w:noProof/>
            <w:color w:val="auto"/>
          </w:rPr>
          <w:t>Tabela 21 Zgodność celu i przedsięwzięć LSR z innymi dokumentami strategicznymi</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_Toc194581445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58</w:t>
        </w:r>
        <w:r w:rsidR="004647AB" w:rsidRPr="00CE5D9A">
          <w:rPr>
            <w:rFonts w:ascii="Times New Roman" w:hAnsi="Times New Roman"/>
            <w:noProof/>
            <w:webHidden/>
          </w:rPr>
          <w:fldChar w:fldCharType="end"/>
        </w:r>
      </w:hyperlink>
    </w:p>
    <w:p w14:paraId="3795C78A" w14:textId="3EF007AC"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6" w:history="1">
        <w:r w:rsidR="004647AB" w:rsidRPr="00CE5D9A">
          <w:rPr>
            <w:rStyle w:val="Hipercze"/>
            <w:rFonts w:ascii="Times New Roman" w:hAnsi="Times New Roman"/>
            <w:bCs/>
            <w:noProof/>
            <w:color w:val="auto"/>
          </w:rPr>
          <w:t>Tabela 22 Zgodność LSR z celami programów, z których będzie ona finansowana</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_Toc194581446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61</w:t>
        </w:r>
        <w:r w:rsidR="004647AB" w:rsidRPr="00CE5D9A">
          <w:rPr>
            <w:rFonts w:ascii="Times New Roman" w:hAnsi="Times New Roman"/>
            <w:noProof/>
            <w:webHidden/>
          </w:rPr>
          <w:fldChar w:fldCharType="end"/>
        </w:r>
      </w:hyperlink>
    </w:p>
    <w:p w14:paraId="0814BD3F" w14:textId="0C0C0621" w:rsidR="004647AB" w:rsidRPr="00CE5D9A" w:rsidRDefault="00970EF5" w:rsidP="004647AB">
      <w:pPr>
        <w:pStyle w:val="Spisilustracji"/>
        <w:tabs>
          <w:tab w:val="right" w:leader="dot" w:pos="10194"/>
        </w:tabs>
        <w:jc w:val="both"/>
        <w:rPr>
          <w:rFonts w:ascii="Times New Roman" w:eastAsiaTheme="minorEastAsia" w:hAnsi="Times New Roman"/>
          <w:noProof/>
          <w:lang w:eastAsia="pl-PL"/>
        </w:rPr>
      </w:pPr>
      <w:hyperlink w:anchor="_Toc194581447" w:history="1">
        <w:r w:rsidR="004647AB" w:rsidRPr="00CE5D9A">
          <w:rPr>
            <w:rStyle w:val="Hipercze"/>
            <w:rFonts w:ascii="Times New Roman" w:hAnsi="Times New Roman"/>
            <w:bCs/>
            <w:noProof/>
            <w:color w:val="auto"/>
          </w:rPr>
          <w:t>Tabela 23 Przedsięwzięcia – powiązanie z analizą potrzeb, charakter, budżet, poziom dofinansowania, maks. i min. kwota, grupa docelowa i sposób realizacji (rozszerzona wersja analogicznej tabeli stanowiącej załącznik nr 1 do LSR)</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_Toc194581447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73</w:t>
        </w:r>
        <w:r w:rsidR="004647AB" w:rsidRPr="00CE5D9A">
          <w:rPr>
            <w:rFonts w:ascii="Times New Roman" w:hAnsi="Times New Roman"/>
            <w:noProof/>
            <w:webHidden/>
          </w:rPr>
          <w:fldChar w:fldCharType="end"/>
        </w:r>
      </w:hyperlink>
    </w:p>
    <w:p w14:paraId="1EACD1A3" w14:textId="612613E8" w:rsidR="004647AB" w:rsidRPr="00CE5D9A" w:rsidRDefault="00970EF5" w:rsidP="004647AB">
      <w:pPr>
        <w:pStyle w:val="Spisilustracji"/>
        <w:tabs>
          <w:tab w:val="right" w:leader="dot" w:pos="10194"/>
        </w:tabs>
        <w:jc w:val="both"/>
        <w:rPr>
          <w:rFonts w:asciiTheme="minorHAnsi" w:eastAsiaTheme="minorEastAsia" w:hAnsiTheme="minorHAnsi" w:cstheme="minorBidi"/>
          <w:noProof/>
          <w:lang w:eastAsia="pl-PL"/>
        </w:rPr>
      </w:pPr>
      <w:hyperlink w:anchor="_Toc194581448" w:history="1">
        <w:r w:rsidR="004647AB" w:rsidRPr="00CE5D9A">
          <w:rPr>
            <w:rStyle w:val="Hipercze"/>
            <w:rFonts w:ascii="Times New Roman" w:hAnsi="Times New Roman"/>
            <w:bCs/>
            <w:noProof/>
            <w:color w:val="auto"/>
          </w:rPr>
          <w:t>Tabela 24 Plan działania</w:t>
        </w:r>
        <w:r w:rsidR="004647AB" w:rsidRPr="00CE5D9A">
          <w:rPr>
            <w:rFonts w:ascii="Times New Roman" w:hAnsi="Times New Roman"/>
            <w:noProof/>
            <w:webHidden/>
          </w:rPr>
          <w:tab/>
        </w:r>
        <w:r w:rsidR="004647AB" w:rsidRPr="00CE5D9A">
          <w:rPr>
            <w:rFonts w:ascii="Times New Roman" w:hAnsi="Times New Roman"/>
            <w:noProof/>
            <w:webHidden/>
          </w:rPr>
          <w:fldChar w:fldCharType="begin"/>
        </w:r>
        <w:r w:rsidR="004647AB" w:rsidRPr="00CE5D9A">
          <w:rPr>
            <w:rFonts w:ascii="Times New Roman" w:hAnsi="Times New Roman"/>
            <w:noProof/>
            <w:webHidden/>
          </w:rPr>
          <w:instrText xml:space="preserve"> PAGEREF _Toc194581448 \h </w:instrText>
        </w:r>
        <w:r w:rsidR="004647AB" w:rsidRPr="00CE5D9A">
          <w:rPr>
            <w:rFonts w:ascii="Times New Roman" w:hAnsi="Times New Roman"/>
            <w:noProof/>
            <w:webHidden/>
          </w:rPr>
        </w:r>
        <w:r w:rsidR="004647AB" w:rsidRPr="00CE5D9A">
          <w:rPr>
            <w:rFonts w:ascii="Times New Roman" w:hAnsi="Times New Roman"/>
            <w:noProof/>
            <w:webHidden/>
          </w:rPr>
          <w:fldChar w:fldCharType="separate"/>
        </w:r>
        <w:r w:rsidR="00AD7096">
          <w:rPr>
            <w:rFonts w:ascii="Times New Roman" w:hAnsi="Times New Roman"/>
            <w:noProof/>
            <w:webHidden/>
          </w:rPr>
          <w:t>82</w:t>
        </w:r>
        <w:r w:rsidR="004647AB" w:rsidRPr="00CE5D9A">
          <w:rPr>
            <w:rFonts w:ascii="Times New Roman" w:hAnsi="Times New Roman"/>
            <w:noProof/>
            <w:webHidden/>
          </w:rPr>
          <w:fldChar w:fldCharType="end"/>
        </w:r>
      </w:hyperlink>
    </w:p>
    <w:p w14:paraId="324AC8C5" w14:textId="5C732032" w:rsidR="00686DFE" w:rsidRPr="00CE5D9A" w:rsidRDefault="00686DFE" w:rsidP="00021DC4">
      <w:pPr>
        <w:spacing w:line="276" w:lineRule="auto"/>
        <w:jc w:val="both"/>
        <w:rPr>
          <w:rFonts w:ascii="Times New Roman" w:hAnsi="Times New Roman"/>
          <w:b/>
          <w:bCs/>
        </w:rPr>
      </w:pPr>
      <w:r w:rsidRPr="00CE5D9A">
        <w:rPr>
          <w:rFonts w:ascii="Times New Roman" w:hAnsi="Times New Roman"/>
        </w:rPr>
        <w:fldChar w:fldCharType="end"/>
      </w:r>
    </w:p>
    <w:p w14:paraId="7A04F4BF" w14:textId="77777777" w:rsidR="00686DFE" w:rsidRPr="00CE5D9A" w:rsidRDefault="00686DFE">
      <w:pPr>
        <w:pStyle w:val="Nagwek2"/>
        <w:ind w:firstLine="360"/>
        <w:rPr>
          <w:rFonts w:ascii="Times New Roman" w:hAnsi="Times New Roman"/>
          <w:b/>
          <w:bCs/>
          <w:color w:val="auto"/>
          <w:sz w:val="22"/>
          <w:szCs w:val="22"/>
        </w:rPr>
      </w:pPr>
      <w:bookmarkStart w:id="175" w:name="_Toc135647318"/>
      <w:bookmarkStart w:id="176" w:name="_Toc135994847"/>
      <w:r w:rsidRPr="00CE5D9A">
        <w:rPr>
          <w:rFonts w:ascii="Times New Roman" w:hAnsi="Times New Roman"/>
          <w:b/>
          <w:bCs/>
          <w:color w:val="auto"/>
          <w:sz w:val="22"/>
          <w:szCs w:val="22"/>
        </w:rPr>
        <w:t>Wykaz wykorzystanej literatury</w:t>
      </w:r>
      <w:bookmarkEnd w:id="175"/>
      <w:bookmarkEnd w:id="176"/>
      <w:r w:rsidRPr="00CE5D9A">
        <w:rPr>
          <w:rFonts w:ascii="Times New Roman" w:hAnsi="Times New Roman"/>
          <w:b/>
          <w:bCs/>
          <w:color w:val="auto"/>
          <w:sz w:val="22"/>
          <w:szCs w:val="22"/>
        </w:rPr>
        <w:t xml:space="preserve"> </w:t>
      </w:r>
    </w:p>
    <w:p w14:paraId="2B2E32A8"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 xml:space="preserve">Plan Strategiczny dla Wspólnej Polityki Rolnej na lata 2023–2027 </w:t>
      </w:r>
      <w:r w:rsidRPr="00CE5D9A">
        <w:rPr>
          <w:rFonts w:ascii="Times New Roman" w:hAnsi="Times New Roman"/>
        </w:rPr>
        <w:t>zatwierdzony przez komisję Europejską w dniu 31.08.2022 r.;</w:t>
      </w:r>
    </w:p>
    <w:p w14:paraId="265A26D5" w14:textId="77777777" w:rsidR="00686DFE" w:rsidRPr="00CE5D9A" w:rsidRDefault="00686DFE">
      <w:pPr>
        <w:pStyle w:val="Akapitzlist"/>
        <w:numPr>
          <w:ilvl w:val="1"/>
          <w:numId w:val="49"/>
        </w:numPr>
        <w:spacing w:before="240" w:line="276" w:lineRule="auto"/>
        <w:ind w:left="851"/>
        <w:jc w:val="both"/>
        <w:rPr>
          <w:rFonts w:ascii="Times New Roman" w:hAnsi="Times New Roman"/>
          <w:i/>
          <w:iCs/>
        </w:rPr>
      </w:pPr>
      <w:r w:rsidRPr="00CE5D9A">
        <w:rPr>
          <w:rFonts w:ascii="Times New Roman" w:hAnsi="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Pr="00CE5D9A">
        <w:rPr>
          <w:rFonts w:ascii="Times New Roman" w:hAnsi="Times New Roman"/>
        </w:rPr>
        <w:t>;</w:t>
      </w:r>
    </w:p>
    <w:p w14:paraId="6B907E03" w14:textId="77777777" w:rsidR="00686DFE" w:rsidRPr="00CE5D9A" w:rsidRDefault="00686DFE">
      <w:pPr>
        <w:pStyle w:val="Akapitzlist"/>
        <w:numPr>
          <w:ilvl w:val="1"/>
          <w:numId w:val="49"/>
        </w:numPr>
        <w:spacing w:before="240" w:line="276" w:lineRule="auto"/>
        <w:ind w:left="851"/>
        <w:jc w:val="both"/>
        <w:rPr>
          <w:rFonts w:ascii="Times New Roman" w:hAnsi="Times New Roman"/>
          <w:i/>
          <w:iCs/>
        </w:rPr>
      </w:pPr>
      <w:r w:rsidRPr="00CE5D9A">
        <w:rPr>
          <w:rFonts w:ascii="Times New Roman" w:hAnsi="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213F219E"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0DF96CDD"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Ustawa z dnia 20 lutego 2015 r. o rozwoju lokalnym z udziałem lokalnej społeczności</w:t>
      </w:r>
      <w:r w:rsidRPr="00CE5D9A">
        <w:rPr>
          <w:rFonts w:ascii="Times New Roman" w:hAnsi="Times New Roman"/>
        </w:rPr>
        <w:t xml:space="preserve"> (Dz. U. z 2022 r. poz. 943 z późn. zm.);</w:t>
      </w:r>
    </w:p>
    <w:p w14:paraId="34D2122F"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Ustawa z dnia 7 kwietnia 1989 r. Prawo o stowarzyszeniach</w:t>
      </w:r>
      <w:r w:rsidRPr="00CE5D9A">
        <w:rPr>
          <w:rFonts w:ascii="Times New Roman" w:hAnsi="Times New Roman"/>
        </w:rPr>
        <w:t xml:space="preserve"> (Dz. U. z 2020 r. poz. 2261);</w:t>
      </w:r>
    </w:p>
    <w:p w14:paraId="7A105BE1"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lastRenderedPageBreak/>
        <w:t>Ustawa z dnia 20 lutego 2015 r. o wspieraniu rozwoju obszarów wiejskich z udziałem środków Europejskiego Funduszu Rolnego na rzecz Rozwoju Obszarów Wiejskich w ramach Programu Rozwoju Obszarów Wiejskich na lata 2014–2020</w:t>
      </w:r>
      <w:r w:rsidRPr="00CE5D9A">
        <w:rPr>
          <w:rFonts w:ascii="Times New Roman" w:hAnsi="Times New Roman"/>
        </w:rPr>
        <w:t xml:space="preserve"> (Dz. U. z 2022 r. poz. 2422 z późn. zm.);</w:t>
      </w:r>
    </w:p>
    <w:p w14:paraId="60A1B987"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Ustawa z dnia 13 listopada 2003 r. o dochodach jednostek samorządu terytorialnego</w:t>
      </w:r>
      <w:r w:rsidRPr="00CE5D9A">
        <w:rPr>
          <w:rFonts w:ascii="Times New Roman" w:hAnsi="Times New Roman"/>
        </w:rPr>
        <w:t xml:space="preserve"> (Dz.U. z 2022 r. poz. 2267);</w:t>
      </w:r>
    </w:p>
    <w:p w14:paraId="3757545F"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Strategia Rozwoju Lokalnego Kierowanego przez Społeczność LGD „Między Dalinem i Gościbią” na lata 2014–2020</w:t>
      </w:r>
      <w:r w:rsidRPr="00CE5D9A">
        <w:rPr>
          <w:rFonts w:ascii="Times New Roman" w:hAnsi="Times New Roman"/>
        </w:rPr>
        <w:t>, październik 2022 (aktualizacja);</w:t>
      </w:r>
    </w:p>
    <w:p w14:paraId="2C4CA2AB"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Strategia Rozwoju Powiatu Myślenickiego na lata 2021–2030 –</w:t>
      </w:r>
      <w:r w:rsidRPr="00CE5D9A">
        <w:rPr>
          <w:rFonts w:ascii="Times New Roman" w:hAnsi="Times New Roman"/>
          <w:i/>
          <w:iCs/>
          <w:sz w:val="20"/>
          <w:szCs w:val="20"/>
        </w:rPr>
        <w:t xml:space="preserve"> </w:t>
      </w:r>
      <w:r w:rsidRPr="00CE5D9A">
        <w:rPr>
          <w:rFonts w:ascii="Times New Roman" w:hAnsi="Times New Roman"/>
        </w:rPr>
        <w:t>Załącznik nr 1 do Uchwały Nr XXXV.2021 Rady Powiatu Myślenickiego z dnia 24 czerwca 2021 r.</w:t>
      </w:r>
    </w:p>
    <w:p w14:paraId="13095204"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 xml:space="preserve">Plan Zagospodarowania Przestrzennego Województwa Małopolskiego </w:t>
      </w:r>
      <w:r w:rsidRPr="00CE5D9A">
        <w:rPr>
          <w:rFonts w:ascii="Times New Roman" w:hAnsi="Times New Roman"/>
        </w:rPr>
        <w:t>– Załącznik Nr 1 do Uchwały Nr XLVII/732/18 Sejmiku Województwa Małopolskiego z dnia 26 marca 2018 r.;</w:t>
      </w:r>
    </w:p>
    <w:p w14:paraId="679C1966"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Strategia Rozwoju Województwa „Małopolska 2030”</w:t>
      </w:r>
      <w:r w:rsidRPr="00CE5D9A">
        <w:rPr>
          <w:rFonts w:ascii="Times New Roman" w:hAnsi="Times New Roman"/>
        </w:rPr>
        <w:t xml:space="preserve"> – Załącznik do uchwały Nr XXXI/422/20 Sejmiku Województwa Małopolskiego z dnia 17 grudnia 2020 r.;</w:t>
      </w:r>
    </w:p>
    <w:p w14:paraId="6A8755DD"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rPr>
        <w:t xml:space="preserve">Urząd Komunikacji Elektronicznej, </w:t>
      </w:r>
      <w:r w:rsidRPr="00CE5D9A">
        <w:rPr>
          <w:rFonts w:ascii="Times New Roman" w:hAnsi="Times New Roman"/>
          <w:i/>
          <w:iCs/>
        </w:rPr>
        <w:t>Raport o stanie rynku telekomunikacyjnego w Polsce w 2021 roku</w:t>
      </w:r>
      <w:r w:rsidRPr="00CE5D9A">
        <w:rPr>
          <w:rFonts w:ascii="Times New Roman" w:hAnsi="Times New Roman"/>
        </w:rPr>
        <w:t>;</w:t>
      </w:r>
    </w:p>
    <w:p w14:paraId="64F5EA22"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i/>
          <w:iCs/>
        </w:rPr>
        <w:t xml:space="preserve">Ewaluacja zewnętrzna małopolskich lokalnych strategii rozwoju Lokalna Grupa Działania „Między Dalinem i Gościbią”, </w:t>
      </w:r>
      <w:r w:rsidRPr="00CE5D9A">
        <w:rPr>
          <w:rFonts w:ascii="Times New Roman" w:hAnsi="Times New Roman"/>
        </w:rPr>
        <w:t>SOCJOMETR, Kraków 2021;</w:t>
      </w:r>
    </w:p>
    <w:p w14:paraId="4923F4F1" w14:textId="77777777" w:rsidR="00686DFE" w:rsidRPr="00CE5D9A" w:rsidRDefault="00686DFE">
      <w:pPr>
        <w:pStyle w:val="Akapitzlist"/>
        <w:numPr>
          <w:ilvl w:val="1"/>
          <w:numId w:val="49"/>
        </w:numPr>
        <w:spacing w:before="240" w:line="276" w:lineRule="auto"/>
        <w:ind w:left="851"/>
        <w:jc w:val="both"/>
        <w:rPr>
          <w:rFonts w:ascii="Times New Roman" w:hAnsi="Times New Roman"/>
        </w:rPr>
      </w:pPr>
      <w:r w:rsidRPr="00CE5D9A">
        <w:rPr>
          <w:rFonts w:ascii="Times New Roman" w:hAnsi="Times New Roman"/>
        </w:rPr>
        <w:t xml:space="preserve">Kondracki J., </w:t>
      </w:r>
      <w:r w:rsidRPr="00CE5D9A">
        <w:rPr>
          <w:rFonts w:ascii="Times New Roman" w:hAnsi="Times New Roman"/>
          <w:i/>
          <w:iCs/>
        </w:rPr>
        <w:t>Geografia regionalna Polski</w:t>
      </w:r>
      <w:r w:rsidRPr="00CE5D9A">
        <w:rPr>
          <w:rFonts w:ascii="Times New Roman" w:hAnsi="Times New Roman"/>
        </w:rPr>
        <w:t>, PWN, Warszawa 2000.</w:t>
      </w:r>
    </w:p>
    <w:p w14:paraId="03788C2F" w14:textId="77777777" w:rsidR="00686DFE" w:rsidRPr="00CE5D9A" w:rsidRDefault="00686DFE">
      <w:pPr>
        <w:rPr>
          <w:rFonts w:ascii="Times New Roman" w:hAnsi="Times New Roman"/>
          <w:b/>
          <w:bCs/>
        </w:rPr>
      </w:pPr>
    </w:p>
    <w:p w14:paraId="42A69741" w14:textId="77777777" w:rsidR="00686DFE" w:rsidRPr="00CE5D9A" w:rsidRDefault="00686DFE">
      <w:pPr>
        <w:pStyle w:val="Nagwek2"/>
        <w:ind w:firstLine="360"/>
        <w:rPr>
          <w:rFonts w:ascii="Times New Roman" w:hAnsi="Times New Roman"/>
          <w:b/>
          <w:bCs/>
          <w:color w:val="auto"/>
          <w:sz w:val="22"/>
          <w:szCs w:val="22"/>
        </w:rPr>
      </w:pPr>
      <w:bookmarkStart w:id="177" w:name="_Toc135647319"/>
      <w:bookmarkStart w:id="178" w:name="_Toc135994848"/>
      <w:r w:rsidRPr="00CE5D9A">
        <w:rPr>
          <w:rFonts w:ascii="Times New Roman" w:hAnsi="Times New Roman"/>
          <w:b/>
          <w:bCs/>
          <w:color w:val="auto"/>
          <w:sz w:val="22"/>
          <w:szCs w:val="22"/>
        </w:rPr>
        <w:t>Załączniki do LSR</w:t>
      </w:r>
      <w:bookmarkEnd w:id="177"/>
      <w:bookmarkEnd w:id="178"/>
      <w:r w:rsidRPr="00CE5D9A">
        <w:rPr>
          <w:rFonts w:ascii="Times New Roman" w:hAnsi="Times New Roman"/>
          <w:b/>
          <w:bCs/>
          <w:color w:val="auto"/>
          <w:sz w:val="22"/>
          <w:szCs w:val="22"/>
        </w:rPr>
        <w:t xml:space="preserve"> </w:t>
      </w:r>
    </w:p>
    <w:p w14:paraId="0C056A97" w14:textId="77777777" w:rsidR="00686DFE" w:rsidRPr="00CE5D9A" w:rsidRDefault="00686DFE">
      <w:pPr>
        <w:pStyle w:val="Akapitzlist"/>
        <w:numPr>
          <w:ilvl w:val="0"/>
          <w:numId w:val="59"/>
        </w:numPr>
        <w:spacing w:line="276" w:lineRule="auto"/>
        <w:rPr>
          <w:rFonts w:ascii="Times New Roman" w:hAnsi="Times New Roman"/>
        </w:rPr>
      </w:pPr>
      <w:r w:rsidRPr="00CE5D9A">
        <w:rPr>
          <w:rFonts w:ascii="Times New Roman" w:hAnsi="Times New Roman"/>
        </w:rPr>
        <w:t>Cele i przedsięwzięcia</w:t>
      </w:r>
    </w:p>
    <w:p w14:paraId="46D6CB64" w14:textId="77777777" w:rsidR="00686DFE" w:rsidRPr="00CE5D9A" w:rsidRDefault="00686DFE">
      <w:pPr>
        <w:pStyle w:val="Akapitzlist"/>
        <w:numPr>
          <w:ilvl w:val="0"/>
          <w:numId w:val="59"/>
        </w:numPr>
        <w:spacing w:line="276" w:lineRule="auto"/>
        <w:rPr>
          <w:rFonts w:ascii="Times New Roman" w:hAnsi="Times New Roman"/>
        </w:rPr>
      </w:pPr>
      <w:r w:rsidRPr="00CE5D9A">
        <w:rPr>
          <w:rFonts w:ascii="Times New Roman" w:hAnsi="Times New Roman"/>
        </w:rPr>
        <w:t xml:space="preserve">Plan działania </w:t>
      </w:r>
    </w:p>
    <w:p w14:paraId="39459F6F" w14:textId="77777777" w:rsidR="00686DFE" w:rsidRPr="00CE5D9A" w:rsidRDefault="00686DFE">
      <w:pPr>
        <w:pStyle w:val="Akapitzlist"/>
        <w:numPr>
          <w:ilvl w:val="0"/>
          <w:numId w:val="59"/>
        </w:numPr>
        <w:spacing w:line="276" w:lineRule="auto"/>
        <w:jc w:val="both"/>
        <w:rPr>
          <w:rFonts w:ascii="Times New Roman" w:hAnsi="Times New Roman"/>
        </w:rPr>
      </w:pPr>
      <w:r w:rsidRPr="00CE5D9A">
        <w:rPr>
          <w:rFonts w:ascii="Times New Roman" w:hAnsi="Times New Roman"/>
        </w:rPr>
        <w:t xml:space="preserve">Budżet LSR </w:t>
      </w:r>
    </w:p>
    <w:p w14:paraId="3F023293" w14:textId="77777777" w:rsidR="00686DFE" w:rsidRPr="00CE5D9A" w:rsidRDefault="00686DFE">
      <w:pPr>
        <w:pStyle w:val="Akapitzlist"/>
        <w:numPr>
          <w:ilvl w:val="0"/>
          <w:numId w:val="59"/>
        </w:numPr>
        <w:spacing w:line="276" w:lineRule="auto"/>
        <w:jc w:val="both"/>
        <w:rPr>
          <w:rFonts w:ascii="Times New Roman" w:hAnsi="Times New Roman"/>
        </w:rPr>
      </w:pPr>
      <w:r w:rsidRPr="00CE5D9A">
        <w:rPr>
          <w:rFonts w:ascii="Times New Roman" w:hAnsi="Times New Roman"/>
        </w:rPr>
        <w:t>Plan wykorzystania budżetu</w:t>
      </w:r>
    </w:p>
    <w:p w14:paraId="525B15A8" w14:textId="77777777" w:rsidR="00686DFE" w:rsidRPr="00CE5D9A" w:rsidRDefault="00686DFE">
      <w:pPr>
        <w:sectPr w:rsidR="00686DFE" w:rsidRPr="00CE5D9A">
          <w:pgSz w:w="11906" w:h="16838"/>
          <w:pgMar w:top="851" w:right="851" w:bottom="851" w:left="851" w:header="709" w:footer="709" w:gutter="0"/>
          <w:cols w:space="708"/>
          <w:titlePg/>
          <w:docGrid w:linePitch="360"/>
        </w:sectPr>
      </w:pPr>
    </w:p>
    <w:p w14:paraId="0B5AA939" w14:textId="77777777" w:rsidR="00686DFE" w:rsidRPr="00CE5D9A" w:rsidRDefault="00686DFE">
      <w:pPr>
        <w:spacing w:after="0"/>
        <w:rPr>
          <w:rFonts w:ascii="Times New Roman" w:hAnsi="Times New Roman"/>
          <w:b/>
          <w:bCs/>
        </w:rPr>
      </w:pPr>
      <w:r w:rsidRPr="00CE5D9A">
        <w:rPr>
          <w:rFonts w:ascii="Times New Roman" w:hAnsi="Times New Roman"/>
          <w:b/>
          <w:bCs/>
        </w:rPr>
        <w:lastRenderedPageBreak/>
        <w:t>Załącznik nr 1 Cele i przedsięwzięcia</w:t>
      </w:r>
    </w:p>
    <w:tbl>
      <w:tblPr>
        <w:tblW w:w="5000" w:type="pct"/>
        <w:tblCellMar>
          <w:left w:w="70" w:type="dxa"/>
          <w:right w:w="70" w:type="dxa"/>
        </w:tblCellMar>
        <w:tblLook w:val="0000" w:firstRow="0" w:lastRow="0" w:firstColumn="0" w:lastColumn="0" w:noHBand="0" w:noVBand="0"/>
      </w:tblPr>
      <w:tblGrid>
        <w:gridCol w:w="1390"/>
        <w:gridCol w:w="739"/>
        <w:gridCol w:w="5597"/>
        <w:gridCol w:w="5243"/>
        <w:gridCol w:w="2307"/>
      </w:tblGrid>
      <w:tr w:rsidR="00686DFE" w:rsidRPr="00CE5D9A" w14:paraId="4353D6D8" w14:textId="77777777" w:rsidTr="00CC55F7">
        <w:trPr>
          <w:trHeight w:val="847"/>
        </w:trPr>
        <w:tc>
          <w:tcPr>
            <w:tcW w:w="455" w:type="pct"/>
            <w:tcBorders>
              <w:top w:val="single" w:sz="4" w:space="0" w:color="auto"/>
              <w:left w:val="single" w:sz="4" w:space="0" w:color="auto"/>
              <w:bottom w:val="single" w:sz="4" w:space="0" w:color="auto"/>
              <w:right w:val="single" w:sz="4" w:space="0" w:color="auto"/>
            </w:tcBorders>
            <w:vAlign w:val="center"/>
          </w:tcPr>
          <w:p w14:paraId="301AA55B" w14:textId="77777777" w:rsidR="00686DFE" w:rsidRPr="00CE5D9A" w:rsidRDefault="00686DFE">
            <w:pPr>
              <w:spacing w:after="0" w:line="240" w:lineRule="auto"/>
              <w:jc w:val="center"/>
              <w:rPr>
                <w:rFonts w:ascii="Times New Roman" w:eastAsia="Times New Roman" w:hAnsi="Times New Roman"/>
                <w:b/>
                <w:bCs/>
                <w:sz w:val="24"/>
                <w:szCs w:val="24"/>
                <w:lang w:eastAsia="pl-PL"/>
              </w:rPr>
            </w:pPr>
            <w:r w:rsidRPr="00CE5D9A">
              <w:rPr>
                <w:rFonts w:ascii="Times New Roman" w:eastAsia="Times New Roman" w:hAnsi="Times New Roman"/>
                <w:b/>
                <w:bCs/>
                <w:sz w:val="24"/>
                <w:szCs w:val="24"/>
                <w:lang w:eastAsia="pl-PL"/>
              </w:rPr>
              <w:t xml:space="preserve">Budżet </w:t>
            </w:r>
            <w:r w:rsidRPr="00CE5D9A">
              <w:rPr>
                <w:rFonts w:ascii="Times New Roman" w:eastAsia="Times New Roman" w:hAnsi="Times New Roman"/>
                <w:b/>
                <w:bCs/>
                <w:sz w:val="24"/>
                <w:szCs w:val="24"/>
                <w:lang w:eastAsia="pl-PL"/>
              </w:rPr>
              <w:br/>
              <w:t>(w EUR)</w:t>
            </w:r>
          </w:p>
        </w:tc>
        <w:tc>
          <w:tcPr>
            <w:tcW w:w="2074" w:type="pct"/>
            <w:gridSpan w:val="2"/>
            <w:tcBorders>
              <w:top w:val="single" w:sz="4" w:space="0" w:color="auto"/>
              <w:left w:val="nil"/>
              <w:bottom w:val="single" w:sz="4" w:space="0" w:color="auto"/>
              <w:right w:val="single" w:sz="4" w:space="0" w:color="auto"/>
            </w:tcBorders>
            <w:vAlign w:val="center"/>
          </w:tcPr>
          <w:p w14:paraId="09467000" w14:textId="77777777" w:rsidR="00686DFE" w:rsidRPr="00CE5D9A" w:rsidRDefault="0060157F" w:rsidP="0060157F">
            <w:pPr>
              <w:spacing w:after="0" w:line="240" w:lineRule="auto"/>
              <w:jc w:val="center"/>
              <w:rPr>
                <w:rFonts w:ascii="Times New Roman" w:eastAsia="Times New Roman" w:hAnsi="Times New Roman"/>
                <w:b/>
                <w:bCs/>
                <w:i/>
                <w:iCs/>
                <w:sz w:val="24"/>
                <w:szCs w:val="24"/>
                <w:lang w:eastAsia="pl-PL"/>
              </w:rPr>
            </w:pPr>
            <w:r w:rsidRPr="00CE5D9A">
              <w:rPr>
                <w:rFonts w:ascii="Times New Roman" w:eastAsia="Times New Roman" w:hAnsi="Times New Roman"/>
                <w:b/>
                <w:bCs/>
                <w:sz w:val="28"/>
                <w:szCs w:val="28"/>
                <w:lang w:eastAsia="pl-PL"/>
              </w:rPr>
              <w:t>Przedsięwzięcia</w:t>
            </w:r>
          </w:p>
        </w:tc>
        <w:tc>
          <w:tcPr>
            <w:tcW w:w="1716" w:type="pct"/>
            <w:tcBorders>
              <w:top w:val="single" w:sz="4" w:space="0" w:color="auto"/>
              <w:left w:val="single" w:sz="4" w:space="0" w:color="auto"/>
              <w:bottom w:val="single" w:sz="4" w:space="0" w:color="auto"/>
              <w:right w:val="single" w:sz="4" w:space="0" w:color="auto"/>
            </w:tcBorders>
            <w:vAlign w:val="center"/>
          </w:tcPr>
          <w:p w14:paraId="6E435E9A" w14:textId="77777777" w:rsidR="00686DFE" w:rsidRPr="00CE5D9A" w:rsidRDefault="00686DFE">
            <w:pPr>
              <w:spacing w:after="0" w:line="240" w:lineRule="auto"/>
              <w:jc w:val="center"/>
              <w:rPr>
                <w:rFonts w:ascii="Times New Roman" w:eastAsia="Times New Roman" w:hAnsi="Times New Roman"/>
                <w:b/>
                <w:bCs/>
                <w:sz w:val="24"/>
                <w:szCs w:val="24"/>
                <w:lang w:eastAsia="pl-PL"/>
              </w:rPr>
            </w:pPr>
            <w:r w:rsidRPr="00CE5D9A">
              <w:rPr>
                <w:rFonts w:ascii="Times New Roman" w:eastAsia="Times New Roman" w:hAnsi="Times New Roman"/>
                <w:b/>
                <w:bCs/>
                <w:sz w:val="24"/>
                <w:szCs w:val="24"/>
                <w:lang w:eastAsia="pl-PL"/>
              </w:rPr>
              <w:t xml:space="preserve">Grupy docelowe </w:t>
            </w:r>
          </w:p>
        </w:tc>
        <w:tc>
          <w:tcPr>
            <w:tcW w:w="755" w:type="pct"/>
            <w:tcBorders>
              <w:top w:val="single" w:sz="4" w:space="0" w:color="auto"/>
              <w:left w:val="single" w:sz="4" w:space="0" w:color="auto"/>
              <w:bottom w:val="single" w:sz="4" w:space="0" w:color="auto"/>
              <w:right w:val="single" w:sz="4" w:space="0" w:color="auto"/>
            </w:tcBorders>
            <w:vAlign w:val="center"/>
          </w:tcPr>
          <w:p w14:paraId="29913966" w14:textId="77777777" w:rsidR="00686DFE" w:rsidRPr="00CE5D9A" w:rsidRDefault="00686DFE">
            <w:pPr>
              <w:spacing w:after="0" w:line="240" w:lineRule="auto"/>
              <w:jc w:val="center"/>
              <w:rPr>
                <w:rFonts w:ascii="Times New Roman" w:eastAsia="Times New Roman" w:hAnsi="Times New Roman"/>
                <w:b/>
                <w:bCs/>
                <w:lang w:eastAsia="pl-PL"/>
              </w:rPr>
            </w:pPr>
            <w:r w:rsidRPr="00CE5D9A">
              <w:rPr>
                <w:rFonts w:ascii="Times New Roman" w:eastAsia="Times New Roman" w:hAnsi="Times New Roman"/>
                <w:b/>
                <w:bCs/>
                <w:lang w:eastAsia="pl-PL"/>
              </w:rPr>
              <w:t xml:space="preserve">Sposób realizacji </w:t>
            </w:r>
            <w:r w:rsidRPr="00CE5D9A">
              <w:rPr>
                <w:rFonts w:ascii="Times New Roman" w:eastAsia="Times New Roman" w:hAnsi="Times New Roman"/>
                <w:b/>
                <w:bCs/>
                <w:lang w:eastAsia="pl-PL"/>
              </w:rPr>
              <w:br/>
              <w:t>(konkurs, projekt grantowy, operacja własna, animacja itp.)</w:t>
            </w:r>
          </w:p>
        </w:tc>
      </w:tr>
      <w:tr w:rsidR="0060157F" w:rsidRPr="00CE5D9A" w14:paraId="1E0E5635" w14:textId="77777777" w:rsidTr="0042713F">
        <w:trPr>
          <w:trHeight w:val="419"/>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265FFAE" w14:textId="38DF63B3" w:rsidR="0060157F" w:rsidRPr="00CE5D9A" w:rsidRDefault="0060157F" w:rsidP="00782172">
            <w:pPr>
              <w:spacing w:after="0" w:line="240" w:lineRule="auto"/>
              <w:jc w:val="center"/>
              <w:rPr>
                <w:rFonts w:ascii="Times New Roman" w:eastAsia="Times New Roman" w:hAnsi="Times New Roman"/>
                <w:b/>
                <w:bCs/>
                <w:sz w:val="28"/>
                <w:szCs w:val="28"/>
                <w:lang w:eastAsia="pl-PL"/>
              </w:rPr>
            </w:pPr>
            <w:r w:rsidRPr="00CE5D9A">
              <w:rPr>
                <w:rFonts w:ascii="Times New Roman" w:eastAsia="Times New Roman" w:hAnsi="Times New Roman"/>
                <w:b/>
                <w:bCs/>
                <w:sz w:val="28"/>
                <w:szCs w:val="28"/>
                <w:lang w:eastAsia="pl-PL"/>
              </w:rPr>
              <w:t xml:space="preserve">CEL LSR </w:t>
            </w:r>
            <w:r w:rsidRPr="00CE5D9A">
              <w:rPr>
                <w:rFonts w:ascii="Times New Roman" w:eastAsia="Times New Roman" w:hAnsi="Times New Roman"/>
                <w:b/>
                <w:bCs/>
                <w:iCs/>
                <w:sz w:val="28"/>
                <w:szCs w:val="28"/>
                <w:lang w:eastAsia="pl-PL"/>
              </w:rPr>
              <w:t>1. Utworzenie Myślenickiej Strefy Przemysłu Czasu Wolnego</w:t>
            </w:r>
            <w:r w:rsidR="004A11DE" w:rsidRPr="00CE5D9A">
              <w:rPr>
                <w:rFonts w:ascii="Times New Roman" w:eastAsia="Times New Roman" w:hAnsi="Times New Roman"/>
                <w:b/>
                <w:bCs/>
                <w:iCs/>
                <w:sz w:val="28"/>
                <w:szCs w:val="28"/>
                <w:lang w:eastAsia="pl-PL"/>
              </w:rPr>
              <w:t xml:space="preserve"> </w:t>
            </w:r>
            <w:r w:rsidR="00782172" w:rsidRPr="00CE5D9A">
              <w:rPr>
                <w:rFonts w:ascii="Times New Roman" w:eastAsia="Times New Roman" w:hAnsi="Times New Roman"/>
                <w:b/>
                <w:bCs/>
                <w:sz w:val="28"/>
                <w:szCs w:val="32"/>
                <w:lang w:eastAsia="pl-PL"/>
              </w:rPr>
              <w:t>i rozwoju przedsiębiorczości</w:t>
            </w:r>
          </w:p>
        </w:tc>
      </w:tr>
      <w:tr w:rsidR="00893413" w:rsidRPr="00CE5D9A" w14:paraId="6B59788E" w14:textId="77777777" w:rsidTr="00CC55F7">
        <w:trPr>
          <w:trHeight w:val="413"/>
        </w:trPr>
        <w:tc>
          <w:tcPr>
            <w:tcW w:w="455" w:type="pct"/>
            <w:tcBorders>
              <w:top w:val="single" w:sz="4" w:space="0" w:color="auto"/>
              <w:left w:val="single" w:sz="4" w:space="0" w:color="auto"/>
              <w:bottom w:val="single" w:sz="4" w:space="0" w:color="auto"/>
              <w:right w:val="single" w:sz="4" w:space="0" w:color="auto"/>
            </w:tcBorders>
            <w:vAlign w:val="center"/>
          </w:tcPr>
          <w:p w14:paraId="270DF83D" w14:textId="4F995C87" w:rsidR="00893413" w:rsidRPr="00CE5D9A" w:rsidRDefault="00970EF5" w:rsidP="005D0793">
            <w:pPr>
              <w:spacing w:after="0" w:line="240" w:lineRule="auto"/>
              <w:jc w:val="center"/>
              <w:rPr>
                <w:rFonts w:ascii="Times New Roman" w:eastAsia="Times New Roman" w:hAnsi="Times New Roman"/>
                <w:sz w:val="20"/>
                <w:szCs w:val="18"/>
                <w:lang w:eastAsia="pl-PL"/>
              </w:rPr>
            </w:pPr>
            <w:r w:rsidRPr="00970EF5">
              <w:rPr>
                <w:rFonts w:ascii="Times New Roman" w:eastAsia="Times New Roman" w:hAnsi="Times New Roman"/>
                <w:color w:val="FF0000"/>
                <w:sz w:val="20"/>
                <w:szCs w:val="18"/>
                <w:lang w:eastAsia="pl-PL"/>
              </w:rPr>
              <w:t xml:space="preserve"> € 1 20</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5DF9037E" w14:textId="77777777" w:rsidR="00893413" w:rsidRPr="00CE5D9A" w:rsidRDefault="00893413" w:rsidP="005D0793">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w:t>
            </w:r>
          </w:p>
        </w:tc>
        <w:tc>
          <w:tcPr>
            <w:tcW w:w="1832" w:type="pct"/>
            <w:tcBorders>
              <w:top w:val="single" w:sz="4" w:space="0" w:color="auto"/>
              <w:left w:val="nil"/>
              <w:bottom w:val="single" w:sz="4" w:space="0" w:color="auto"/>
              <w:right w:val="single" w:sz="4" w:space="0" w:color="auto"/>
            </w:tcBorders>
            <w:vAlign w:val="center"/>
          </w:tcPr>
          <w:p w14:paraId="3507CF9E" w14:textId="23C6FBC4" w:rsidR="00893413" w:rsidRPr="00830009" w:rsidRDefault="00893413" w:rsidP="005D0793">
            <w:pPr>
              <w:spacing w:after="0" w:line="240" w:lineRule="auto"/>
              <w:jc w:val="center"/>
              <w:rPr>
                <w:rFonts w:ascii="Times New Roman" w:eastAsia="Times New Roman" w:hAnsi="Times New Roman"/>
                <w:sz w:val="20"/>
                <w:szCs w:val="20"/>
                <w:lang w:eastAsia="pl-PL"/>
              </w:rPr>
            </w:pPr>
            <w:r w:rsidRPr="00830009">
              <w:rPr>
                <w:rFonts w:ascii="Times New Roman" w:eastAsia="Times New Roman" w:hAnsi="Times New Roman"/>
                <w:sz w:val="20"/>
                <w:szCs w:val="18"/>
                <w:lang w:eastAsia="pl-PL"/>
              </w:rPr>
              <w:t xml:space="preserve">Rozbudowa oferty infrastruktury publicznej </w:t>
            </w:r>
          </w:p>
        </w:tc>
        <w:tc>
          <w:tcPr>
            <w:tcW w:w="1716" w:type="pct"/>
            <w:tcBorders>
              <w:top w:val="single" w:sz="4" w:space="0" w:color="auto"/>
              <w:left w:val="nil"/>
              <w:bottom w:val="single" w:sz="4" w:space="0" w:color="auto"/>
              <w:right w:val="single" w:sz="4" w:space="0" w:color="auto"/>
            </w:tcBorders>
            <w:vAlign w:val="center"/>
          </w:tcPr>
          <w:p w14:paraId="07B4A7E2" w14:textId="6A883918" w:rsidR="00893413" w:rsidRPr="00CE5D9A" w:rsidRDefault="00893413" w:rsidP="005D0793">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w:t>
            </w:r>
          </w:p>
        </w:tc>
        <w:tc>
          <w:tcPr>
            <w:tcW w:w="755" w:type="pct"/>
            <w:tcBorders>
              <w:top w:val="single" w:sz="4" w:space="0" w:color="auto"/>
              <w:left w:val="nil"/>
              <w:bottom w:val="single" w:sz="4" w:space="0" w:color="auto"/>
              <w:right w:val="single" w:sz="4" w:space="0" w:color="auto"/>
            </w:tcBorders>
            <w:vAlign w:val="center"/>
          </w:tcPr>
          <w:p w14:paraId="38994785" w14:textId="7E2593A6" w:rsidR="00893413" w:rsidRPr="00CE5D9A" w:rsidRDefault="00893413" w:rsidP="005D0793">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w:t>
            </w:r>
          </w:p>
        </w:tc>
      </w:tr>
      <w:tr w:rsidR="00CE5D9A" w:rsidRPr="00CE5D9A" w14:paraId="26F0A6A4" w14:textId="77777777" w:rsidTr="00A73A44">
        <w:trPr>
          <w:trHeight w:val="680"/>
        </w:trPr>
        <w:tc>
          <w:tcPr>
            <w:tcW w:w="455" w:type="pct"/>
            <w:tcBorders>
              <w:top w:val="single" w:sz="4" w:space="0" w:color="auto"/>
              <w:left w:val="single" w:sz="4" w:space="0" w:color="auto"/>
              <w:bottom w:val="single" w:sz="4" w:space="0" w:color="auto"/>
              <w:right w:val="single" w:sz="4" w:space="0" w:color="auto"/>
            </w:tcBorders>
            <w:vAlign w:val="center"/>
          </w:tcPr>
          <w:p w14:paraId="17CECAF2" w14:textId="7468851F" w:rsidR="00893413" w:rsidRPr="00970EF5" w:rsidRDefault="00893413" w:rsidP="00D707DD">
            <w:pPr>
              <w:spacing w:after="0" w:line="240" w:lineRule="auto"/>
              <w:jc w:val="center"/>
              <w:rPr>
                <w:rFonts w:ascii="Times New Roman" w:eastAsia="Times New Roman" w:hAnsi="Times New Roman"/>
                <w:strike/>
                <w:color w:val="FF0000"/>
                <w:sz w:val="20"/>
                <w:szCs w:val="18"/>
                <w:lang w:eastAsia="pl-PL"/>
              </w:rPr>
            </w:pPr>
            <w:r w:rsidRPr="00970EF5">
              <w:rPr>
                <w:rFonts w:ascii="Times New Roman" w:eastAsia="Times New Roman" w:hAnsi="Times New Roman"/>
                <w:strike/>
                <w:color w:val="FF0000"/>
                <w:sz w:val="20"/>
                <w:szCs w:val="18"/>
                <w:lang w:eastAsia="pl-PL"/>
              </w:rPr>
              <w:t>€ 100 000</w:t>
            </w:r>
          </w:p>
        </w:tc>
        <w:tc>
          <w:tcPr>
            <w:tcW w:w="242" w:type="pct"/>
            <w:tcBorders>
              <w:top w:val="single" w:sz="4" w:space="0" w:color="auto"/>
              <w:left w:val="nil"/>
              <w:bottom w:val="single" w:sz="4" w:space="0" w:color="auto"/>
              <w:right w:val="single" w:sz="4" w:space="0" w:color="auto"/>
            </w:tcBorders>
            <w:vAlign w:val="center"/>
          </w:tcPr>
          <w:p w14:paraId="734C5F62" w14:textId="4F8EEED9"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1.2</w:t>
            </w:r>
          </w:p>
        </w:tc>
        <w:tc>
          <w:tcPr>
            <w:tcW w:w="1832" w:type="pct"/>
            <w:tcBorders>
              <w:top w:val="single" w:sz="4" w:space="0" w:color="auto"/>
              <w:left w:val="nil"/>
              <w:bottom w:val="single" w:sz="4" w:space="0" w:color="auto"/>
              <w:right w:val="single" w:sz="4" w:space="0" w:color="auto"/>
            </w:tcBorders>
            <w:shd w:val="clear" w:color="auto" w:fill="auto"/>
            <w:vAlign w:val="center"/>
          </w:tcPr>
          <w:p w14:paraId="53F418A7" w14:textId="7C07547C"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 xml:space="preserve">Rozbudowa oferty infrastruktury publicznej wynikającej </w:t>
            </w:r>
            <w:r w:rsidRPr="00970EF5">
              <w:rPr>
                <w:rFonts w:ascii="Times New Roman" w:eastAsia="Times New Roman" w:hAnsi="Times New Roman"/>
                <w:strike/>
                <w:color w:val="FF0000"/>
                <w:sz w:val="20"/>
                <w:szCs w:val="18"/>
                <w:lang w:eastAsia="pl-PL"/>
              </w:rPr>
              <w:br/>
              <w:t>z opracowanych Koncepcji Smart Village</w:t>
            </w:r>
          </w:p>
        </w:tc>
        <w:tc>
          <w:tcPr>
            <w:tcW w:w="1716" w:type="pct"/>
            <w:tcBorders>
              <w:top w:val="single" w:sz="4" w:space="0" w:color="auto"/>
              <w:left w:val="nil"/>
              <w:bottom w:val="single" w:sz="4" w:space="0" w:color="auto"/>
              <w:right w:val="single" w:sz="4" w:space="0" w:color="auto"/>
            </w:tcBorders>
            <w:shd w:val="clear" w:color="auto" w:fill="auto"/>
            <w:vAlign w:val="center"/>
          </w:tcPr>
          <w:p w14:paraId="5662A7CB" w14:textId="3A928BB5"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Mieszkańcy</w:t>
            </w:r>
          </w:p>
        </w:tc>
        <w:tc>
          <w:tcPr>
            <w:tcW w:w="755" w:type="pct"/>
            <w:tcBorders>
              <w:top w:val="single" w:sz="4" w:space="0" w:color="auto"/>
              <w:left w:val="nil"/>
              <w:bottom w:val="single" w:sz="4" w:space="0" w:color="auto"/>
              <w:right w:val="single" w:sz="4" w:space="0" w:color="auto"/>
            </w:tcBorders>
            <w:shd w:val="clear" w:color="auto" w:fill="auto"/>
            <w:vAlign w:val="center"/>
          </w:tcPr>
          <w:p w14:paraId="21CBEA85" w14:textId="0BB74896"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Konkurs</w:t>
            </w:r>
          </w:p>
        </w:tc>
      </w:tr>
      <w:tr w:rsidR="00CE5D9A" w:rsidRPr="00CE5D9A" w14:paraId="1BC55328" w14:textId="77777777" w:rsidTr="00CC55F7">
        <w:trPr>
          <w:trHeight w:val="680"/>
        </w:trPr>
        <w:tc>
          <w:tcPr>
            <w:tcW w:w="455" w:type="pct"/>
            <w:tcBorders>
              <w:top w:val="single" w:sz="4" w:space="0" w:color="auto"/>
              <w:left w:val="single" w:sz="4" w:space="0" w:color="auto"/>
              <w:bottom w:val="single" w:sz="4" w:space="0" w:color="auto"/>
              <w:right w:val="single" w:sz="4" w:space="0" w:color="auto"/>
            </w:tcBorders>
            <w:vAlign w:val="center"/>
          </w:tcPr>
          <w:p w14:paraId="6272C51D" w14:textId="528ECB73" w:rsidR="00893413" w:rsidRPr="00970EF5" w:rsidRDefault="00893413" w:rsidP="00D707DD">
            <w:pPr>
              <w:spacing w:after="0" w:line="240" w:lineRule="auto"/>
              <w:jc w:val="center"/>
              <w:rPr>
                <w:rFonts w:ascii="Times New Roman" w:eastAsia="Times New Roman" w:hAnsi="Times New Roman"/>
                <w:strike/>
                <w:color w:val="FF0000"/>
                <w:sz w:val="20"/>
                <w:szCs w:val="18"/>
                <w:lang w:eastAsia="pl-PL"/>
              </w:rPr>
            </w:pPr>
            <w:r w:rsidRPr="00970EF5">
              <w:rPr>
                <w:rFonts w:ascii="Times New Roman" w:eastAsia="Times New Roman" w:hAnsi="Times New Roman"/>
                <w:strike/>
                <w:color w:val="FF0000"/>
                <w:sz w:val="20"/>
                <w:szCs w:val="18"/>
                <w:lang w:eastAsia="pl-PL"/>
              </w:rPr>
              <w:t xml:space="preserve"> € 480 000 </w:t>
            </w:r>
          </w:p>
        </w:tc>
        <w:tc>
          <w:tcPr>
            <w:tcW w:w="242" w:type="pct"/>
            <w:tcBorders>
              <w:top w:val="single" w:sz="4" w:space="0" w:color="auto"/>
              <w:left w:val="nil"/>
              <w:bottom w:val="single" w:sz="4" w:space="0" w:color="auto"/>
              <w:right w:val="single" w:sz="4" w:space="0" w:color="auto"/>
            </w:tcBorders>
            <w:vAlign w:val="center"/>
          </w:tcPr>
          <w:p w14:paraId="6800C82B" w14:textId="396DD007"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1.3</w:t>
            </w:r>
          </w:p>
        </w:tc>
        <w:tc>
          <w:tcPr>
            <w:tcW w:w="1832" w:type="pct"/>
            <w:tcBorders>
              <w:top w:val="single" w:sz="4" w:space="0" w:color="auto"/>
              <w:left w:val="nil"/>
              <w:bottom w:val="single" w:sz="4" w:space="0" w:color="auto"/>
              <w:right w:val="single" w:sz="4" w:space="0" w:color="auto"/>
            </w:tcBorders>
            <w:vAlign w:val="center"/>
          </w:tcPr>
          <w:p w14:paraId="010C0346" w14:textId="1D051754"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 xml:space="preserve">Rozbudowa integracyjnej oferty infrastruktury publicznej </w:t>
            </w:r>
          </w:p>
        </w:tc>
        <w:tc>
          <w:tcPr>
            <w:tcW w:w="1716" w:type="pct"/>
            <w:tcBorders>
              <w:top w:val="single" w:sz="4" w:space="0" w:color="auto"/>
              <w:left w:val="nil"/>
              <w:bottom w:val="single" w:sz="4" w:space="0" w:color="auto"/>
              <w:right w:val="single" w:sz="4" w:space="0" w:color="auto"/>
            </w:tcBorders>
            <w:vAlign w:val="center"/>
          </w:tcPr>
          <w:p w14:paraId="44E64C40" w14:textId="07034BD4"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 xml:space="preserve">Mieszkańcy, </w:t>
            </w:r>
            <w:r w:rsidRPr="00970EF5">
              <w:rPr>
                <w:rFonts w:ascii="Times New Roman" w:eastAsia="Times New Roman" w:hAnsi="Times New Roman"/>
                <w:strike/>
                <w:color w:val="FF0000"/>
                <w:sz w:val="20"/>
                <w:szCs w:val="20"/>
                <w:lang w:eastAsia="pl-PL"/>
              </w:rPr>
              <w:br/>
              <w:t>osoby z niepełnosprawnościami i ich opiekunowie</w:t>
            </w:r>
          </w:p>
        </w:tc>
        <w:tc>
          <w:tcPr>
            <w:tcW w:w="755" w:type="pct"/>
            <w:tcBorders>
              <w:top w:val="single" w:sz="4" w:space="0" w:color="auto"/>
              <w:left w:val="nil"/>
              <w:bottom w:val="single" w:sz="4" w:space="0" w:color="auto"/>
              <w:right w:val="single" w:sz="4" w:space="0" w:color="auto"/>
            </w:tcBorders>
            <w:vAlign w:val="center"/>
          </w:tcPr>
          <w:p w14:paraId="52081974" w14:textId="69D3DDF9"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Konkurs</w:t>
            </w:r>
          </w:p>
        </w:tc>
      </w:tr>
      <w:tr w:rsidR="00CE5D9A" w:rsidRPr="00CE5D9A" w14:paraId="42430562" w14:textId="77777777" w:rsidTr="00CC55F7">
        <w:trPr>
          <w:trHeight w:val="680"/>
        </w:trPr>
        <w:tc>
          <w:tcPr>
            <w:tcW w:w="455" w:type="pct"/>
            <w:tcBorders>
              <w:top w:val="single" w:sz="4" w:space="0" w:color="auto"/>
              <w:left w:val="single" w:sz="4" w:space="0" w:color="auto"/>
              <w:bottom w:val="single" w:sz="4" w:space="0" w:color="auto"/>
              <w:right w:val="single" w:sz="4" w:space="0" w:color="auto"/>
            </w:tcBorders>
            <w:vAlign w:val="center"/>
          </w:tcPr>
          <w:p w14:paraId="7C13DB1A" w14:textId="4863822B" w:rsidR="00893413"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xml:space="preserve"> € 6</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20C96FC8" w14:textId="44D2642D"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1.4</w:t>
            </w:r>
          </w:p>
        </w:tc>
        <w:tc>
          <w:tcPr>
            <w:tcW w:w="1832" w:type="pct"/>
            <w:tcBorders>
              <w:top w:val="single" w:sz="4" w:space="0" w:color="auto"/>
              <w:left w:val="nil"/>
              <w:bottom w:val="single" w:sz="4" w:space="0" w:color="auto"/>
              <w:right w:val="single" w:sz="4" w:space="0" w:color="auto"/>
            </w:tcBorders>
            <w:vAlign w:val="center"/>
          </w:tcPr>
          <w:p w14:paraId="6AD1FE88" w14:textId="6B20B430"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Integracja</w:t>
            </w:r>
            <w:r w:rsidRPr="00CE5D9A">
              <w:rPr>
                <w:rFonts w:ascii="Times New Roman" w:eastAsia="Times New Roman" w:hAnsi="Times New Roman"/>
                <w:sz w:val="20"/>
                <w:szCs w:val="18"/>
                <w:lang w:eastAsia="pl-PL"/>
              </w:rPr>
              <w:br/>
              <w:t xml:space="preserve"> i wzmacnianie aktywności osób </w:t>
            </w:r>
            <w:r w:rsidRPr="00CE5D9A">
              <w:rPr>
                <w:rFonts w:ascii="Times New Roman" w:eastAsia="Times New Roman" w:hAnsi="Times New Roman"/>
                <w:sz w:val="20"/>
                <w:szCs w:val="18"/>
                <w:lang w:eastAsia="pl-PL"/>
              </w:rPr>
              <w:br/>
              <w:t xml:space="preserve">w niekorzystnej sytuacji – osoby </w:t>
            </w:r>
            <w:r w:rsidRPr="00CE5D9A">
              <w:rPr>
                <w:rFonts w:ascii="Times New Roman" w:eastAsia="Times New Roman" w:hAnsi="Times New Roman"/>
                <w:sz w:val="20"/>
                <w:szCs w:val="18"/>
                <w:lang w:eastAsia="pl-PL"/>
              </w:rPr>
              <w:br/>
              <w:t xml:space="preserve">z niepełnosprawnościami </w:t>
            </w:r>
            <w:r w:rsidRPr="00CE5D9A">
              <w:rPr>
                <w:rFonts w:ascii="Times New Roman" w:eastAsia="Times New Roman" w:hAnsi="Times New Roman"/>
                <w:sz w:val="20"/>
                <w:szCs w:val="18"/>
                <w:lang w:eastAsia="pl-PL"/>
              </w:rPr>
              <w:br/>
              <w:t>i ich opiekunowie</w:t>
            </w:r>
          </w:p>
        </w:tc>
        <w:tc>
          <w:tcPr>
            <w:tcW w:w="1716" w:type="pct"/>
            <w:tcBorders>
              <w:top w:val="single" w:sz="4" w:space="0" w:color="auto"/>
              <w:left w:val="nil"/>
              <w:bottom w:val="single" w:sz="4" w:space="0" w:color="auto"/>
              <w:right w:val="single" w:sz="4" w:space="0" w:color="auto"/>
            </w:tcBorders>
            <w:vAlign w:val="center"/>
          </w:tcPr>
          <w:p w14:paraId="151E8E10" w14:textId="2480AC08"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 xml:space="preserve">Mieszkańcy, </w:t>
            </w:r>
            <w:r w:rsidRPr="00CE5D9A">
              <w:rPr>
                <w:rFonts w:ascii="Times New Roman" w:eastAsia="Times New Roman" w:hAnsi="Times New Roman"/>
                <w:sz w:val="20"/>
                <w:szCs w:val="20"/>
                <w:lang w:eastAsia="pl-PL"/>
              </w:rPr>
              <w:br/>
              <w:t>osoby z niepełnosprawnościami i ich opiekunowie</w:t>
            </w:r>
          </w:p>
        </w:tc>
        <w:tc>
          <w:tcPr>
            <w:tcW w:w="755" w:type="pct"/>
            <w:tcBorders>
              <w:top w:val="single" w:sz="4" w:space="0" w:color="auto"/>
              <w:left w:val="nil"/>
              <w:bottom w:val="single" w:sz="4" w:space="0" w:color="auto"/>
              <w:right w:val="single" w:sz="4" w:space="0" w:color="auto"/>
            </w:tcBorders>
            <w:vAlign w:val="center"/>
          </w:tcPr>
          <w:p w14:paraId="503CA998" w14:textId="57E474A5"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 operacja własna</w:t>
            </w:r>
          </w:p>
        </w:tc>
      </w:tr>
      <w:tr w:rsidR="00CE5D9A" w:rsidRPr="00CE5D9A" w14:paraId="5F5B0E52" w14:textId="77777777" w:rsidTr="00CC55F7">
        <w:trPr>
          <w:trHeight w:val="579"/>
        </w:trPr>
        <w:tc>
          <w:tcPr>
            <w:tcW w:w="455" w:type="pct"/>
            <w:tcBorders>
              <w:top w:val="single" w:sz="4" w:space="0" w:color="auto"/>
              <w:left w:val="single" w:sz="4" w:space="0" w:color="auto"/>
              <w:bottom w:val="single" w:sz="4" w:space="0" w:color="auto"/>
              <w:right w:val="single" w:sz="4" w:space="0" w:color="auto"/>
            </w:tcBorders>
            <w:vAlign w:val="center"/>
          </w:tcPr>
          <w:p w14:paraId="2032604A" w14:textId="745D6C12" w:rsidR="00893413"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xml:space="preserve"> € 6</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47A4A8A3" w14:textId="5659DEB3"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1.5</w:t>
            </w:r>
          </w:p>
        </w:tc>
        <w:tc>
          <w:tcPr>
            <w:tcW w:w="1832" w:type="pct"/>
            <w:tcBorders>
              <w:top w:val="single" w:sz="4" w:space="0" w:color="auto"/>
              <w:left w:val="nil"/>
              <w:bottom w:val="single" w:sz="4" w:space="0" w:color="auto"/>
              <w:right w:val="single" w:sz="4" w:space="0" w:color="auto"/>
            </w:tcBorders>
            <w:vAlign w:val="center"/>
          </w:tcPr>
          <w:p w14:paraId="12E64012" w14:textId="7E0AA97B"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 xml:space="preserve">Poznanie i zachowanie dziedzictwa kulturowego </w:t>
            </w:r>
            <w:r w:rsidRPr="00CE5D9A">
              <w:rPr>
                <w:rFonts w:ascii="Times New Roman" w:eastAsia="Times New Roman" w:hAnsi="Times New Roman"/>
                <w:sz w:val="20"/>
                <w:szCs w:val="18"/>
                <w:lang w:eastAsia="pl-PL"/>
              </w:rPr>
              <w:br/>
              <w:t>i naturalnego</w:t>
            </w:r>
          </w:p>
        </w:tc>
        <w:tc>
          <w:tcPr>
            <w:tcW w:w="1716" w:type="pct"/>
            <w:tcBorders>
              <w:top w:val="single" w:sz="4" w:space="0" w:color="auto"/>
              <w:left w:val="nil"/>
              <w:bottom w:val="single" w:sz="4" w:space="0" w:color="auto"/>
              <w:right w:val="single" w:sz="4" w:space="0" w:color="auto"/>
            </w:tcBorders>
            <w:vAlign w:val="center"/>
          </w:tcPr>
          <w:p w14:paraId="2634B7A0" w14:textId="7754623B"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 do 25. roku życia</w:t>
            </w:r>
          </w:p>
        </w:tc>
        <w:tc>
          <w:tcPr>
            <w:tcW w:w="755" w:type="pct"/>
            <w:tcBorders>
              <w:top w:val="single" w:sz="4" w:space="0" w:color="auto"/>
              <w:left w:val="nil"/>
              <w:bottom w:val="single" w:sz="4" w:space="0" w:color="auto"/>
              <w:right w:val="single" w:sz="4" w:space="0" w:color="auto"/>
            </w:tcBorders>
            <w:vAlign w:val="center"/>
          </w:tcPr>
          <w:p w14:paraId="4F753ABC" w14:textId="42B4D031" w:rsidR="00893413" w:rsidRPr="00CE5D9A" w:rsidRDefault="00893413" w:rsidP="00D707DD">
            <w:pPr>
              <w:spacing w:after="0" w:line="240" w:lineRule="auto"/>
              <w:jc w:val="center"/>
              <w:rPr>
                <w:rFonts w:ascii="Times New Roman" w:eastAsia="Times New Roman" w:hAnsi="Times New Roman"/>
                <w:sz w:val="20"/>
                <w:szCs w:val="20"/>
                <w:highlight w:val="magenta"/>
                <w:lang w:eastAsia="pl-PL"/>
              </w:rPr>
            </w:pPr>
            <w:r w:rsidRPr="00CE5D9A">
              <w:rPr>
                <w:rFonts w:ascii="Times New Roman" w:eastAsia="Times New Roman" w:hAnsi="Times New Roman"/>
                <w:sz w:val="20"/>
                <w:szCs w:val="18"/>
                <w:lang w:eastAsia="pl-PL"/>
              </w:rPr>
              <w:t>Projekt grantowy</w:t>
            </w:r>
          </w:p>
        </w:tc>
      </w:tr>
      <w:tr w:rsidR="00CE5D9A" w:rsidRPr="00CE5D9A" w14:paraId="71E57F6D" w14:textId="77777777" w:rsidTr="00CC55F7">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43413954" w14:textId="1194761D" w:rsidR="00893413"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xml:space="preserve"> € 6</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384127AE" w14:textId="50C15663"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1.6</w:t>
            </w:r>
          </w:p>
        </w:tc>
        <w:tc>
          <w:tcPr>
            <w:tcW w:w="1832" w:type="pct"/>
            <w:tcBorders>
              <w:top w:val="single" w:sz="4" w:space="0" w:color="auto"/>
              <w:left w:val="nil"/>
              <w:bottom w:val="single" w:sz="4" w:space="0" w:color="auto"/>
              <w:right w:val="single" w:sz="4" w:space="0" w:color="auto"/>
            </w:tcBorders>
            <w:vAlign w:val="center"/>
          </w:tcPr>
          <w:p w14:paraId="369C01B9" w14:textId="0A3172BD"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 xml:space="preserve">Włączenia cyfrowe </w:t>
            </w:r>
            <w:r w:rsidRPr="00CE5D9A">
              <w:rPr>
                <w:rFonts w:ascii="Times New Roman" w:eastAsia="Times New Roman" w:hAnsi="Times New Roman"/>
                <w:sz w:val="20"/>
                <w:szCs w:val="18"/>
                <w:lang w:eastAsia="pl-PL"/>
              </w:rPr>
              <w:br/>
              <w:t xml:space="preserve">i aktywizacja </w:t>
            </w:r>
          </w:p>
        </w:tc>
        <w:tc>
          <w:tcPr>
            <w:tcW w:w="1716" w:type="pct"/>
            <w:tcBorders>
              <w:top w:val="single" w:sz="4" w:space="0" w:color="auto"/>
              <w:left w:val="nil"/>
              <w:bottom w:val="single" w:sz="4" w:space="0" w:color="auto"/>
              <w:right w:val="single" w:sz="4" w:space="0" w:color="auto"/>
            </w:tcBorders>
            <w:vAlign w:val="center"/>
          </w:tcPr>
          <w:p w14:paraId="19FAE2F0" w14:textId="7B495B87"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 powyżej 60. roku życia</w:t>
            </w:r>
          </w:p>
        </w:tc>
        <w:tc>
          <w:tcPr>
            <w:tcW w:w="755" w:type="pct"/>
            <w:tcBorders>
              <w:top w:val="single" w:sz="4" w:space="0" w:color="auto"/>
              <w:left w:val="nil"/>
              <w:bottom w:val="single" w:sz="4" w:space="0" w:color="auto"/>
              <w:right w:val="single" w:sz="4" w:space="0" w:color="auto"/>
            </w:tcBorders>
            <w:vAlign w:val="center"/>
          </w:tcPr>
          <w:p w14:paraId="48E0C4AA" w14:textId="7E59C178" w:rsidR="00893413" w:rsidRPr="00CE5D9A" w:rsidRDefault="00893413" w:rsidP="00D707DD">
            <w:pPr>
              <w:spacing w:after="0" w:line="240" w:lineRule="auto"/>
              <w:jc w:val="center"/>
              <w:rPr>
                <w:rFonts w:ascii="Times New Roman" w:eastAsia="Times New Roman" w:hAnsi="Times New Roman"/>
                <w:sz w:val="20"/>
                <w:szCs w:val="20"/>
                <w:highlight w:val="magenta"/>
                <w:lang w:eastAsia="pl-PL"/>
              </w:rPr>
            </w:pPr>
            <w:r w:rsidRPr="00CE5D9A">
              <w:rPr>
                <w:rFonts w:ascii="Times New Roman" w:eastAsia="Times New Roman" w:hAnsi="Times New Roman"/>
                <w:sz w:val="20"/>
                <w:szCs w:val="18"/>
                <w:lang w:eastAsia="pl-PL"/>
              </w:rPr>
              <w:t>Projekt grantowy</w:t>
            </w:r>
          </w:p>
        </w:tc>
      </w:tr>
      <w:tr w:rsidR="00CE5D9A" w:rsidRPr="00CE5D9A" w14:paraId="46B19CB8" w14:textId="77777777" w:rsidTr="00CC55F7">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0C56785B" w14:textId="77777777" w:rsidR="00893413" w:rsidRPr="00970EF5" w:rsidRDefault="00893413" w:rsidP="00D707DD">
            <w:pPr>
              <w:spacing w:after="0" w:line="240" w:lineRule="auto"/>
              <w:jc w:val="center"/>
              <w:rPr>
                <w:rFonts w:ascii="Times New Roman" w:eastAsia="Times New Roman" w:hAnsi="Times New Roman"/>
                <w:strike/>
                <w:color w:val="FF0000"/>
                <w:sz w:val="20"/>
                <w:szCs w:val="18"/>
                <w:lang w:eastAsia="pl-PL"/>
              </w:rPr>
            </w:pPr>
            <w:r w:rsidRPr="00970EF5">
              <w:rPr>
                <w:rFonts w:ascii="Times New Roman" w:eastAsia="Times New Roman" w:hAnsi="Times New Roman"/>
                <w:strike/>
                <w:color w:val="FF0000"/>
                <w:sz w:val="20"/>
                <w:szCs w:val="18"/>
                <w:lang w:eastAsia="pl-PL"/>
              </w:rPr>
              <w:t xml:space="preserve"> € 300 000 </w:t>
            </w:r>
          </w:p>
        </w:tc>
        <w:tc>
          <w:tcPr>
            <w:tcW w:w="242" w:type="pct"/>
            <w:tcBorders>
              <w:top w:val="single" w:sz="4" w:space="0" w:color="auto"/>
              <w:left w:val="nil"/>
              <w:bottom w:val="single" w:sz="4" w:space="0" w:color="auto"/>
              <w:right w:val="single" w:sz="4" w:space="0" w:color="auto"/>
            </w:tcBorders>
            <w:vAlign w:val="center"/>
          </w:tcPr>
          <w:p w14:paraId="6C53E2FE" w14:textId="241BFA3E"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1.7</w:t>
            </w:r>
          </w:p>
        </w:tc>
        <w:tc>
          <w:tcPr>
            <w:tcW w:w="1832" w:type="pct"/>
            <w:tcBorders>
              <w:top w:val="single" w:sz="4" w:space="0" w:color="auto"/>
              <w:left w:val="nil"/>
              <w:bottom w:val="single" w:sz="4" w:space="0" w:color="auto"/>
              <w:right w:val="single" w:sz="4" w:space="0" w:color="auto"/>
            </w:tcBorders>
            <w:vAlign w:val="center"/>
          </w:tcPr>
          <w:p w14:paraId="6938235B" w14:textId="1F72450B"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 xml:space="preserve">Zwiększenie oferty spędzania czasu wolnego wykorzystującej dziedzictwo naturalne i/lub kulturowe w ramach realizowanych działań, w tym wynikających z Koncepcji Smart Village </w:t>
            </w:r>
          </w:p>
        </w:tc>
        <w:tc>
          <w:tcPr>
            <w:tcW w:w="1716" w:type="pct"/>
            <w:tcBorders>
              <w:top w:val="single" w:sz="4" w:space="0" w:color="auto"/>
              <w:left w:val="nil"/>
              <w:bottom w:val="single" w:sz="4" w:space="0" w:color="auto"/>
              <w:right w:val="single" w:sz="4" w:space="0" w:color="auto"/>
            </w:tcBorders>
            <w:vAlign w:val="center"/>
          </w:tcPr>
          <w:p w14:paraId="29B14848" w14:textId="4849520A"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20"/>
                <w:lang w:eastAsia="pl-PL"/>
              </w:rPr>
              <w:t>Mieszkańcy, organizacje pozarządowe</w:t>
            </w:r>
          </w:p>
        </w:tc>
        <w:tc>
          <w:tcPr>
            <w:tcW w:w="755" w:type="pct"/>
            <w:tcBorders>
              <w:top w:val="single" w:sz="4" w:space="0" w:color="auto"/>
              <w:left w:val="nil"/>
              <w:bottom w:val="single" w:sz="4" w:space="0" w:color="auto"/>
              <w:right w:val="single" w:sz="4" w:space="0" w:color="auto"/>
            </w:tcBorders>
            <w:vAlign w:val="center"/>
          </w:tcPr>
          <w:p w14:paraId="079E0519" w14:textId="77777777" w:rsidR="00893413" w:rsidRPr="00970EF5" w:rsidRDefault="00893413" w:rsidP="00893413">
            <w:pPr>
              <w:spacing w:after="0" w:line="240" w:lineRule="auto"/>
              <w:jc w:val="center"/>
              <w:rPr>
                <w:rFonts w:ascii="Times New Roman" w:eastAsia="Times New Roman" w:hAnsi="Times New Roman"/>
                <w:strike/>
                <w:color w:val="FF0000"/>
                <w:sz w:val="20"/>
                <w:szCs w:val="18"/>
                <w:lang w:eastAsia="pl-PL"/>
              </w:rPr>
            </w:pPr>
            <w:r w:rsidRPr="00970EF5">
              <w:rPr>
                <w:rFonts w:ascii="Times New Roman" w:eastAsia="Times New Roman" w:hAnsi="Times New Roman"/>
                <w:strike/>
                <w:color w:val="FF0000"/>
                <w:sz w:val="20"/>
                <w:szCs w:val="18"/>
                <w:lang w:eastAsia="pl-PL"/>
              </w:rPr>
              <w:t>Konkurs/</w:t>
            </w:r>
          </w:p>
          <w:p w14:paraId="112EAD0E" w14:textId="54364DAC" w:rsidR="00893413" w:rsidRPr="00970EF5" w:rsidRDefault="00893413" w:rsidP="00D707DD">
            <w:pPr>
              <w:spacing w:after="0" w:line="240" w:lineRule="auto"/>
              <w:jc w:val="center"/>
              <w:rPr>
                <w:rFonts w:ascii="Times New Roman" w:eastAsia="Times New Roman" w:hAnsi="Times New Roman"/>
                <w:strike/>
                <w:color w:val="FF0000"/>
                <w:sz w:val="20"/>
                <w:szCs w:val="20"/>
                <w:lang w:eastAsia="pl-PL"/>
              </w:rPr>
            </w:pPr>
            <w:r w:rsidRPr="00970EF5">
              <w:rPr>
                <w:rFonts w:ascii="Times New Roman" w:eastAsia="Times New Roman" w:hAnsi="Times New Roman"/>
                <w:strike/>
                <w:color w:val="FF0000"/>
                <w:sz w:val="20"/>
                <w:szCs w:val="18"/>
                <w:lang w:eastAsia="pl-PL"/>
              </w:rPr>
              <w:t>Projekty partnerskie</w:t>
            </w:r>
          </w:p>
        </w:tc>
      </w:tr>
      <w:tr w:rsidR="00970EF5" w:rsidRPr="00CE5D9A" w14:paraId="1A679119" w14:textId="77777777" w:rsidTr="00CC55F7">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3D275A5E" w14:textId="2D27CFC7" w:rsidR="00970EF5"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€ 630 000</w:t>
            </w:r>
          </w:p>
        </w:tc>
        <w:tc>
          <w:tcPr>
            <w:tcW w:w="242" w:type="pct"/>
            <w:tcBorders>
              <w:top w:val="single" w:sz="4" w:space="0" w:color="auto"/>
              <w:left w:val="nil"/>
              <w:bottom w:val="single" w:sz="4" w:space="0" w:color="auto"/>
              <w:right w:val="single" w:sz="4" w:space="0" w:color="auto"/>
            </w:tcBorders>
            <w:vAlign w:val="center"/>
          </w:tcPr>
          <w:p w14:paraId="29C28E0F" w14:textId="208B3D5C" w:rsidR="00970EF5" w:rsidRPr="00970EF5" w:rsidRDefault="00970EF5" w:rsidP="00D707DD">
            <w:pPr>
              <w:spacing w:after="0" w:line="240" w:lineRule="auto"/>
              <w:jc w:val="center"/>
              <w:rPr>
                <w:rFonts w:ascii="Times New Roman" w:eastAsia="Times New Roman" w:hAnsi="Times New Roman"/>
                <w:color w:val="FF0000"/>
                <w:sz w:val="20"/>
                <w:szCs w:val="20"/>
                <w:lang w:eastAsia="pl-PL"/>
              </w:rPr>
            </w:pPr>
            <w:r>
              <w:rPr>
                <w:rFonts w:ascii="Times New Roman" w:eastAsia="Times New Roman" w:hAnsi="Times New Roman"/>
                <w:color w:val="FF0000"/>
                <w:sz w:val="20"/>
                <w:szCs w:val="20"/>
                <w:lang w:eastAsia="pl-PL"/>
              </w:rPr>
              <w:t>1.5</w:t>
            </w:r>
          </w:p>
        </w:tc>
        <w:tc>
          <w:tcPr>
            <w:tcW w:w="1832" w:type="pct"/>
            <w:tcBorders>
              <w:top w:val="single" w:sz="4" w:space="0" w:color="auto"/>
              <w:left w:val="nil"/>
              <w:bottom w:val="single" w:sz="4" w:space="0" w:color="auto"/>
              <w:right w:val="single" w:sz="4" w:space="0" w:color="auto"/>
            </w:tcBorders>
            <w:vAlign w:val="center"/>
          </w:tcPr>
          <w:p w14:paraId="27D09AFC" w14:textId="474BB71E" w:rsidR="00970EF5"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Ochrona lub rewitalizacja zabytków lub ich remonty lub konserwacja</w:t>
            </w:r>
          </w:p>
        </w:tc>
        <w:tc>
          <w:tcPr>
            <w:tcW w:w="1716" w:type="pct"/>
            <w:tcBorders>
              <w:top w:val="single" w:sz="4" w:space="0" w:color="auto"/>
              <w:left w:val="nil"/>
              <w:bottom w:val="single" w:sz="4" w:space="0" w:color="auto"/>
              <w:right w:val="single" w:sz="4" w:space="0" w:color="auto"/>
            </w:tcBorders>
            <w:vAlign w:val="center"/>
          </w:tcPr>
          <w:p w14:paraId="08D67E9B" w14:textId="77777777" w:rsidR="00970EF5" w:rsidRPr="00CE5D9A" w:rsidRDefault="00970EF5" w:rsidP="00D707DD">
            <w:pPr>
              <w:spacing w:after="0"/>
              <w:jc w:val="center"/>
              <w:rPr>
                <w:rFonts w:ascii="Times New Roman" w:eastAsia="Times New Roman" w:hAnsi="Times New Roman"/>
                <w:sz w:val="20"/>
                <w:szCs w:val="20"/>
                <w:lang w:eastAsia="pl-PL"/>
              </w:rPr>
            </w:pPr>
          </w:p>
        </w:tc>
        <w:tc>
          <w:tcPr>
            <w:tcW w:w="755" w:type="pct"/>
            <w:tcBorders>
              <w:top w:val="single" w:sz="4" w:space="0" w:color="auto"/>
              <w:left w:val="nil"/>
              <w:bottom w:val="single" w:sz="4" w:space="0" w:color="auto"/>
              <w:right w:val="single" w:sz="4" w:space="0" w:color="auto"/>
            </w:tcBorders>
            <w:vAlign w:val="center"/>
          </w:tcPr>
          <w:p w14:paraId="27C3B79C" w14:textId="77777777" w:rsidR="00970EF5" w:rsidRPr="00CE5D9A" w:rsidRDefault="00970EF5" w:rsidP="00D707DD">
            <w:pPr>
              <w:spacing w:after="0" w:line="240" w:lineRule="auto"/>
              <w:jc w:val="center"/>
              <w:rPr>
                <w:rFonts w:ascii="Times New Roman" w:eastAsia="Times New Roman" w:hAnsi="Times New Roman"/>
                <w:sz w:val="20"/>
                <w:szCs w:val="18"/>
                <w:lang w:eastAsia="pl-PL"/>
              </w:rPr>
            </w:pPr>
          </w:p>
        </w:tc>
      </w:tr>
      <w:tr w:rsidR="00CE5D9A" w:rsidRPr="00CE5D9A" w14:paraId="73A9DD31" w14:textId="77777777" w:rsidTr="00CC55F7">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26D6263F" w14:textId="5FEEA150" w:rsidR="00893413" w:rsidRPr="00CE5D9A" w:rsidRDefault="00893413" w:rsidP="00D707DD">
            <w:pPr>
              <w:spacing w:after="0" w:line="240" w:lineRule="auto"/>
              <w:jc w:val="center"/>
              <w:rPr>
                <w:rFonts w:ascii="Times New Roman" w:eastAsia="Times New Roman" w:hAnsi="Times New Roman"/>
                <w:sz w:val="20"/>
                <w:szCs w:val="18"/>
                <w:lang w:eastAsia="pl-PL"/>
              </w:rPr>
            </w:pPr>
            <w:r w:rsidRPr="00CE5D9A">
              <w:rPr>
                <w:rFonts w:ascii="Times New Roman" w:eastAsia="Times New Roman" w:hAnsi="Times New Roman"/>
                <w:sz w:val="20"/>
                <w:szCs w:val="18"/>
                <w:lang w:eastAsia="pl-PL"/>
              </w:rPr>
              <w:t xml:space="preserve"> € 95 000 </w:t>
            </w:r>
          </w:p>
        </w:tc>
        <w:tc>
          <w:tcPr>
            <w:tcW w:w="242" w:type="pct"/>
            <w:tcBorders>
              <w:top w:val="single" w:sz="4" w:space="0" w:color="auto"/>
              <w:left w:val="nil"/>
              <w:bottom w:val="single" w:sz="4" w:space="0" w:color="auto"/>
              <w:right w:val="single" w:sz="4" w:space="0" w:color="auto"/>
            </w:tcBorders>
            <w:vAlign w:val="center"/>
          </w:tcPr>
          <w:p w14:paraId="00860BD8" w14:textId="06D43983"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1.8</w:t>
            </w:r>
          </w:p>
        </w:tc>
        <w:tc>
          <w:tcPr>
            <w:tcW w:w="1832" w:type="pct"/>
            <w:tcBorders>
              <w:top w:val="single" w:sz="4" w:space="0" w:color="auto"/>
              <w:left w:val="nil"/>
              <w:bottom w:val="single" w:sz="4" w:space="0" w:color="auto"/>
              <w:right w:val="single" w:sz="4" w:space="0" w:color="auto"/>
            </w:tcBorders>
            <w:vAlign w:val="center"/>
          </w:tcPr>
          <w:p w14:paraId="3180FF7D" w14:textId="1E1F7CFD"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 xml:space="preserve">Kojarzenie partnerów </w:t>
            </w:r>
            <w:r w:rsidRPr="00CE5D9A">
              <w:rPr>
                <w:rFonts w:ascii="Times New Roman" w:eastAsia="Times New Roman" w:hAnsi="Times New Roman"/>
                <w:sz w:val="20"/>
                <w:szCs w:val="18"/>
                <w:lang w:eastAsia="pl-PL"/>
              </w:rPr>
              <w:br/>
              <w:t>i animowanie do realizacji wspólnych projektów, w tym przygotowanie do wdrożenia idei Smart Villages</w:t>
            </w:r>
          </w:p>
        </w:tc>
        <w:tc>
          <w:tcPr>
            <w:tcW w:w="1716" w:type="pct"/>
            <w:tcBorders>
              <w:top w:val="single" w:sz="4" w:space="0" w:color="auto"/>
              <w:left w:val="nil"/>
              <w:bottom w:val="single" w:sz="4" w:space="0" w:color="auto"/>
              <w:right w:val="single" w:sz="4" w:space="0" w:color="auto"/>
            </w:tcBorders>
            <w:vAlign w:val="center"/>
          </w:tcPr>
          <w:p w14:paraId="3CD623B8" w14:textId="3FDD172F" w:rsidR="00893413" w:rsidRPr="00CE5D9A" w:rsidRDefault="00893413" w:rsidP="00D707DD">
            <w:pPr>
              <w:spacing w:after="0"/>
              <w:jc w:val="center"/>
              <w:rPr>
                <w:sz w:val="20"/>
                <w:szCs w:val="20"/>
              </w:rPr>
            </w:pPr>
            <w:r w:rsidRPr="00CE5D9A">
              <w:rPr>
                <w:rFonts w:ascii="Times New Roman" w:eastAsia="Times New Roman" w:hAnsi="Times New Roman"/>
                <w:sz w:val="20"/>
                <w:szCs w:val="20"/>
                <w:lang w:eastAsia="pl-PL"/>
              </w:rPr>
              <w:t>Mieszkańcy, organizacje pozarządowe</w:t>
            </w:r>
          </w:p>
        </w:tc>
        <w:tc>
          <w:tcPr>
            <w:tcW w:w="755" w:type="pct"/>
            <w:tcBorders>
              <w:top w:val="single" w:sz="4" w:space="0" w:color="auto"/>
              <w:left w:val="nil"/>
              <w:bottom w:val="single" w:sz="4" w:space="0" w:color="auto"/>
              <w:right w:val="single" w:sz="4" w:space="0" w:color="auto"/>
            </w:tcBorders>
            <w:vAlign w:val="center"/>
          </w:tcPr>
          <w:p w14:paraId="7E252FDB" w14:textId="5E230264"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  / Projekty partnerskie / Operacja własna</w:t>
            </w:r>
          </w:p>
        </w:tc>
      </w:tr>
      <w:tr w:rsidR="00CE5D9A" w:rsidRPr="00CE5D9A" w14:paraId="2AF45643" w14:textId="77777777" w:rsidTr="00A73A44">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77B9B280" w14:textId="2842FE64" w:rsidR="00893413" w:rsidRPr="00CE5D9A" w:rsidRDefault="00893413" w:rsidP="00D707DD">
            <w:pPr>
              <w:spacing w:after="0" w:line="240" w:lineRule="auto"/>
              <w:jc w:val="center"/>
              <w:rPr>
                <w:rFonts w:ascii="Times New Roman" w:eastAsia="Times New Roman" w:hAnsi="Times New Roman"/>
                <w:sz w:val="20"/>
                <w:szCs w:val="18"/>
                <w:lang w:eastAsia="pl-PL"/>
              </w:rPr>
            </w:pPr>
            <w:r w:rsidRPr="00CE5D9A">
              <w:rPr>
                <w:rFonts w:ascii="Times New Roman" w:eastAsia="Times New Roman" w:hAnsi="Times New Roman"/>
                <w:sz w:val="20"/>
                <w:szCs w:val="18"/>
                <w:lang w:eastAsia="pl-PL"/>
              </w:rPr>
              <w:t>€ 5 000</w:t>
            </w:r>
          </w:p>
        </w:tc>
        <w:tc>
          <w:tcPr>
            <w:tcW w:w="242" w:type="pct"/>
            <w:tcBorders>
              <w:top w:val="single" w:sz="4" w:space="0" w:color="auto"/>
              <w:left w:val="nil"/>
              <w:bottom w:val="single" w:sz="4" w:space="0" w:color="auto"/>
              <w:right w:val="single" w:sz="4" w:space="0" w:color="auto"/>
            </w:tcBorders>
            <w:vAlign w:val="center"/>
          </w:tcPr>
          <w:p w14:paraId="2A01D7BB" w14:textId="16AEFDA1"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1.9</w:t>
            </w:r>
          </w:p>
        </w:tc>
        <w:tc>
          <w:tcPr>
            <w:tcW w:w="1832" w:type="pct"/>
            <w:tcBorders>
              <w:top w:val="single" w:sz="4" w:space="0" w:color="auto"/>
              <w:left w:val="nil"/>
              <w:bottom w:val="single" w:sz="4" w:space="0" w:color="auto"/>
              <w:right w:val="single" w:sz="4" w:space="0" w:color="auto"/>
            </w:tcBorders>
            <w:shd w:val="clear" w:color="auto" w:fill="auto"/>
            <w:vAlign w:val="center"/>
          </w:tcPr>
          <w:p w14:paraId="23BDE4E5" w14:textId="68B510C6"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 xml:space="preserve">Opracowanie Koncepcji Smart Village – inteligentnej wsi </w:t>
            </w:r>
          </w:p>
        </w:tc>
        <w:tc>
          <w:tcPr>
            <w:tcW w:w="1716" w:type="pct"/>
            <w:tcBorders>
              <w:top w:val="single" w:sz="4" w:space="0" w:color="auto"/>
              <w:left w:val="nil"/>
              <w:bottom w:val="single" w:sz="4" w:space="0" w:color="auto"/>
              <w:right w:val="single" w:sz="4" w:space="0" w:color="auto"/>
            </w:tcBorders>
            <w:shd w:val="clear" w:color="auto" w:fill="auto"/>
            <w:vAlign w:val="center"/>
          </w:tcPr>
          <w:p w14:paraId="4702F55D" w14:textId="16D96EC6" w:rsidR="00893413" w:rsidRPr="00CE5D9A" w:rsidRDefault="00893413" w:rsidP="00D707DD">
            <w:pPr>
              <w:spacing w:after="0"/>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 organizacje pozarządowe</w:t>
            </w:r>
          </w:p>
        </w:tc>
        <w:tc>
          <w:tcPr>
            <w:tcW w:w="755" w:type="pct"/>
            <w:tcBorders>
              <w:top w:val="single" w:sz="4" w:space="0" w:color="auto"/>
              <w:left w:val="nil"/>
              <w:bottom w:val="single" w:sz="4" w:space="0" w:color="auto"/>
              <w:right w:val="single" w:sz="4" w:space="0" w:color="auto"/>
            </w:tcBorders>
            <w:shd w:val="clear" w:color="auto" w:fill="auto"/>
            <w:vAlign w:val="center"/>
          </w:tcPr>
          <w:p w14:paraId="578BD843" w14:textId="56019242"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Projekt grantowy</w:t>
            </w:r>
          </w:p>
        </w:tc>
      </w:tr>
      <w:tr w:rsidR="00CE5D9A" w:rsidRPr="00CE5D9A" w14:paraId="46D55CDF" w14:textId="77777777" w:rsidTr="00CC55F7">
        <w:trPr>
          <w:trHeight w:val="545"/>
        </w:trPr>
        <w:tc>
          <w:tcPr>
            <w:tcW w:w="455" w:type="pct"/>
            <w:tcBorders>
              <w:top w:val="single" w:sz="4" w:space="0" w:color="auto"/>
              <w:left w:val="single" w:sz="4" w:space="0" w:color="auto"/>
              <w:bottom w:val="single" w:sz="4" w:space="0" w:color="auto"/>
              <w:right w:val="single" w:sz="4" w:space="0" w:color="auto"/>
            </w:tcBorders>
            <w:vAlign w:val="center"/>
          </w:tcPr>
          <w:p w14:paraId="56978BB9" w14:textId="4F46992F" w:rsidR="00893413"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xml:space="preserve"> € 635</w:t>
            </w:r>
            <w:r w:rsidR="00893413" w:rsidRPr="00970EF5">
              <w:rPr>
                <w:rFonts w:ascii="Times New Roman" w:eastAsia="Times New Roman" w:hAnsi="Times New Roman"/>
                <w:color w:val="FF0000"/>
                <w:sz w:val="20"/>
                <w:szCs w:val="18"/>
                <w:lang w:eastAsia="pl-PL"/>
              </w:rPr>
              <w:t xml:space="preserve"> 000 </w:t>
            </w:r>
          </w:p>
        </w:tc>
        <w:tc>
          <w:tcPr>
            <w:tcW w:w="242" w:type="pct"/>
            <w:tcBorders>
              <w:top w:val="single" w:sz="4" w:space="0" w:color="auto"/>
              <w:left w:val="nil"/>
              <w:bottom w:val="single" w:sz="4" w:space="0" w:color="auto"/>
              <w:right w:val="single" w:sz="4" w:space="0" w:color="auto"/>
            </w:tcBorders>
            <w:vAlign w:val="center"/>
          </w:tcPr>
          <w:p w14:paraId="0ED819D8" w14:textId="35B8575F"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1.10</w:t>
            </w:r>
          </w:p>
        </w:tc>
        <w:tc>
          <w:tcPr>
            <w:tcW w:w="1832" w:type="pct"/>
            <w:tcBorders>
              <w:top w:val="single" w:sz="4" w:space="0" w:color="auto"/>
              <w:left w:val="nil"/>
              <w:bottom w:val="single" w:sz="4" w:space="0" w:color="auto"/>
              <w:right w:val="single" w:sz="4" w:space="0" w:color="auto"/>
            </w:tcBorders>
            <w:vAlign w:val="center"/>
          </w:tcPr>
          <w:p w14:paraId="13641A96" w14:textId="1EC6DC0C"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Podejmowanie działalności gospodarczej</w:t>
            </w:r>
          </w:p>
        </w:tc>
        <w:tc>
          <w:tcPr>
            <w:tcW w:w="1716" w:type="pct"/>
            <w:tcBorders>
              <w:top w:val="single" w:sz="4" w:space="0" w:color="auto"/>
              <w:left w:val="nil"/>
              <w:bottom w:val="single" w:sz="4" w:space="0" w:color="auto"/>
              <w:right w:val="single" w:sz="4" w:space="0" w:color="auto"/>
            </w:tcBorders>
            <w:vAlign w:val="center"/>
          </w:tcPr>
          <w:p w14:paraId="025C98EE" w14:textId="1FCF3FD7" w:rsidR="00893413" w:rsidRPr="00CE5D9A" w:rsidRDefault="00893413" w:rsidP="00D707DD">
            <w:pPr>
              <w:spacing w:after="0"/>
              <w:jc w:val="center"/>
              <w:rPr>
                <w:sz w:val="20"/>
                <w:szCs w:val="20"/>
              </w:rPr>
            </w:pPr>
            <w:r w:rsidRPr="00CE5D9A">
              <w:rPr>
                <w:rFonts w:ascii="Times New Roman" w:eastAsia="Times New Roman" w:hAnsi="Times New Roman"/>
                <w:sz w:val="20"/>
                <w:szCs w:val="20"/>
                <w:lang w:eastAsia="pl-PL"/>
              </w:rPr>
              <w:t>Mieszkańcy</w:t>
            </w:r>
          </w:p>
        </w:tc>
        <w:tc>
          <w:tcPr>
            <w:tcW w:w="755" w:type="pct"/>
            <w:tcBorders>
              <w:top w:val="single" w:sz="4" w:space="0" w:color="auto"/>
              <w:left w:val="nil"/>
              <w:bottom w:val="single" w:sz="4" w:space="0" w:color="auto"/>
              <w:right w:val="single" w:sz="4" w:space="0" w:color="auto"/>
            </w:tcBorders>
            <w:vAlign w:val="center"/>
          </w:tcPr>
          <w:p w14:paraId="35638AEC" w14:textId="71403472"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w:t>
            </w:r>
          </w:p>
        </w:tc>
      </w:tr>
      <w:tr w:rsidR="00CE5D9A" w:rsidRPr="00CE5D9A" w14:paraId="557656FA" w14:textId="77777777" w:rsidTr="00CC55F7">
        <w:trPr>
          <w:trHeight w:val="566"/>
        </w:trPr>
        <w:tc>
          <w:tcPr>
            <w:tcW w:w="455" w:type="pct"/>
            <w:tcBorders>
              <w:top w:val="single" w:sz="4" w:space="0" w:color="auto"/>
              <w:left w:val="single" w:sz="4" w:space="0" w:color="auto"/>
              <w:bottom w:val="single" w:sz="4" w:space="0" w:color="auto"/>
              <w:right w:val="single" w:sz="4" w:space="0" w:color="auto"/>
            </w:tcBorders>
            <w:vAlign w:val="center"/>
          </w:tcPr>
          <w:p w14:paraId="0258BF64" w14:textId="0326E521" w:rsidR="00893413" w:rsidRPr="00970EF5" w:rsidRDefault="00970EF5" w:rsidP="00D707DD">
            <w:pPr>
              <w:spacing w:after="0" w:line="240" w:lineRule="auto"/>
              <w:jc w:val="center"/>
              <w:rPr>
                <w:rFonts w:ascii="Times New Roman" w:eastAsia="Times New Roman" w:hAnsi="Times New Roman"/>
                <w:color w:val="FF0000"/>
                <w:sz w:val="20"/>
                <w:szCs w:val="18"/>
                <w:lang w:eastAsia="pl-PL"/>
              </w:rPr>
            </w:pPr>
            <w:r w:rsidRPr="00970EF5">
              <w:rPr>
                <w:rFonts w:ascii="Times New Roman" w:eastAsia="Times New Roman" w:hAnsi="Times New Roman"/>
                <w:color w:val="FF0000"/>
                <w:sz w:val="20"/>
                <w:szCs w:val="18"/>
                <w:lang w:eastAsia="pl-PL"/>
              </w:rPr>
              <w:t xml:space="preserve"> € 6</w:t>
            </w:r>
            <w:r w:rsidR="00893413" w:rsidRPr="00970EF5">
              <w:rPr>
                <w:rFonts w:ascii="Times New Roman" w:eastAsia="Times New Roman" w:hAnsi="Times New Roman"/>
                <w:color w:val="FF0000"/>
                <w:sz w:val="20"/>
                <w:szCs w:val="18"/>
                <w:lang w:eastAsia="pl-PL"/>
              </w:rPr>
              <w:t xml:space="preserve">00 000 </w:t>
            </w:r>
          </w:p>
        </w:tc>
        <w:tc>
          <w:tcPr>
            <w:tcW w:w="242" w:type="pct"/>
            <w:tcBorders>
              <w:top w:val="single" w:sz="4" w:space="0" w:color="auto"/>
              <w:left w:val="nil"/>
              <w:bottom w:val="single" w:sz="4" w:space="0" w:color="auto"/>
              <w:right w:val="single" w:sz="4" w:space="0" w:color="auto"/>
            </w:tcBorders>
            <w:vAlign w:val="center"/>
          </w:tcPr>
          <w:p w14:paraId="21B313C8" w14:textId="289CB653"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1.11</w:t>
            </w:r>
          </w:p>
        </w:tc>
        <w:tc>
          <w:tcPr>
            <w:tcW w:w="1832" w:type="pct"/>
            <w:tcBorders>
              <w:top w:val="single" w:sz="4" w:space="0" w:color="auto"/>
              <w:left w:val="nil"/>
              <w:bottom w:val="single" w:sz="4" w:space="0" w:color="auto"/>
              <w:right w:val="single" w:sz="4" w:space="0" w:color="auto"/>
            </w:tcBorders>
            <w:vAlign w:val="center"/>
          </w:tcPr>
          <w:p w14:paraId="6E0A98D4" w14:textId="38211CA7"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Rozwój działalności gospodarczej</w:t>
            </w:r>
          </w:p>
        </w:tc>
        <w:tc>
          <w:tcPr>
            <w:tcW w:w="1716" w:type="pct"/>
            <w:tcBorders>
              <w:top w:val="single" w:sz="4" w:space="0" w:color="auto"/>
              <w:left w:val="nil"/>
              <w:bottom w:val="single" w:sz="4" w:space="0" w:color="auto"/>
              <w:right w:val="single" w:sz="4" w:space="0" w:color="auto"/>
            </w:tcBorders>
            <w:vAlign w:val="center"/>
          </w:tcPr>
          <w:p w14:paraId="2795DE33" w14:textId="6CD0E5CE" w:rsidR="00893413" w:rsidRPr="00CE5D9A" w:rsidRDefault="00893413" w:rsidP="00D707DD">
            <w:pPr>
              <w:spacing w:after="0"/>
              <w:jc w:val="center"/>
              <w:rPr>
                <w:sz w:val="20"/>
                <w:szCs w:val="20"/>
              </w:rPr>
            </w:pPr>
            <w:r w:rsidRPr="00CE5D9A">
              <w:rPr>
                <w:rFonts w:ascii="Times New Roman" w:eastAsia="Times New Roman" w:hAnsi="Times New Roman"/>
                <w:sz w:val="20"/>
                <w:szCs w:val="20"/>
                <w:lang w:eastAsia="pl-PL"/>
              </w:rPr>
              <w:t>Mieszkańcy</w:t>
            </w:r>
          </w:p>
        </w:tc>
        <w:tc>
          <w:tcPr>
            <w:tcW w:w="755" w:type="pct"/>
            <w:tcBorders>
              <w:top w:val="single" w:sz="4" w:space="0" w:color="auto"/>
              <w:left w:val="nil"/>
              <w:bottom w:val="single" w:sz="4" w:space="0" w:color="auto"/>
              <w:right w:val="single" w:sz="4" w:space="0" w:color="auto"/>
            </w:tcBorders>
            <w:vAlign w:val="center"/>
          </w:tcPr>
          <w:p w14:paraId="3B7A14A2" w14:textId="08AF8327"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w:t>
            </w:r>
          </w:p>
        </w:tc>
      </w:tr>
      <w:tr w:rsidR="00CE5D9A" w:rsidRPr="00CE5D9A" w14:paraId="16525145" w14:textId="77777777" w:rsidTr="00CC55F7">
        <w:trPr>
          <w:trHeight w:val="403"/>
        </w:trPr>
        <w:tc>
          <w:tcPr>
            <w:tcW w:w="455" w:type="pct"/>
            <w:tcBorders>
              <w:top w:val="single" w:sz="4" w:space="0" w:color="auto"/>
              <w:left w:val="single" w:sz="4" w:space="0" w:color="auto"/>
              <w:bottom w:val="single" w:sz="4" w:space="0" w:color="auto"/>
              <w:right w:val="single" w:sz="4" w:space="0" w:color="auto"/>
            </w:tcBorders>
            <w:vAlign w:val="center"/>
          </w:tcPr>
          <w:p w14:paraId="37F3A3A4" w14:textId="071FE6B9" w:rsidR="00893413" w:rsidRPr="00CE5D9A" w:rsidRDefault="00970EF5" w:rsidP="00D707DD">
            <w:pPr>
              <w:spacing w:after="0" w:line="240" w:lineRule="auto"/>
              <w:jc w:val="center"/>
              <w:rPr>
                <w:rFonts w:ascii="Times New Roman" w:eastAsia="Times New Roman" w:hAnsi="Times New Roman"/>
                <w:sz w:val="20"/>
                <w:szCs w:val="18"/>
                <w:lang w:eastAsia="pl-PL"/>
              </w:rPr>
            </w:pPr>
            <w:r w:rsidRPr="00970EF5">
              <w:rPr>
                <w:rFonts w:ascii="Times New Roman" w:eastAsia="Times New Roman" w:hAnsi="Times New Roman"/>
                <w:color w:val="FF0000"/>
                <w:sz w:val="20"/>
                <w:szCs w:val="18"/>
                <w:lang w:eastAsia="pl-PL"/>
              </w:rPr>
              <w:t xml:space="preserve"> € 4</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18D996DC" w14:textId="127C1A24"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hAnsi="Times New Roman"/>
                <w:sz w:val="20"/>
                <w:szCs w:val="20"/>
              </w:rPr>
              <w:t>1.12</w:t>
            </w:r>
          </w:p>
        </w:tc>
        <w:tc>
          <w:tcPr>
            <w:tcW w:w="1832" w:type="pct"/>
            <w:tcBorders>
              <w:top w:val="single" w:sz="4" w:space="0" w:color="auto"/>
              <w:left w:val="nil"/>
              <w:bottom w:val="single" w:sz="4" w:space="0" w:color="auto"/>
              <w:right w:val="single" w:sz="4" w:space="0" w:color="auto"/>
            </w:tcBorders>
            <w:vAlign w:val="center"/>
          </w:tcPr>
          <w:p w14:paraId="6E7D25F3" w14:textId="7CA001FC"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Utworzenie lub rozwój gospodarstwa agroturystycznego</w:t>
            </w:r>
          </w:p>
        </w:tc>
        <w:tc>
          <w:tcPr>
            <w:tcW w:w="1716" w:type="pct"/>
            <w:tcBorders>
              <w:top w:val="single" w:sz="4" w:space="0" w:color="auto"/>
              <w:left w:val="nil"/>
              <w:bottom w:val="single" w:sz="4" w:space="0" w:color="auto"/>
              <w:right w:val="single" w:sz="4" w:space="0" w:color="auto"/>
            </w:tcBorders>
            <w:vAlign w:val="center"/>
          </w:tcPr>
          <w:p w14:paraId="5225C5AD" w14:textId="250D13B6"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w:t>
            </w:r>
          </w:p>
        </w:tc>
        <w:tc>
          <w:tcPr>
            <w:tcW w:w="755" w:type="pct"/>
            <w:tcBorders>
              <w:top w:val="single" w:sz="4" w:space="0" w:color="auto"/>
              <w:left w:val="nil"/>
              <w:bottom w:val="single" w:sz="4" w:space="0" w:color="auto"/>
              <w:right w:val="single" w:sz="4" w:space="0" w:color="auto"/>
            </w:tcBorders>
            <w:vAlign w:val="center"/>
          </w:tcPr>
          <w:p w14:paraId="0E1D54FE" w14:textId="51E99E0E"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w:t>
            </w:r>
          </w:p>
        </w:tc>
      </w:tr>
      <w:tr w:rsidR="00CE5D9A" w:rsidRPr="00CE5D9A" w14:paraId="0A335D9D" w14:textId="77777777" w:rsidTr="00CC55F7">
        <w:trPr>
          <w:trHeight w:val="409"/>
        </w:trPr>
        <w:tc>
          <w:tcPr>
            <w:tcW w:w="455" w:type="pct"/>
            <w:tcBorders>
              <w:top w:val="single" w:sz="4" w:space="0" w:color="auto"/>
              <w:left w:val="single" w:sz="4" w:space="0" w:color="auto"/>
              <w:bottom w:val="single" w:sz="4" w:space="0" w:color="auto"/>
              <w:right w:val="single" w:sz="4" w:space="0" w:color="auto"/>
            </w:tcBorders>
            <w:vAlign w:val="center"/>
          </w:tcPr>
          <w:p w14:paraId="6F0471FF" w14:textId="1E837774" w:rsidR="00893413" w:rsidRPr="00CE5D9A" w:rsidRDefault="00970EF5" w:rsidP="00D707DD">
            <w:pPr>
              <w:spacing w:after="0" w:line="240" w:lineRule="auto"/>
              <w:jc w:val="center"/>
              <w:rPr>
                <w:rFonts w:ascii="Times New Roman" w:eastAsia="Times New Roman" w:hAnsi="Times New Roman"/>
                <w:sz w:val="20"/>
                <w:szCs w:val="18"/>
                <w:lang w:eastAsia="pl-PL"/>
              </w:rPr>
            </w:pPr>
            <w:r w:rsidRPr="00970EF5">
              <w:rPr>
                <w:rFonts w:ascii="Times New Roman" w:eastAsia="Times New Roman" w:hAnsi="Times New Roman"/>
                <w:color w:val="FF0000"/>
                <w:sz w:val="20"/>
                <w:szCs w:val="18"/>
                <w:lang w:eastAsia="pl-PL"/>
              </w:rPr>
              <w:lastRenderedPageBreak/>
              <w:t xml:space="preserve"> € 4</w:t>
            </w:r>
            <w:r w:rsidR="00893413" w:rsidRPr="00970EF5">
              <w:rPr>
                <w:rFonts w:ascii="Times New Roman" w:eastAsia="Times New Roman" w:hAnsi="Times New Roman"/>
                <w:color w:val="FF0000"/>
                <w:sz w:val="20"/>
                <w:szCs w:val="18"/>
                <w:lang w:eastAsia="pl-PL"/>
              </w:rPr>
              <w:t xml:space="preserve">0 000 </w:t>
            </w:r>
          </w:p>
        </w:tc>
        <w:tc>
          <w:tcPr>
            <w:tcW w:w="242" w:type="pct"/>
            <w:tcBorders>
              <w:top w:val="single" w:sz="4" w:space="0" w:color="auto"/>
              <w:left w:val="nil"/>
              <w:bottom w:val="single" w:sz="4" w:space="0" w:color="auto"/>
              <w:right w:val="single" w:sz="4" w:space="0" w:color="auto"/>
            </w:tcBorders>
            <w:vAlign w:val="center"/>
          </w:tcPr>
          <w:p w14:paraId="18962ABE" w14:textId="2896BEE1"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1.13</w:t>
            </w:r>
          </w:p>
        </w:tc>
        <w:tc>
          <w:tcPr>
            <w:tcW w:w="1832" w:type="pct"/>
            <w:tcBorders>
              <w:top w:val="single" w:sz="4" w:space="0" w:color="auto"/>
              <w:left w:val="nil"/>
              <w:bottom w:val="single" w:sz="4" w:space="0" w:color="auto"/>
              <w:right w:val="single" w:sz="4" w:space="0" w:color="auto"/>
            </w:tcBorders>
            <w:vAlign w:val="center"/>
          </w:tcPr>
          <w:p w14:paraId="53F26C1A" w14:textId="3DED42E1"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Utworzenia lub rozwój zagrody edukacyjnej</w:t>
            </w:r>
          </w:p>
        </w:tc>
        <w:tc>
          <w:tcPr>
            <w:tcW w:w="1716" w:type="pct"/>
            <w:tcBorders>
              <w:top w:val="single" w:sz="4" w:space="0" w:color="auto"/>
              <w:left w:val="nil"/>
              <w:bottom w:val="single" w:sz="4" w:space="0" w:color="auto"/>
              <w:right w:val="single" w:sz="4" w:space="0" w:color="auto"/>
            </w:tcBorders>
            <w:vAlign w:val="center"/>
          </w:tcPr>
          <w:p w14:paraId="1629FA50" w14:textId="01B9FAF9"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w:t>
            </w:r>
          </w:p>
        </w:tc>
        <w:tc>
          <w:tcPr>
            <w:tcW w:w="755" w:type="pct"/>
            <w:tcBorders>
              <w:top w:val="single" w:sz="4" w:space="0" w:color="auto"/>
              <w:left w:val="nil"/>
              <w:bottom w:val="single" w:sz="4" w:space="0" w:color="auto"/>
              <w:right w:val="single" w:sz="4" w:space="0" w:color="auto"/>
            </w:tcBorders>
            <w:vAlign w:val="center"/>
          </w:tcPr>
          <w:p w14:paraId="637492DF" w14:textId="55499A80"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Konkurs</w:t>
            </w:r>
          </w:p>
        </w:tc>
      </w:tr>
      <w:tr w:rsidR="00893413" w:rsidRPr="00CE5D9A" w14:paraId="47B95A71" w14:textId="77777777" w:rsidTr="00CC55F7">
        <w:trPr>
          <w:trHeight w:val="414"/>
        </w:trPr>
        <w:tc>
          <w:tcPr>
            <w:tcW w:w="455" w:type="pct"/>
            <w:tcBorders>
              <w:top w:val="single" w:sz="4" w:space="0" w:color="auto"/>
              <w:left w:val="single" w:sz="4" w:space="0" w:color="auto"/>
              <w:bottom w:val="single" w:sz="4" w:space="0" w:color="auto"/>
              <w:right w:val="single" w:sz="4" w:space="0" w:color="auto"/>
            </w:tcBorders>
            <w:vAlign w:val="center"/>
          </w:tcPr>
          <w:p w14:paraId="6F9B1963" w14:textId="12FFA08D" w:rsidR="00893413" w:rsidRPr="00CE5D9A" w:rsidRDefault="00893413" w:rsidP="00D707DD">
            <w:pPr>
              <w:spacing w:after="0" w:line="240" w:lineRule="auto"/>
              <w:jc w:val="center"/>
              <w:rPr>
                <w:rFonts w:ascii="Times New Roman" w:eastAsia="Times New Roman" w:hAnsi="Times New Roman"/>
                <w:sz w:val="20"/>
                <w:szCs w:val="18"/>
                <w:lang w:eastAsia="pl-PL"/>
              </w:rPr>
            </w:pPr>
            <w:r w:rsidRPr="00CE5D9A">
              <w:rPr>
                <w:rFonts w:ascii="Times New Roman" w:eastAsia="Times New Roman" w:hAnsi="Times New Roman"/>
                <w:sz w:val="20"/>
                <w:szCs w:val="18"/>
                <w:lang w:eastAsia="pl-PL"/>
              </w:rPr>
              <w:t>€ 1 424 903</w:t>
            </w:r>
          </w:p>
        </w:tc>
        <w:tc>
          <w:tcPr>
            <w:tcW w:w="242" w:type="pct"/>
            <w:tcBorders>
              <w:top w:val="single" w:sz="4" w:space="0" w:color="auto"/>
              <w:left w:val="nil"/>
              <w:bottom w:val="single" w:sz="4" w:space="0" w:color="auto"/>
              <w:right w:val="single" w:sz="4" w:space="0" w:color="auto"/>
            </w:tcBorders>
            <w:vAlign w:val="center"/>
          </w:tcPr>
          <w:p w14:paraId="2C29E480" w14:textId="5D20004B" w:rsidR="00893413" w:rsidRPr="00CE5D9A" w:rsidRDefault="00893413" w:rsidP="00D707DD">
            <w:pPr>
              <w:spacing w:after="0" w:line="240" w:lineRule="auto"/>
              <w:jc w:val="center"/>
              <w:rPr>
                <w:rFonts w:ascii="Times New Roman" w:hAnsi="Times New Roman"/>
                <w:sz w:val="20"/>
                <w:szCs w:val="20"/>
              </w:rPr>
            </w:pPr>
            <w:r w:rsidRPr="00CE5D9A">
              <w:rPr>
                <w:rFonts w:ascii="Times New Roman" w:hAnsi="Times New Roman"/>
                <w:sz w:val="20"/>
                <w:szCs w:val="20"/>
              </w:rPr>
              <w:t>1.14</w:t>
            </w:r>
          </w:p>
        </w:tc>
        <w:tc>
          <w:tcPr>
            <w:tcW w:w="1832" w:type="pct"/>
            <w:tcBorders>
              <w:top w:val="single" w:sz="4" w:space="0" w:color="auto"/>
              <w:left w:val="nil"/>
              <w:bottom w:val="single" w:sz="4" w:space="0" w:color="auto"/>
              <w:right w:val="single" w:sz="4" w:space="0" w:color="auto"/>
            </w:tcBorders>
            <w:vAlign w:val="center"/>
          </w:tcPr>
          <w:p w14:paraId="5E2FCDF4" w14:textId="696BB765"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Rozwój kultury, dziedzictwa kulturowego i turystyki (FEM EFRR)</w:t>
            </w:r>
          </w:p>
        </w:tc>
        <w:tc>
          <w:tcPr>
            <w:tcW w:w="1716" w:type="pct"/>
            <w:tcBorders>
              <w:top w:val="single" w:sz="4" w:space="0" w:color="auto"/>
              <w:left w:val="nil"/>
              <w:bottom w:val="single" w:sz="4" w:space="0" w:color="auto"/>
              <w:right w:val="single" w:sz="4" w:space="0" w:color="auto"/>
            </w:tcBorders>
            <w:vAlign w:val="center"/>
          </w:tcPr>
          <w:p w14:paraId="56DDCB5E" w14:textId="77777777"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Mieszkańcy,</w:t>
            </w:r>
          </w:p>
          <w:p w14:paraId="6AFCE01B" w14:textId="15CFB5BC"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turyści</w:t>
            </w:r>
          </w:p>
        </w:tc>
        <w:tc>
          <w:tcPr>
            <w:tcW w:w="755" w:type="pct"/>
            <w:tcBorders>
              <w:top w:val="single" w:sz="4" w:space="0" w:color="auto"/>
              <w:left w:val="nil"/>
              <w:bottom w:val="single" w:sz="4" w:space="0" w:color="auto"/>
              <w:right w:val="single" w:sz="4" w:space="0" w:color="auto"/>
            </w:tcBorders>
            <w:vAlign w:val="center"/>
          </w:tcPr>
          <w:p w14:paraId="022E5D2E" w14:textId="79F0D25E" w:rsidR="00893413" w:rsidRPr="00CE5D9A" w:rsidRDefault="00FD7B30" w:rsidP="00D707DD">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18"/>
                <w:lang w:eastAsia="pl-PL"/>
              </w:rPr>
              <w:t>Konkurs</w:t>
            </w:r>
            <w:r w:rsidR="00893413" w:rsidRPr="00CE5D9A">
              <w:rPr>
                <w:rFonts w:ascii="Times New Roman" w:eastAsia="Times New Roman" w:hAnsi="Times New Roman"/>
                <w:sz w:val="20"/>
                <w:szCs w:val="18"/>
                <w:lang w:eastAsia="pl-PL"/>
              </w:rPr>
              <w:t xml:space="preserve"> </w:t>
            </w:r>
            <w:r w:rsidR="00893413" w:rsidRPr="00FD7B30">
              <w:rPr>
                <w:rFonts w:ascii="Times New Roman" w:eastAsia="Times New Roman" w:hAnsi="Times New Roman"/>
                <w:strike/>
                <w:color w:val="FF0000"/>
                <w:sz w:val="20"/>
                <w:szCs w:val="18"/>
                <w:lang w:eastAsia="pl-PL"/>
              </w:rPr>
              <w:t>operacja własna</w:t>
            </w:r>
          </w:p>
        </w:tc>
      </w:tr>
      <w:tr w:rsidR="00893413" w:rsidRPr="00CE5D9A" w14:paraId="376B3E64" w14:textId="77777777" w:rsidTr="00CC55F7">
        <w:trPr>
          <w:trHeight w:val="680"/>
        </w:trPr>
        <w:tc>
          <w:tcPr>
            <w:tcW w:w="455" w:type="pct"/>
            <w:tcBorders>
              <w:top w:val="single" w:sz="4" w:space="0" w:color="auto"/>
              <w:left w:val="single" w:sz="4" w:space="0" w:color="auto"/>
              <w:bottom w:val="single" w:sz="4" w:space="0" w:color="auto"/>
              <w:right w:val="single" w:sz="4" w:space="0" w:color="auto"/>
            </w:tcBorders>
            <w:vAlign w:val="center"/>
          </w:tcPr>
          <w:p w14:paraId="2CCF8BC1" w14:textId="56BC899F" w:rsidR="00893413" w:rsidRPr="00CE5D9A" w:rsidRDefault="00893413" w:rsidP="00D707DD">
            <w:pPr>
              <w:spacing w:after="0" w:line="240" w:lineRule="auto"/>
              <w:jc w:val="center"/>
              <w:rPr>
                <w:rFonts w:ascii="Times New Roman" w:eastAsia="Times New Roman" w:hAnsi="Times New Roman"/>
                <w:sz w:val="20"/>
                <w:szCs w:val="18"/>
                <w:lang w:eastAsia="pl-PL"/>
              </w:rPr>
            </w:pPr>
            <w:r w:rsidRPr="00CE5D9A">
              <w:rPr>
                <w:rFonts w:ascii="Times New Roman" w:eastAsia="Times New Roman" w:hAnsi="Times New Roman"/>
                <w:sz w:val="20"/>
                <w:szCs w:val="18"/>
                <w:lang w:eastAsia="pl-PL"/>
              </w:rPr>
              <w:t xml:space="preserve"> € </w:t>
            </w:r>
            <w:r w:rsidRPr="00CE5D9A">
              <w:rPr>
                <w:rFonts w:ascii="Times New Roman" w:hAnsi="Times New Roman"/>
                <w:sz w:val="20"/>
                <w:szCs w:val="20"/>
              </w:rPr>
              <w:t>654 683</w:t>
            </w:r>
          </w:p>
        </w:tc>
        <w:tc>
          <w:tcPr>
            <w:tcW w:w="242" w:type="pct"/>
            <w:tcBorders>
              <w:top w:val="single" w:sz="4" w:space="0" w:color="auto"/>
              <w:left w:val="nil"/>
              <w:bottom w:val="single" w:sz="4" w:space="0" w:color="auto"/>
              <w:right w:val="single" w:sz="4" w:space="0" w:color="auto"/>
            </w:tcBorders>
            <w:vAlign w:val="center"/>
          </w:tcPr>
          <w:p w14:paraId="31312868" w14:textId="57457335"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1.15</w:t>
            </w:r>
          </w:p>
        </w:tc>
        <w:tc>
          <w:tcPr>
            <w:tcW w:w="1832" w:type="pct"/>
            <w:tcBorders>
              <w:top w:val="single" w:sz="4" w:space="0" w:color="auto"/>
              <w:left w:val="nil"/>
              <w:bottom w:val="single" w:sz="4" w:space="0" w:color="auto"/>
              <w:right w:val="single" w:sz="4" w:space="0" w:color="auto"/>
            </w:tcBorders>
            <w:vAlign w:val="center"/>
          </w:tcPr>
          <w:p w14:paraId="45E7E796" w14:textId="74861E5B"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18"/>
                <w:lang w:eastAsia="pl-PL"/>
              </w:rPr>
              <w:t>Wspieranie oddolnych inicjatyw na rzecz aktywnego włączenia społecznego (FEM EFS+)</w:t>
            </w:r>
          </w:p>
        </w:tc>
        <w:tc>
          <w:tcPr>
            <w:tcW w:w="1716" w:type="pct"/>
            <w:tcBorders>
              <w:top w:val="single" w:sz="4" w:space="0" w:color="auto"/>
              <w:left w:val="nil"/>
              <w:bottom w:val="single" w:sz="4" w:space="0" w:color="auto"/>
              <w:right w:val="single" w:sz="4" w:space="0" w:color="auto"/>
            </w:tcBorders>
            <w:vAlign w:val="center"/>
          </w:tcPr>
          <w:p w14:paraId="6CAC3C1B" w14:textId="5FCDE7E7" w:rsidR="00893413" w:rsidRPr="00CE5D9A" w:rsidRDefault="00893413" w:rsidP="00D707DD">
            <w:pPr>
              <w:spacing w:after="0" w:line="240" w:lineRule="auto"/>
              <w:jc w:val="center"/>
              <w:rPr>
                <w:rFonts w:ascii="Times New Roman" w:eastAsia="Times New Roman" w:hAnsi="Times New Roman"/>
                <w:sz w:val="20"/>
                <w:szCs w:val="20"/>
                <w:lang w:eastAsia="pl-PL"/>
              </w:rPr>
            </w:pPr>
            <w:r w:rsidRPr="00CE5D9A">
              <w:rPr>
                <w:rFonts w:ascii="Times New Roman" w:eastAsia="Times New Roman" w:hAnsi="Times New Roman"/>
                <w:sz w:val="20"/>
                <w:szCs w:val="20"/>
                <w:lang w:eastAsia="pl-PL"/>
              </w:rPr>
              <w:t>dzieci i młodzież, Lokalne Grupy Działania, opiekunowie osób wymagających wsparcia w codziennym funkcjonowaniu, osoby chorujące przewlekle, osoby starsze, osoby opuszczające zakłady karne, osoby usamodzielniane i opuszczające pieczę zastępczą, osoby w kryzysie bezdomności i zagrożone wykluczeniem mieszkaniowym, osoby wymagające wsparcia w codziennym funkcjonowaniu, rodzice i opiekunowie prawni dzieci i młodzieży</w:t>
            </w:r>
          </w:p>
        </w:tc>
        <w:tc>
          <w:tcPr>
            <w:tcW w:w="755" w:type="pct"/>
            <w:tcBorders>
              <w:top w:val="single" w:sz="4" w:space="0" w:color="auto"/>
              <w:left w:val="nil"/>
              <w:bottom w:val="single" w:sz="4" w:space="0" w:color="auto"/>
              <w:right w:val="single" w:sz="4" w:space="0" w:color="auto"/>
            </w:tcBorders>
            <w:vAlign w:val="center"/>
          </w:tcPr>
          <w:p w14:paraId="268AD71D" w14:textId="2A1379F7" w:rsidR="00893413" w:rsidRPr="00CE5D9A" w:rsidRDefault="00FD7B30" w:rsidP="00D707DD">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18"/>
                <w:lang w:eastAsia="pl-PL"/>
              </w:rPr>
              <w:t>Konkurs</w:t>
            </w:r>
            <w:r w:rsidR="00893413" w:rsidRPr="00CE5D9A">
              <w:rPr>
                <w:rFonts w:ascii="Times New Roman" w:eastAsia="Times New Roman" w:hAnsi="Times New Roman"/>
                <w:sz w:val="20"/>
                <w:szCs w:val="18"/>
                <w:lang w:eastAsia="pl-PL"/>
              </w:rPr>
              <w:t xml:space="preserve"> </w:t>
            </w:r>
            <w:r w:rsidR="00893413" w:rsidRPr="00FD7B30">
              <w:rPr>
                <w:rFonts w:ascii="Times New Roman" w:eastAsia="Times New Roman" w:hAnsi="Times New Roman"/>
                <w:strike/>
                <w:color w:val="FF0000"/>
                <w:sz w:val="20"/>
                <w:szCs w:val="18"/>
                <w:lang w:eastAsia="pl-PL"/>
              </w:rPr>
              <w:t>operacja własna</w:t>
            </w:r>
          </w:p>
        </w:tc>
      </w:tr>
    </w:tbl>
    <w:p w14:paraId="2845476A" w14:textId="77777777" w:rsidR="00686DFE" w:rsidRPr="00CE5D9A" w:rsidRDefault="00686DFE">
      <w:pPr>
        <w:jc w:val="center"/>
        <w:rPr>
          <w:rFonts w:ascii="Times New Roman" w:hAnsi="Times New Roman"/>
          <w:i/>
          <w:iCs/>
          <w:sz w:val="20"/>
          <w:szCs w:val="20"/>
        </w:rPr>
        <w:sectPr w:rsidR="00686DFE" w:rsidRPr="00CE5D9A" w:rsidSect="00FD0A02">
          <w:pgSz w:w="16838" w:h="11906" w:orient="landscape"/>
          <w:pgMar w:top="851" w:right="851" w:bottom="851" w:left="851" w:header="709" w:footer="709" w:gutter="0"/>
          <w:cols w:space="708"/>
          <w:docGrid w:linePitch="360"/>
        </w:sectPr>
      </w:pPr>
      <w:r w:rsidRPr="00CE5D9A">
        <w:rPr>
          <w:rFonts w:ascii="Times New Roman" w:hAnsi="Times New Roman"/>
          <w:i/>
          <w:iCs/>
          <w:sz w:val="20"/>
          <w:szCs w:val="20"/>
        </w:rPr>
        <w:t>Źródło: opracowanie własne</w:t>
      </w:r>
    </w:p>
    <w:p w14:paraId="04D1731F" w14:textId="77777777" w:rsidR="00686DFE" w:rsidRPr="00CE5D9A" w:rsidRDefault="00686DFE">
      <w:pPr>
        <w:ind w:left="360" w:hanging="360"/>
        <w:jc w:val="both"/>
        <w:rPr>
          <w:rFonts w:ascii="Times New Roman" w:hAnsi="Times New Roman"/>
          <w:b/>
          <w:bCs/>
        </w:rPr>
      </w:pPr>
      <w:r w:rsidRPr="00CE5D9A">
        <w:rPr>
          <w:rFonts w:ascii="Times New Roman" w:hAnsi="Times New Roman"/>
          <w:b/>
          <w:bCs/>
        </w:rPr>
        <w:lastRenderedPageBreak/>
        <w:t>Załącznik nr 2 Plan działania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
        <w:gridCol w:w="1840"/>
        <w:gridCol w:w="2120"/>
        <w:gridCol w:w="852"/>
        <w:gridCol w:w="859"/>
        <w:gridCol w:w="855"/>
        <w:gridCol w:w="859"/>
        <w:gridCol w:w="855"/>
        <w:gridCol w:w="859"/>
        <w:gridCol w:w="901"/>
        <w:gridCol w:w="855"/>
        <w:gridCol w:w="855"/>
        <w:gridCol w:w="862"/>
        <w:gridCol w:w="855"/>
        <w:gridCol w:w="862"/>
        <w:gridCol w:w="532"/>
      </w:tblGrid>
      <w:tr w:rsidR="004647AB" w:rsidRPr="00CE5D9A" w14:paraId="4E16D94F" w14:textId="77777777" w:rsidTr="004647AB">
        <w:trPr>
          <w:trHeight w:val="552"/>
        </w:trPr>
        <w:tc>
          <w:tcPr>
            <w:tcW w:w="751" w:type="pct"/>
            <w:gridSpan w:val="2"/>
            <w:vMerge w:val="restart"/>
            <w:shd w:val="clear" w:color="auto" w:fill="auto"/>
            <w:vAlign w:val="center"/>
          </w:tcPr>
          <w:p w14:paraId="03D509D7" w14:textId="77777777" w:rsidR="004647AB" w:rsidRPr="00CE5D9A" w:rsidRDefault="004647AB" w:rsidP="00207A83">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CEL LSR 1</w:t>
            </w:r>
            <w:r w:rsidRPr="00CE5D9A">
              <w:rPr>
                <w:rFonts w:ascii="Times New Roman" w:eastAsia="Times New Roman" w:hAnsi="Times New Roman"/>
                <w:b/>
                <w:bCs/>
                <w:sz w:val="18"/>
                <w:szCs w:val="18"/>
                <w:lang w:eastAsia="pl-PL"/>
              </w:rPr>
              <w:br/>
            </w:r>
            <w:r w:rsidRPr="00CE5D9A">
              <w:rPr>
                <w:rFonts w:ascii="Times New Roman" w:eastAsia="Times New Roman" w:hAnsi="Times New Roman"/>
                <w:b/>
                <w:bCs/>
                <w:i/>
                <w:iCs/>
                <w:sz w:val="18"/>
                <w:szCs w:val="18"/>
                <w:lang w:eastAsia="pl-PL"/>
              </w:rPr>
              <w:t>Utworzenie Myślenickiej Strefy Przemysłu Czasu Wolnego i rozwoju przedsiębiorczości</w:t>
            </w:r>
          </w:p>
        </w:tc>
        <w:tc>
          <w:tcPr>
            <w:tcW w:w="694" w:type="pct"/>
            <w:shd w:val="clear" w:color="000000" w:fill="FFFFFF"/>
            <w:vAlign w:val="center"/>
          </w:tcPr>
          <w:p w14:paraId="1EE7238C"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Lata</w:t>
            </w:r>
          </w:p>
        </w:tc>
        <w:tc>
          <w:tcPr>
            <w:tcW w:w="560" w:type="pct"/>
            <w:gridSpan w:val="2"/>
            <w:vAlign w:val="center"/>
          </w:tcPr>
          <w:p w14:paraId="244B6C4E"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31.12.2024</w:t>
            </w:r>
          </w:p>
        </w:tc>
        <w:tc>
          <w:tcPr>
            <w:tcW w:w="561" w:type="pct"/>
            <w:gridSpan w:val="2"/>
            <w:vAlign w:val="center"/>
          </w:tcPr>
          <w:p w14:paraId="7C86B9E2"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31.12.2025</w:t>
            </w:r>
          </w:p>
        </w:tc>
        <w:tc>
          <w:tcPr>
            <w:tcW w:w="561" w:type="pct"/>
            <w:gridSpan w:val="2"/>
            <w:vAlign w:val="center"/>
          </w:tcPr>
          <w:p w14:paraId="5796133A"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31.12.2026</w:t>
            </w:r>
          </w:p>
        </w:tc>
        <w:tc>
          <w:tcPr>
            <w:tcW w:w="575" w:type="pct"/>
            <w:gridSpan w:val="2"/>
            <w:vAlign w:val="center"/>
          </w:tcPr>
          <w:p w14:paraId="336C8923"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31.12.2027</w:t>
            </w:r>
          </w:p>
        </w:tc>
        <w:tc>
          <w:tcPr>
            <w:tcW w:w="562" w:type="pct"/>
            <w:gridSpan w:val="2"/>
            <w:vAlign w:val="center"/>
          </w:tcPr>
          <w:p w14:paraId="65D5E139"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31.12.2028</w:t>
            </w:r>
          </w:p>
        </w:tc>
        <w:tc>
          <w:tcPr>
            <w:tcW w:w="562" w:type="pct"/>
            <w:gridSpan w:val="2"/>
            <w:vAlign w:val="center"/>
          </w:tcPr>
          <w:p w14:paraId="592E3BEB"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Do 31.12.2029</w:t>
            </w:r>
          </w:p>
        </w:tc>
        <w:tc>
          <w:tcPr>
            <w:tcW w:w="174" w:type="pct"/>
            <w:vMerge w:val="restart"/>
            <w:textDirection w:val="tbRl"/>
            <w:vAlign w:val="center"/>
          </w:tcPr>
          <w:p w14:paraId="5DBD9C02" w14:textId="77777777" w:rsidR="004647AB" w:rsidRPr="00CE5D9A" w:rsidRDefault="004647AB" w:rsidP="00207A83">
            <w:pPr>
              <w:spacing w:after="0" w:line="240" w:lineRule="auto"/>
              <w:jc w:val="center"/>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Program</w:t>
            </w:r>
          </w:p>
        </w:tc>
      </w:tr>
      <w:tr w:rsidR="004647AB" w:rsidRPr="00CE5D9A" w14:paraId="6234A383" w14:textId="77777777" w:rsidTr="00207A83">
        <w:trPr>
          <w:trHeight w:val="1417"/>
        </w:trPr>
        <w:tc>
          <w:tcPr>
            <w:tcW w:w="751" w:type="pct"/>
            <w:gridSpan w:val="2"/>
            <w:vMerge/>
            <w:shd w:val="clear" w:color="auto" w:fill="auto"/>
            <w:vAlign w:val="center"/>
          </w:tcPr>
          <w:p w14:paraId="5D9B8AB5" w14:textId="77777777" w:rsidR="004647AB" w:rsidRPr="00CE5D9A" w:rsidRDefault="004647AB" w:rsidP="00207A83">
            <w:pPr>
              <w:spacing w:after="0" w:line="240" w:lineRule="auto"/>
              <w:rPr>
                <w:rFonts w:ascii="Times New Roman" w:eastAsia="Times New Roman" w:hAnsi="Times New Roman"/>
                <w:b/>
                <w:bCs/>
                <w:sz w:val="18"/>
                <w:szCs w:val="18"/>
                <w:lang w:eastAsia="pl-PL"/>
              </w:rPr>
            </w:pPr>
          </w:p>
        </w:tc>
        <w:tc>
          <w:tcPr>
            <w:tcW w:w="694" w:type="pct"/>
            <w:shd w:val="clear" w:color="000000" w:fill="FFFFFF"/>
            <w:vAlign w:val="center"/>
          </w:tcPr>
          <w:p w14:paraId="332527E2"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Nazwa wskaźnika</w:t>
            </w:r>
          </w:p>
        </w:tc>
        <w:tc>
          <w:tcPr>
            <w:tcW w:w="279" w:type="pct"/>
            <w:textDirection w:val="btLr"/>
            <w:vAlign w:val="center"/>
          </w:tcPr>
          <w:p w14:paraId="3377D2AF"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16DA454A"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4EA0E6D2"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0DC3F64F"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31CCFD61"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1" w:type="pct"/>
            <w:textDirection w:val="btLr"/>
            <w:vAlign w:val="center"/>
          </w:tcPr>
          <w:p w14:paraId="2021536C"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95" w:type="pct"/>
            <w:textDirection w:val="btLr"/>
            <w:vAlign w:val="center"/>
          </w:tcPr>
          <w:p w14:paraId="398A2044"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0" w:type="pct"/>
            <w:textDirection w:val="btLr"/>
            <w:vAlign w:val="center"/>
          </w:tcPr>
          <w:p w14:paraId="030495DE"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61F60BDC"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2" w:type="pct"/>
            <w:textDirection w:val="btLr"/>
            <w:vAlign w:val="center"/>
          </w:tcPr>
          <w:p w14:paraId="3731E931"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280" w:type="pct"/>
            <w:textDirection w:val="btLr"/>
            <w:vAlign w:val="center"/>
          </w:tcPr>
          <w:p w14:paraId="10CBC75C"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Wartość z jednostką miary</w:t>
            </w:r>
          </w:p>
        </w:tc>
        <w:tc>
          <w:tcPr>
            <w:tcW w:w="282" w:type="pct"/>
            <w:textDirection w:val="btLr"/>
            <w:vAlign w:val="center"/>
          </w:tcPr>
          <w:p w14:paraId="74ABBDA1"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realizacji wskaźnika narastająco</w:t>
            </w:r>
          </w:p>
        </w:tc>
        <w:tc>
          <w:tcPr>
            <w:tcW w:w="174" w:type="pct"/>
            <w:vMerge/>
            <w:vAlign w:val="center"/>
          </w:tcPr>
          <w:p w14:paraId="7B96C5F1" w14:textId="77777777" w:rsidR="004647AB" w:rsidRPr="00CE5D9A" w:rsidRDefault="004647AB" w:rsidP="00207A83">
            <w:pPr>
              <w:spacing w:after="0" w:line="240" w:lineRule="auto"/>
              <w:rPr>
                <w:rFonts w:ascii="Times New Roman" w:eastAsia="Times New Roman" w:hAnsi="Times New Roman"/>
                <w:b/>
                <w:bCs/>
                <w:sz w:val="16"/>
                <w:szCs w:val="16"/>
                <w:lang w:eastAsia="pl-PL"/>
              </w:rPr>
            </w:pPr>
          </w:p>
        </w:tc>
      </w:tr>
      <w:tr w:rsidR="004647AB" w:rsidRPr="00CE5D9A" w14:paraId="2FD41529" w14:textId="77777777" w:rsidTr="00207A83">
        <w:trPr>
          <w:trHeight w:val="794"/>
        </w:trPr>
        <w:tc>
          <w:tcPr>
            <w:tcW w:w="149" w:type="pct"/>
            <w:shd w:val="clear" w:color="auto" w:fill="auto"/>
            <w:noWrap/>
            <w:vAlign w:val="center"/>
          </w:tcPr>
          <w:p w14:paraId="1871C743"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w:t>
            </w:r>
          </w:p>
        </w:tc>
        <w:tc>
          <w:tcPr>
            <w:tcW w:w="602" w:type="pct"/>
            <w:shd w:val="clear" w:color="auto" w:fill="auto"/>
            <w:vAlign w:val="center"/>
          </w:tcPr>
          <w:p w14:paraId="5FF613AE"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Rozbudowa oferty infrastruktury publicznej </w:t>
            </w:r>
          </w:p>
        </w:tc>
        <w:tc>
          <w:tcPr>
            <w:tcW w:w="694" w:type="pct"/>
            <w:shd w:val="clear" w:color="000000" w:fill="FFFFFF"/>
            <w:vAlign w:val="center"/>
          </w:tcPr>
          <w:p w14:paraId="7E5DD8D8"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Liczba doposażonych instytucji kultury, zbudowanej lub rozbudowanej infrastruktury publicznej </w:t>
            </w:r>
          </w:p>
        </w:tc>
        <w:tc>
          <w:tcPr>
            <w:tcW w:w="279" w:type="pct"/>
            <w:vAlign w:val="center"/>
          </w:tcPr>
          <w:p w14:paraId="7154C01D"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B5B1D15"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17794E8"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73985FC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79FF4F2"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w:t>
            </w:r>
          </w:p>
        </w:tc>
        <w:tc>
          <w:tcPr>
            <w:tcW w:w="281" w:type="pct"/>
            <w:vAlign w:val="center"/>
          </w:tcPr>
          <w:p w14:paraId="0E84A7AE"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122187C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2B633876"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1879C5CF"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2A65FD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13B81D3E"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9468E58"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42CF9000"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PS WPR</w:t>
            </w:r>
          </w:p>
        </w:tc>
      </w:tr>
      <w:tr w:rsidR="004647AB" w:rsidRPr="00CE5D9A" w14:paraId="026BA068" w14:textId="77777777" w:rsidTr="00207A83">
        <w:trPr>
          <w:trHeight w:val="1094"/>
        </w:trPr>
        <w:tc>
          <w:tcPr>
            <w:tcW w:w="149" w:type="pct"/>
            <w:shd w:val="clear" w:color="auto" w:fill="auto"/>
            <w:noWrap/>
            <w:vAlign w:val="center"/>
          </w:tcPr>
          <w:p w14:paraId="763C9278"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602" w:type="pct"/>
            <w:shd w:val="clear" w:color="auto" w:fill="auto"/>
            <w:vAlign w:val="center"/>
          </w:tcPr>
          <w:p w14:paraId="0CCBF7DD"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Rozbudowa oferty infrastruktury publicznej wynikającej </w:t>
            </w:r>
            <w:r w:rsidRPr="00970EF5">
              <w:rPr>
                <w:rFonts w:ascii="Times New Roman" w:eastAsia="Times New Roman" w:hAnsi="Times New Roman"/>
                <w:strike/>
                <w:color w:val="FF0000"/>
                <w:sz w:val="18"/>
                <w:szCs w:val="18"/>
                <w:lang w:eastAsia="pl-PL"/>
              </w:rPr>
              <w:br/>
              <w:t>z opracowanych Koncepcji Smart Village</w:t>
            </w:r>
          </w:p>
        </w:tc>
        <w:tc>
          <w:tcPr>
            <w:tcW w:w="694" w:type="pct"/>
            <w:shd w:val="clear" w:color="000000" w:fill="FFFFFF"/>
            <w:vAlign w:val="center"/>
          </w:tcPr>
          <w:p w14:paraId="07F08CEA"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Liczba doposażonych instytucji kultury, zbudowanej lub rozbudowanej infrastruktury publicznej </w:t>
            </w:r>
          </w:p>
        </w:tc>
        <w:tc>
          <w:tcPr>
            <w:tcW w:w="279" w:type="pct"/>
            <w:vAlign w:val="center"/>
          </w:tcPr>
          <w:p w14:paraId="325AA641"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5AA8DCC2"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1B29F3D1"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337B5DA3"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1EC3FF59"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w:t>
            </w:r>
          </w:p>
        </w:tc>
        <w:tc>
          <w:tcPr>
            <w:tcW w:w="281" w:type="pct"/>
            <w:vAlign w:val="center"/>
          </w:tcPr>
          <w:p w14:paraId="6027B799"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6EBB403F"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209C9EA9"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337F70EB"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3B1BB1B3"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307D0110"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469E7EE8"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497757AF"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tr w:rsidR="004647AB" w:rsidRPr="00CE5D9A" w14:paraId="2E3E08DC" w14:textId="77777777" w:rsidTr="00207A83">
        <w:trPr>
          <w:trHeight w:val="1094"/>
        </w:trPr>
        <w:tc>
          <w:tcPr>
            <w:tcW w:w="149" w:type="pct"/>
            <w:shd w:val="clear" w:color="auto" w:fill="auto"/>
            <w:noWrap/>
            <w:vAlign w:val="center"/>
          </w:tcPr>
          <w:p w14:paraId="75F5625C"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1.3</w:t>
            </w:r>
          </w:p>
        </w:tc>
        <w:tc>
          <w:tcPr>
            <w:tcW w:w="602" w:type="pct"/>
            <w:shd w:val="clear" w:color="auto" w:fill="auto"/>
            <w:vAlign w:val="center"/>
          </w:tcPr>
          <w:p w14:paraId="61CB668C"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Rozbudowa integracyjnej oferty infrastruktury publicznej </w:t>
            </w:r>
          </w:p>
        </w:tc>
        <w:tc>
          <w:tcPr>
            <w:tcW w:w="694" w:type="pct"/>
            <w:shd w:val="clear" w:color="000000" w:fill="FFFFFF"/>
            <w:vAlign w:val="center"/>
          </w:tcPr>
          <w:p w14:paraId="5329F4AE"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Liczba doposażonych instytucji kultury, zbudowanej lub rozbudowanej infrastruktury publicznej </w:t>
            </w:r>
          </w:p>
        </w:tc>
        <w:tc>
          <w:tcPr>
            <w:tcW w:w="279" w:type="pct"/>
            <w:vAlign w:val="center"/>
          </w:tcPr>
          <w:p w14:paraId="0B9C9FAA"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12A5F82E"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042EB1C4"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0E665066"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06270245"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4</w:t>
            </w:r>
          </w:p>
        </w:tc>
        <w:tc>
          <w:tcPr>
            <w:tcW w:w="281" w:type="pct"/>
            <w:vAlign w:val="center"/>
          </w:tcPr>
          <w:p w14:paraId="218EC0CC"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7C8720A1"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66FBCE7A"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652D0040"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0A6F809A"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72A55641"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4BEAF24D"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0F5E4306"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tr w:rsidR="004647AB" w:rsidRPr="00CE5D9A" w14:paraId="0B7786E3" w14:textId="77777777" w:rsidTr="00207A83">
        <w:trPr>
          <w:trHeight w:val="794"/>
        </w:trPr>
        <w:tc>
          <w:tcPr>
            <w:tcW w:w="149" w:type="pct"/>
            <w:shd w:val="clear" w:color="auto" w:fill="auto"/>
            <w:noWrap/>
            <w:vAlign w:val="center"/>
          </w:tcPr>
          <w:p w14:paraId="1CE6A4EF"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1.4</w:t>
            </w:r>
          </w:p>
        </w:tc>
        <w:tc>
          <w:tcPr>
            <w:tcW w:w="602" w:type="pct"/>
            <w:shd w:val="clear" w:color="auto" w:fill="auto"/>
            <w:vAlign w:val="center"/>
          </w:tcPr>
          <w:p w14:paraId="57522377"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Integracja</w:t>
            </w:r>
            <w:r w:rsidRPr="00CE5D9A">
              <w:rPr>
                <w:rFonts w:ascii="Times New Roman" w:eastAsia="Times New Roman" w:hAnsi="Times New Roman"/>
                <w:sz w:val="18"/>
                <w:szCs w:val="18"/>
                <w:lang w:eastAsia="pl-PL"/>
              </w:rPr>
              <w:br/>
              <w:t xml:space="preserve"> i wzmacnianie aktywności osób </w:t>
            </w:r>
            <w:r w:rsidRPr="00CE5D9A">
              <w:rPr>
                <w:rFonts w:ascii="Times New Roman" w:eastAsia="Times New Roman" w:hAnsi="Times New Roman"/>
                <w:sz w:val="18"/>
                <w:szCs w:val="18"/>
                <w:lang w:eastAsia="pl-PL"/>
              </w:rPr>
              <w:br/>
              <w:t xml:space="preserve">w niekorzystnej sytuacji – osoby </w:t>
            </w:r>
            <w:r w:rsidRPr="00CE5D9A">
              <w:rPr>
                <w:rFonts w:ascii="Times New Roman" w:eastAsia="Times New Roman" w:hAnsi="Times New Roman"/>
                <w:sz w:val="18"/>
                <w:szCs w:val="18"/>
                <w:lang w:eastAsia="pl-PL"/>
              </w:rPr>
              <w:br/>
              <w:t xml:space="preserve">z niepełnosprawnościami </w:t>
            </w:r>
            <w:r w:rsidRPr="00CE5D9A">
              <w:rPr>
                <w:rFonts w:ascii="Times New Roman" w:eastAsia="Times New Roman" w:hAnsi="Times New Roman"/>
                <w:sz w:val="18"/>
                <w:szCs w:val="18"/>
                <w:lang w:eastAsia="pl-PL"/>
              </w:rPr>
              <w:br/>
              <w:t>i ich opiekunowie</w:t>
            </w:r>
          </w:p>
        </w:tc>
        <w:tc>
          <w:tcPr>
            <w:tcW w:w="694" w:type="pct"/>
            <w:shd w:val="clear" w:color="000000" w:fill="FFFFFF"/>
            <w:vAlign w:val="center"/>
          </w:tcPr>
          <w:p w14:paraId="05276061"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 podjętych na rzecz integracji i wzmacniania aktywności osób w niekorzystnej sytuacji</w:t>
            </w:r>
          </w:p>
        </w:tc>
        <w:tc>
          <w:tcPr>
            <w:tcW w:w="279" w:type="pct"/>
            <w:vAlign w:val="center"/>
          </w:tcPr>
          <w:p w14:paraId="52A91C0A"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3CA58B51"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5DE7A8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330FF15A"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5AACEC8"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vAlign w:val="center"/>
          </w:tcPr>
          <w:p w14:paraId="04CB9445"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1103C4B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89EED1C"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3FB2755"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520D1C1"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71BA5D7"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AB602F3"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039BCF97"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tr w:rsidR="004647AB" w:rsidRPr="00CE5D9A" w14:paraId="668BF4CA" w14:textId="77777777" w:rsidTr="00207A83">
        <w:trPr>
          <w:trHeight w:val="858"/>
        </w:trPr>
        <w:tc>
          <w:tcPr>
            <w:tcW w:w="149" w:type="pct"/>
            <w:shd w:val="clear" w:color="auto" w:fill="auto"/>
            <w:noWrap/>
            <w:vAlign w:val="center"/>
          </w:tcPr>
          <w:p w14:paraId="037E5A55"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1.5</w:t>
            </w:r>
          </w:p>
        </w:tc>
        <w:tc>
          <w:tcPr>
            <w:tcW w:w="602" w:type="pct"/>
            <w:shd w:val="clear" w:color="auto" w:fill="auto"/>
            <w:vAlign w:val="center"/>
          </w:tcPr>
          <w:p w14:paraId="215C1445" w14:textId="77777777" w:rsidR="004647AB" w:rsidRPr="00970EF5" w:rsidRDefault="004647AB" w:rsidP="00207A83">
            <w:pPr>
              <w:spacing w:after="0" w:line="240" w:lineRule="auto"/>
              <w:jc w:val="center"/>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 xml:space="preserve">Poznanie i zachowanie dziedzictwa kulturowego </w:t>
            </w:r>
            <w:r w:rsidRPr="00970EF5">
              <w:rPr>
                <w:rFonts w:ascii="Times New Roman" w:eastAsia="Times New Roman" w:hAnsi="Times New Roman"/>
                <w:sz w:val="18"/>
                <w:szCs w:val="18"/>
                <w:lang w:eastAsia="pl-PL"/>
              </w:rPr>
              <w:br/>
              <w:t>i naturalnego</w:t>
            </w:r>
          </w:p>
        </w:tc>
        <w:tc>
          <w:tcPr>
            <w:tcW w:w="694" w:type="pct"/>
            <w:shd w:val="clear" w:color="000000" w:fill="FFFFFF"/>
            <w:vAlign w:val="center"/>
          </w:tcPr>
          <w:p w14:paraId="6482670B" w14:textId="77777777" w:rsidR="004647AB" w:rsidRPr="00970EF5" w:rsidRDefault="004647AB" w:rsidP="00207A83">
            <w:pPr>
              <w:spacing w:after="0" w:line="240" w:lineRule="auto"/>
              <w:jc w:val="center"/>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Liczba inicjatyw podjętych na rzecz poznania i zachowania dziedzictwa kulturowego i naturalnego</w:t>
            </w:r>
          </w:p>
        </w:tc>
        <w:tc>
          <w:tcPr>
            <w:tcW w:w="279" w:type="pct"/>
            <w:vAlign w:val="center"/>
          </w:tcPr>
          <w:p w14:paraId="79B7F1E0"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1" w:type="pct"/>
            <w:vAlign w:val="center"/>
          </w:tcPr>
          <w:p w14:paraId="20C71942"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0" w:type="pct"/>
            <w:vAlign w:val="center"/>
          </w:tcPr>
          <w:p w14:paraId="1120CE9F"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1" w:type="pct"/>
            <w:vAlign w:val="center"/>
          </w:tcPr>
          <w:p w14:paraId="32A374D7"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0" w:type="pct"/>
            <w:vAlign w:val="center"/>
          </w:tcPr>
          <w:p w14:paraId="43C63618" w14:textId="5691D2A1" w:rsidR="004647AB" w:rsidRPr="00970EF5" w:rsidRDefault="00970EF5" w:rsidP="00207A83">
            <w:pPr>
              <w:spacing w:after="0" w:line="240" w:lineRule="auto"/>
              <w:jc w:val="right"/>
              <w:rPr>
                <w:rFonts w:ascii="Times New Roman" w:eastAsia="Times New Roman" w:hAnsi="Times New Roman"/>
                <w:sz w:val="18"/>
                <w:szCs w:val="18"/>
                <w:lang w:eastAsia="pl-PL"/>
              </w:rPr>
            </w:pPr>
            <w:r>
              <w:rPr>
                <w:rFonts w:ascii="Times New Roman" w:eastAsia="Times New Roman" w:hAnsi="Times New Roman"/>
                <w:sz w:val="18"/>
                <w:szCs w:val="18"/>
                <w:lang w:eastAsia="pl-PL"/>
              </w:rPr>
              <w:t>2</w:t>
            </w:r>
          </w:p>
        </w:tc>
        <w:tc>
          <w:tcPr>
            <w:tcW w:w="281" w:type="pct"/>
            <w:vAlign w:val="center"/>
          </w:tcPr>
          <w:p w14:paraId="26161654"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100%</w:t>
            </w:r>
          </w:p>
        </w:tc>
        <w:tc>
          <w:tcPr>
            <w:tcW w:w="295" w:type="pct"/>
            <w:vAlign w:val="center"/>
          </w:tcPr>
          <w:p w14:paraId="386365AA"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0" w:type="pct"/>
            <w:vAlign w:val="center"/>
          </w:tcPr>
          <w:p w14:paraId="583FF9BB"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100%</w:t>
            </w:r>
          </w:p>
        </w:tc>
        <w:tc>
          <w:tcPr>
            <w:tcW w:w="280" w:type="pct"/>
            <w:vAlign w:val="center"/>
          </w:tcPr>
          <w:p w14:paraId="295C6602"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2" w:type="pct"/>
            <w:vAlign w:val="center"/>
          </w:tcPr>
          <w:p w14:paraId="58C223DB"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100%</w:t>
            </w:r>
          </w:p>
        </w:tc>
        <w:tc>
          <w:tcPr>
            <w:tcW w:w="280" w:type="pct"/>
            <w:vAlign w:val="center"/>
          </w:tcPr>
          <w:p w14:paraId="2AE66D30"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0</w:t>
            </w:r>
          </w:p>
        </w:tc>
        <w:tc>
          <w:tcPr>
            <w:tcW w:w="282" w:type="pct"/>
            <w:vAlign w:val="center"/>
          </w:tcPr>
          <w:p w14:paraId="64F7A21A" w14:textId="77777777" w:rsidR="004647AB" w:rsidRPr="00970EF5" w:rsidRDefault="004647AB" w:rsidP="00207A83">
            <w:pPr>
              <w:spacing w:after="0" w:line="240" w:lineRule="auto"/>
              <w:jc w:val="right"/>
              <w:rPr>
                <w:rFonts w:ascii="Times New Roman" w:eastAsia="Times New Roman" w:hAnsi="Times New Roman"/>
                <w:sz w:val="18"/>
                <w:szCs w:val="18"/>
                <w:lang w:eastAsia="pl-PL"/>
              </w:rPr>
            </w:pPr>
            <w:r w:rsidRPr="00970EF5">
              <w:rPr>
                <w:rFonts w:ascii="Times New Roman" w:eastAsia="Times New Roman" w:hAnsi="Times New Roman"/>
                <w:sz w:val="18"/>
                <w:szCs w:val="18"/>
                <w:lang w:eastAsia="pl-PL"/>
              </w:rPr>
              <w:t>100%</w:t>
            </w:r>
          </w:p>
        </w:tc>
        <w:tc>
          <w:tcPr>
            <w:tcW w:w="174" w:type="pct"/>
            <w:vMerge/>
            <w:vAlign w:val="center"/>
          </w:tcPr>
          <w:p w14:paraId="0B12AD38"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tr w:rsidR="004647AB" w:rsidRPr="00CE5D9A" w14:paraId="19F6764D" w14:textId="77777777" w:rsidTr="00207A83">
        <w:trPr>
          <w:trHeight w:val="794"/>
        </w:trPr>
        <w:tc>
          <w:tcPr>
            <w:tcW w:w="149" w:type="pct"/>
            <w:shd w:val="clear" w:color="auto" w:fill="auto"/>
            <w:noWrap/>
            <w:vAlign w:val="center"/>
          </w:tcPr>
          <w:p w14:paraId="223AD31C"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bookmarkStart w:id="179" w:name="_GoBack" w:colFirst="9" w:colLast="9"/>
            <w:r w:rsidRPr="00CE5D9A">
              <w:rPr>
                <w:rFonts w:ascii="Times New Roman" w:eastAsia="Times New Roman" w:hAnsi="Times New Roman"/>
                <w:sz w:val="18"/>
                <w:szCs w:val="18"/>
                <w:lang w:eastAsia="pl-PL"/>
              </w:rPr>
              <w:t>1.6</w:t>
            </w:r>
          </w:p>
        </w:tc>
        <w:tc>
          <w:tcPr>
            <w:tcW w:w="602" w:type="pct"/>
            <w:shd w:val="clear" w:color="auto" w:fill="auto"/>
            <w:vAlign w:val="center"/>
          </w:tcPr>
          <w:p w14:paraId="45C197F6"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Włączenia cyfrowe </w:t>
            </w:r>
            <w:r w:rsidRPr="00CE5D9A">
              <w:rPr>
                <w:rFonts w:ascii="Times New Roman" w:eastAsia="Times New Roman" w:hAnsi="Times New Roman"/>
                <w:sz w:val="18"/>
                <w:szCs w:val="18"/>
                <w:lang w:eastAsia="pl-PL"/>
              </w:rPr>
              <w:br/>
              <w:t xml:space="preserve">i aktywizacja </w:t>
            </w:r>
          </w:p>
        </w:tc>
        <w:tc>
          <w:tcPr>
            <w:tcW w:w="694" w:type="pct"/>
            <w:shd w:val="clear" w:color="000000" w:fill="FFFFFF"/>
            <w:vAlign w:val="center"/>
          </w:tcPr>
          <w:p w14:paraId="2EEF9A73" w14:textId="77777777" w:rsidR="004647AB" w:rsidRPr="00CE5D9A" w:rsidRDefault="004647AB" w:rsidP="00207A83">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 na rzecz włączenia cyfrowego i aktywizacji</w:t>
            </w:r>
          </w:p>
        </w:tc>
        <w:tc>
          <w:tcPr>
            <w:tcW w:w="279" w:type="pct"/>
            <w:vAlign w:val="center"/>
          </w:tcPr>
          <w:p w14:paraId="3904FEB3"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0FABF977"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38DF4F0"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07FA8990"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17BFBC8"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6</w:t>
            </w:r>
          </w:p>
        </w:tc>
        <w:tc>
          <w:tcPr>
            <w:tcW w:w="281" w:type="pct"/>
            <w:vAlign w:val="center"/>
          </w:tcPr>
          <w:p w14:paraId="7C76F069"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79F1D44B"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D6A2D84"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D610CEC"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F39B020"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33266ECD"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64758AA2"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0C5452BB"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bookmarkEnd w:id="179"/>
      <w:tr w:rsidR="004647AB" w:rsidRPr="00CE5D9A" w14:paraId="18298736" w14:textId="77777777" w:rsidTr="00207A83">
        <w:trPr>
          <w:trHeight w:val="794"/>
        </w:trPr>
        <w:tc>
          <w:tcPr>
            <w:tcW w:w="149" w:type="pct"/>
            <w:shd w:val="clear" w:color="auto" w:fill="auto"/>
            <w:noWrap/>
            <w:vAlign w:val="center"/>
          </w:tcPr>
          <w:p w14:paraId="1F251B73" w14:textId="77777777" w:rsidR="004647AB" w:rsidRPr="00CE5D9A" w:rsidRDefault="004647AB" w:rsidP="00207A83">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1.7</w:t>
            </w:r>
          </w:p>
        </w:tc>
        <w:tc>
          <w:tcPr>
            <w:tcW w:w="602" w:type="pct"/>
            <w:shd w:val="clear" w:color="auto" w:fill="auto"/>
            <w:vAlign w:val="center"/>
          </w:tcPr>
          <w:p w14:paraId="6D9ADC72"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 xml:space="preserve">Zwiększenie oferty spędzania czasu wolnego wykorzystującej </w:t>
            </w:r>
            <w:r w:rsidRPr="00970EF5">
              <w:rPr>
                <w:rFonts w:ascii="Times New Roman" w:eastAsia="Times New Roman" w:hAnsi="Times New Roman"/>
                <w:strike/>
                <w:color w:val="FF0000"/>
                <w:sz w:val="18"/>
                <w:szCs w:val="18"/>
                <w:lang w:eastAsia="pl-PL"/>
              </w:rPr>
              <w:lastRenderedPageBreak/>
              <w:t xml:space="preserve">dziedzictwo naturalne i/lub kulturowe w ramach realizowanych działań, w tym wynikających z Koncepcji Smart Village </w:t>
            </w:r>
          </w:p>
        </w:tc>
        <w:tc>
          <w:tcPr>
            <w:tcW w:w="694" w:type="pct"/>
            <w:shd w:val="clear" w:color="000000" w:fill="FFFFFF"/>
            <w:vAlign w:val="center"/>
          </w:tcPr>
          <w:p w14:paraId="6908012A" w14:textId="77777777" w:rsidR="004647AB" w:rsidRPr="00970EF5" w:rsidRDefault="004647AB" w:rsidP="00207A83">
            <w:pPr>
              <w:spacing w:after="0" w:line="240" w:lineRule="auto"/>
              <w:jc w:val="center"/>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lastRenderedPageBreak/>
              <w:t>Liczba inicjatyw na rzecz rozwoju i zagospodarowania czasu wolnego</w:t>
            </w:r>
          </w:p>
        </w:tc>
        <w:tc>
          <w:tcPr>
            <w:tcW w:w="279" w:type="pct"/>
            <w:vAlign w:val="center"/>
          </w:tcPr>
          <w:p w14:paraId="73219CEB"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6B8DDC74"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3C4F3C5C"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12</w:t>
            </w:r>
          </w:p>
        </w:tc>
        <w:tc>
          <w:tcPr>
            <w:tcW w:w="281" w:type="pct"/>
            <w:vAlign w:val="center"/>
          </w:tcPr>
          <w:p w14:paraId="46CB76C1"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0697A215"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1" w:type="pct"/>
            <w:vAlign w:val="center"/>
          </w:tcPr>
          <w:p w14:paraId="0231BC8D"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95" w:type="pct"/>
            <w:vAlign w:val="center"/>
          </w:tcPr>
          <w:p w14:paraId="491B142F"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0" w:type="pct"/>
            <w:vAlign w:val="center"/>
          </w:tcPr>
          <w:p w14:paraId="2EE23A4D"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37E363AE"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2973DD88"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280" w:type="pct"/>
            <w:vAlign w:val="center"/>
          </w:tcPr>
          <w:p w14:paraId="5D0683A5"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0</w:t>
            </w:r>
          </w:p>
        </w:tc>
        <w:tc>
          <w:tcPr>
            <w:tcW w:w="282" w:type="pct"/>
            <w:vAlign w:val="center"/>
          </w:tcPr>
          <w:p w14:paraId="5DF53797" w14:textId="77777777" w:rsidR="004647AB" w:rsidRPr="00970EF5" w:rsidRDefault="004647AB" w:rsidP="00207A83">
            <w:pPr>
              <w:spacing w:after="0" w:line="240" w:lineRule="auto"/>
              <w:jc w:val="right"/>
              <w:rPr>
                <w:rFonts w:ascii="Times New Roman" w:eastAsia="Times New Roman" w:hAnsi="Times New Roman"/>
                <w:strike/>
                <w:color w:val="FF0000"/>
                <w:sz w:val="18"/>
                <w:szCs w:val="18"/>
                <w:lang w:eastAsia="pl-PL"/>
              </w:rPr>
            </w:pPr>
            <w:r w:rsidRPr="00970EF5">
              <w:rPr>
                <w:rFonts w:ascii="Times New Roman" w:eastAsia="Times New Roman" w:hAnsi="Times New Roman"/>
                <w:strike/>
                <w:color w:val="FF0000"/>
                <w:sz w:val="18"/>
                <w:szCs w:val="18"/>
                <w:lang w:eastAsia="pl-PL"/>
              </w:rPr>
              <w:t>100%</w:t>
            </w:r>
          </w:p>
        </w:tc>
        <w:tc>
          <w:tcPr>
            <w:tcW w:w="174" w:type="pct"/>
            <w:vMerge/>
            <w:vAlign w:val="center"/>
          </w:tcPr>
          <w:p w14:paraId="23629637" w14:textId="77777777" w:rsidR="004647AB" w:rsidRPr="00CE5D9A" w:rsidRDefault="004647AB" w:rsidP="00207A83">
            <w:pPr>
              <w:spacing w:after="0" w:line="240" w:lineRule="auto"/>
              <w:rPr>
                <w:rFonts w:ascii="Times New Roman" w:eastAsia="Times New Roman" w:hAnsi="Times New Roman"/>
                <w:sz w:val="18"/>
                <w:szCs w:val="18"/>
                <w:lang w:eastAsia="pl-PL"/>
              </w:rPr>
            </w:pPr>
          </w:p>
        </w:tc>
      </w:tr>
      <w:tr w:rsidR="00970EF5" w:rsidRPr="00CE5D9A" w14:paraId="30090BD2" w14:textId="77777777" w:rsidTr="00207A83">
        <w:trPr>
          <w:trHeight w:val="794"/>
        </w:trPr>
        <w:tc>
          <w:tcPr>
            <w:tcW w:w="149" w:type="pct"/>
            <w:shd w:val="clear" w:color="auto" w:fill="auto"/>
            <w:noWrap/>
            <w:vAlign w:val="center"/>
          </w:tcPr>
          <w:p w14:paraId="0784BE2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602" w:type="pct"/>
            <w:shd w:val="clear" w:color="auto" w:fill="auto"/>
            <w:vAlign w:val="center"/>
          </w:tcPr>
          <w:p w14:paraId="0A7FF4B4" w14:textId="05918E71" w:rsidR="00970EF5" w:rsidRPr="00CE5D9A" w:rsidRDefault="00970EF5" w:rsidP="00970EF5">
            <w:pPr>
              <w:spacing w:after="0" w:line="240" w:lineRule="auto"/>
              <w:jc w:val="center"/>
              <w:rPr>
                <w:rFonts w:ascii="Times New Roman" w:eastAsia="Times New Roman" w:hAnsi="Times New Roman"/>
                <w:sz w:val="18"/>
                <w:szCs w:val="18"/>
                <w:lang w:eastAsia="pl-PL"/>
              </w:rPr>
            </w:pPr>
            <w:r w:rsidRPr="00970EF5">
              <w:rPr>
                <w:rFonts w:ascii="Times New Roman" w:eastAsia="Times New Roman" w:hAnsi="Times New Roman"/>
                <w:color w:val="FF0000"/>
                <w:sz w:val="18"/>
                <w:szCs w:val="18"/>
                <w:lang w:eastAsia="pl-PL"/>
              </w:rPr>
              <w:t>Ochrona lub rewitalizacja zabytków lub ich remonty lub konserwacja</w:t>
            </w:r>
          </w:p>
        </w:tc>
        <w:tc>
          <w:tcPr>
            <w:tcW w:w="694" w:type="pct"/>
            <w:shd w:val="clear" w:color="000000" w:fill="FFFFFF"/>
            <w:vAlign w:val="center"/>
          </w:tcPr>
          <w:p w14:paraId="69DB4DA4" w14:textId="2AF195BE"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w:t>
            </w:r>
          </w:p>
        </w:tc>
        <w:tc>
          <w:tcPr>
            <w:tcW w:w="279" w:type="pct"/>
            <w:vAlign w:val="center"/>
          </w:tcPr>
          <w:p w14:paraId="1D3E8BE2" w14:textId="18BEFA33"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1" w:type="pct"/>
            <w:vAlign w:val="center"/>
          </w:tcPr>
          <w:p w14:paraId="038927E2" w14:textId="71913564"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0" w:type="pct"/>
            <w:vAlign w:val="center"/>
          </w:tcPr>
          <w:p w14:paraId="3FCBC738" w14:textId="6ABA2660"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1" w:type="pct"/>
            <w:vAlign w:val="center"/>
          </w:tcPr>
          <w:p w14:paraId="07A67914" w14:textId="025F2432"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0" w:type="pct"/>
            <w:vAlign w:val="center"/>
          </w:tcPr>
          <w:p w14:paraId="187F9D8E" w14:textId="16FC342F"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4</w:t>
            </w:r>
          </w:p>
        </w:tc>
        <w:tc>
          <w:tcPr>
            <w:tcW w:w="281" w:type="pct"/>
            <w:vAlign w:val="center"/>
          </w:tcPr>
          <w:p w14:paraId="72CC0748" w14:textId="646AB462"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100%</w:t>
            </w:r>
          </w:p>
        </w:tc>
        <w:tc>
          <w:tcPr>
            <w:tcW w:w="295" w:type="pct"/>
            <w:vAlign w:val="center"/>
          </w:tcPr>
          <w:p w14:paraId="184045ED" w14:textId="6C97051E"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0" w:type="pct"/>
            <w:vAlign w:val="center"/>
          </w:tcPr>
          <w:p w14:paraId="74C756CF" w14:textId="78AC30DA"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100%</w:t>
            </w:r>
          </w:p>
        </w:tc>
        <w:tc>
          <w:tcPr>
            <w:tcW w:w="280" w:type="pct"/>
            <w:vAlign w:val="center"/>
          </w:tcPr>
          <w:p w14:paraId="1E5A2881" w14:textId="00DB1D33"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2" w:type="pct"/>
            <w:vAlign w:val="center"/>
          </w:tcPr>
          <w:p w14:paraId="03D0A686" w14:textId="70FBE6B2"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100%</w:t>
            </w:r>
          </w:p>
        </w:tc>
        <w:tc>
          <w:tcPr>
            <w:tcW w:w="280" w:type="pct"/>
            <w:vAlign w:val="center"/>
          </w:tcPr>
          <w:p w14:paraId="769104FE" w14:textId="0ACE2B36"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0</w:t>
            </w:r>
          </w:p>
        </w:tc>
        <w:tc>
          <w:tcPr>
            <w:tcW w:w="282" w:type="pct"/>
            <w:vAlign w:val="center"/>
          </w:tcPr>
          <w:p w14:paraId="34798BD2" w14:textId="225C6EE4" w:rsidR="00970EF5" w:rsidRPr="00970EF5" w:rsidRDefault="00970EF5" w:rsidP="00970EF5">
            <w:pPr>
              <w:spacing w:after="0" w:line="240" w:lineRule="auto"/>
              <w:jc w:val="right"/>
              <w:rPr>
                <w:rFonts w:ascii="Times New Roman" w:eastAsia="Times New Roman" w:hAnsi="Times New Roman"/>
                <w:color w:val="FF0000"/>
                <w:sz w:val="18"/>
                <w:szCs w:val="18"/>
                <w:lang w:eastAsia="pl-PL"/>
              </w:rPr>
            </w:pPr>
            <w:r w:rsidRPr="00970EF5">
              <w:rPr>
                <w:rFonts w:ascii="Times New Roman" w:eastAsia="Times New Roman" w:hAnsi="Times New Roman"/>
                <w:color w:val="FF0000"/>
                <w:sz w:val="18"/>
                <w:szCs w:val="18"/>
                <w:lang w:eastAsia="pl-PL"/>
              </w:rPr>
              <w:t>100%</w:t>
            </w:r>
          </w:p>
        </w:tc>
        <w:tc>
          <w:tcPr>
            <w:tcW w:w="174" w:type="pct"/>
            <w:vMerge/>
            <w:vAlign w:val="center"/>
          </w:tcPr>
          <w:p w14:paraId="35F5C165"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1135C4A1" w14:textId="77777777" w:rsidTr="00207A83">
        <w:trPr>
          <w:trHeight w:val="794"/>
        </w:trPr>
        <w:tc>
          <w:tcPr>
            <w:tcW w:w="149" w:type="pct"/>
            <w:shd w:val="clear" w:color="auto" w:fill="auto"/>
            <w:noWrap/>
            <w:vAlign w:val="center"/>
          </w:tcPr>
          <w:p w14:paraId="0C34E42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w:t>
            </w:r>
          </w:p>
        </w:tc>
        <w:tc>
          <w:tcPr>
            <w:tcW w:w="602" w:type="pct"/>
            <w:shd w:val="clear" w:color="auto" w:fill="auto"/>
            <w:vAlign w:val="center"/>
          </w:tcPr>
          <w:p w14:paraId="64229013"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Kojarzenie partnerów </w:t>
            </w:r>
            <w:r w:rsidRPr="00CE5D9A">
              <w:rPr>
                <w:rFonts w:ascii="Times New Roman" w:eastAsia="Times New Roman" w:hAnsi="Times New Roman"/>
                <w:sz w:val="18"/>
                <w:szCs w:val="18"/>
                <w:lang w:eastAsia="pl-PL"/>
              </w:rPr>
              <w:br/>
              <w:t>i animowanie do realizacji wspólnych projektów, w tym przygotowanie do wdrożenia idei Smart Villages</w:t>
            </w:r>
          </w:p>
        </w:tc>
        <w:tc>
          <w:tcPr>
            <w:tcW w:w="694" w:type="pct"/>
            <w:shd w:val="clear" w:color="000000" w:fill="FFFFFF"/>
            <w:vAlign w:val="center"/>
          </w:tcPr>
          <w:p w14:paraId="1CFE212A"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w:t>
            </w:r>
          </w:p>
        </w:tc>
        <w:tc>
          <w:tcPr>
            <w:tcW w:w="279" w:type="pct"/>
            <w:vAlign w:val="center"/>
          </w:tcPr>
          <w:p w14:paraId="5C4B103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6B8E9A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EE8EBA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08A48DA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2BDA22E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w:t>
            </w:r>
          </w:p>
        </w:tc>
        <w:tc>
          <w:tcPr>
            <w:tcW w:w="281" w:type="pct"/>
            <w:vAlign w:val="center"/>
          </w:tcPr>
          <w:p w14:paraId="6A7A6B8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757B47C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57D3FD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106C48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BAECD2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C00538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390BCC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52A7FA2F"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7A2B9D3D" w14:textId="77777777" w:rsidTr="00207A83">
        <w:trPr>
          <w:trHeight w:val="794"/>
        </w:trPr>
        <w:tc>
          <w:tcPr>
            <w:tcW w:w="149" w:type="pct"/>
            <w:shd w:val="clear" w:color="auto" w:fill="auto"/>
            <w:noWrap/>
            <w:vAlign w:val="center"/>
          </w:tcPr>
          <w:p w14:paraId="56C5090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1.9</w:t>
            </w:r>
          </w:p>
        </w:tc>
        <w:tc>
          <w:tcPr>
            <w:tcW w:w="602" w:type="pct"/>
            <w:shd w:val="clear" w:color="auto" w:fill="auto"/>
            <w:vAlign w:val="center"/>
          </w:tcPr>
          <w:p w14:paraId="5FF79E97"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Opracowanie Koncepcji Smart Village – inteligentnej wsi </w:t>
            </w:r>
          </w:p>
        </w:tc>
        <w:tc>
          <w:tcPr>
            <w:tcW w:w="694" w:type="pct"/>
            <w:shd w:val="clear" w:color="000000" w:fill="FFFFFF"/>
            <w:vAlign w:val="center"/>
          </w:tcPr>
          <w:p w14:paraId="398BF347"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inicjatyw</w:t>
            </w:r>
          </w:p>
        </w:tc>
        <w:tc>
          <w:tcPr>
            <w:tcW w:w="279" w:type="pct"/>
            <w:vAlign w:val="center"/>
          </w:tcPr>
          <w:p w14:paraId="4900BE4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3C8FF78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A17615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5</w:t>
            </w:r>
          </w:p>
        </w:tc>
        <w:tc>
          <w:tcPr>
            <w:tcW w:w="281" w:type="pct"/>
            <w:vAlign w:val="center"/>
          </w:tcPr>
          <w:p w14:paraId="6DFF018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AEA82A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1A39FE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3D3958C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C0F7C3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91C62F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10D0DD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CD9043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C8294C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174" w:type="pct"/>
            <w:vMerge/>
            <w:vAlign w:val="center"/>
          </w:tcPr>
          <w:p w14:paraId="0892935A"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7564041D" w14:textId="77777777" w:rsidTr="00207A83">
        <w:trPr>
          <w:trHeight w:val="794"/>
        </w:trPr>
        <w:tc>
          <w:tcPr>
            <w:tcW w:w="149" w:type="pct"/>
            <w:shd w:val="clear" w:color="auto" w:fill="auto"/>
            <w:noWrap/>
            <w:vAlign w:val="center"/>
          </w:tcPr>
          <w:p w14:paraId="763C1A2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1.10</w:t>
            </w:r>
          </w:p>
        </w:tc>
        <w:tc>
          <w:tcPr>
            <w:tcW w:w="602" w:type="pct"/>
            <w:shd w:val="clear" w:color="auto" w:fill="auto"/>
            <w:vAlign w:val="center"/>
          </w:tcPr>
          <w:p w14:paraId="7AC53BA3"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Podejmowanie działalności gospodarczej</w:t>
            </w:r>
          </w:p>
        </w:tc>
        <w:tc>
          <w:tcPr>
            <w:tcW w:w="694" w:type="pct"/>
            <w:shd w:val="clear" w:color="000000" w:fill="FFFFFF"/>
            <w:vAlign w:val="center"/>
          </w:tcPr>
          <w:p w14:paraId="7B8DCFD3"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Liczba nowych działalności gospodarczych </w:t>
            </w:r>
          </w:p>
        </w:tc>
        <w:tc>
          <w:tcPr>
            <w:tcW w:w="279" w:type="pct"/>
            <w:vAlign w:val="center"/>
          </w:tcPr>
          <w:p w14:paraId="0A6ADC5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093FE3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88BC96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281" w:type="pct"/>
            <w:vAlign w:val="center"/>
          </w:tcPr>
          <w:p w14:paraId="75B9B32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01AD75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0C47F0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1D49CF3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3A02AA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229049A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466DD2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493F8F5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66BCD5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10B11AF6"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70D5F999" w14:textId="77777777" w:rsidTr="00207A83">
        <w:trPr>
          <w:trHeight w:val="794"/>
        </w:trPr>
        <w:tc>
          <w:tcPr>
            <w:tcW w:w="149" w:type="pct"/>
            <w:shd w:val="clear" w:color="auto" w:fill="auto"/>
            <w:noWrap/>
            <w:vAlign w:val="center"/>
          </w:tcPr>
          <w:p w14:paraId="18FEC7F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1.11</w:t>
            </w:r>
          </w:p>
        </w:tc>
        <w:tc>
          <w:tcPr>
            <w:tcW w:w="602" w:type="pct"/>
            <w:shd w:val="clear" w:color="auto" w:fill="auto"/>
            <w:vAlign w:val="center"/>
          </w:tcPr>
          <w:p w14:paraId="014948B0"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działalności gospodarczej</w:t>
            </w:r>
          </w:p>
        </w:tc>
        <w:tc>
          <w:tcPr>
            <w:tcW w:w="694" w:type="pct"/>
            <w:shd w:val="clear" w:color="000000" w:fill="FFFFFF"/>
            <w:vAlign w:val="center"/>
          </w:tcPr>
          <w:p w14:paraId="73763D22"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rozwijanych działalności gospodarczych</w:t>
            </w:r>
          </w:p>
        </w:tc>
        <w:tc>
          <w:tcPr>
            <w:tcW w:w="279" w:type="pct"/>
            <w:vAlign w:val="center"/>
          </w:tcPr>
          <w:p w14:paraId="1A14403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15F0040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3D8358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w:t>
            </w:r>
          </w:p>
        </w:tc>
        <w:tc>
          <w:tcPr>
            <w:tcW w:w="281" w:type="pct"/>
            <w:vAlign w:val="center"/>
          </w:tcPr>
          <w:p w14:paraId="088B190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B4AC00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DB4F09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017F490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B210F1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E4BFF9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499A90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5F626D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F3D6F5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2E47128"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63A55E33" w14:textId="77777777" w:rsidTr="00207A83">
        <w:trPr>
          <w:trHeight w:val="794"/>
        </w:trPr>
        <w:tc>
          <w:tcPr>
            <w:tcW w:w="149" w:type="pct"/>
            <w:shd w:val="clear" w:color="auto" w:fill="auto"/>
            <w:noWrap/>
            <w:vAlign w:val="center"/>
          </w:tcPr>
          <w:p w14:paraId="5BD55C4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1.12</w:t>
            </w:r>
          </w:p>
        </w:tc>
        <w:tc>
          <w:tcPr>
            <w:tcW w:w="602" w:type="pct"/>
            <w:shd w:val="clear" w:color="auto" w:fill="auto"/>
            <w:vAlign w:val="center"/>
          </w:tcPr>
          <w:p w14:paraId="234175F2"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Utworzenie lub rozwój gospodarstwa agroturystycznego</w:t>
            </w:r>
          </w:p>
        </w:tc>
        <w:tc>
          <w:tcPr>
            <w:tcW w:w="694" w:type="pct"/>
            <w:shd w:val="clear" w:color="000000" w:fill="FFFFFF"/>
            <w:vAlign w:val="center"/>
          </w:tcPr>
          <w:p w14:paraId="21568534"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nowych ofert zagospodarowania czasu wolnego</w:t>
            </w:r>
          </w:p>
        </w:tc>
        <w:tc>
          <w:tcPr>
            <w:tcW w:w="279" w:type="pct"/>
            <w:vAlign w:val="center"/>
          </w:tcPr>
          <w:p w14:paraId="0F40EFE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93FA2B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2951483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E4CB07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F198A9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vAlign w:val="center"/>
          </w:tcPr>
          <w:p w14:paraId="21E6646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1EA76B7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7D25AB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BF012C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40E0BE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9EB770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94341A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7439ACC1"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338CB0F7" w14:textId="77777777" w:rsidTr="00207A83">
        <w:trPr>
          <w:trHeight w:val="794"/>
        </w:trPr>
        <w:tc>
          <w:tcPr>
            <w:tcW w:w="149" w:type="pct"/>
            <w:shd w:val="clear" w:color="auto" w:fill="auto"/>
            <w:noWrap/>
            <w:vAlign w:val="center"/>
          </w:tcPr>
          <w:p w14:paraId="5A1BAE8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1.13</w:t>
            </w:r>
          </w:p>
        </w:tc>
        <w:tc>
          <w:tcPr>
            <w:tcW w:w="602" w:type="pct"/>
            <w:shd w:val="clear" w:color="auto" w:fill="auto"/>
            <w:vAlign w:val="center"/>
          </w:tcPr>
          <w:p w14:paraId="73046A3B"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Utworzenia lub rozwój zagrody edukacyjnej</w:t>
            </w:r>
          </w:p>
        </w:tc>
        <w:tc>
          <w:tcPr>
            <w:tcW w:w="694" w:type="pct"/>
            <w:shd w:val="clear" w:color="000000" w:fill="FFFFFF"/>
            <w:vAlign w:val="center"/>
          </w:tcPr>
          <w:p w14:paraId="0B6C41D0"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Liczba nowych ofert zagospodarowania czasu wolnego</w:t>
            </w:r>
          </w:p>
        </w:tc>
        <w:tc>
          <w:tcPr>
            <w:tcW w:w="279" w:type="pct"/>
            <w:vAlign w:val="center"/>
          </w:tcPr>
          <w:p w14:paraId="53257D1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03C9B7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0261D3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213ADAA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9E2600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vAlign w:val="center"/>
          </w:tcPr>
          <w:p w14:paraId="2C8ACAF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6398C76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725E52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3D4C7E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505044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C8266E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1B23B2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1D933609"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55831528" w14:textId="77777777" w:rsidTr="00207A83">
        <w:trPr>
          <w:trHeight w:val="794"/>
        </w:trPr>
        <w:tc>
          <w:tcPr>
            <w:tcW w:w="149" w:type="pct"/>
            <w:noWrap/>
            <w:vAlign w:val="center"/>
          </w:tcPr>
          <w:p w14:paraId="376DC853"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hAnsi="Times New Roman"/>
                <w:sz w:val="18"/>
                <w:szCs w:val="18"/>
              </w:rPr>
              <w:t>1.14</w:t>
            </w:r>
          </w:p>
        </w:tc>
        <w:tc>
          <w:tcPr>
            <w:tcW w:w="602" w:type="pct"/>
            <w:vAlign w:val="center"/>
          </w:tcPr>
          <w:p w14:paraId="09AAF4C4"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Rozwój kultury, dziedzictwa kulturowego i turystyki (FEM EFRR)</w:t>
            </w:r>
          </w:p>
        </w:tc>
        <w:tc>
          <w:tcPr>
            <w:tcW w:w="694" w:type="pct"/>
            <w:vAlign w:val="center"/>
          </w:tcPr>
          <w:p w14:paraId="7E7CCA28"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RCO 77 – liczba obiektów kulturalnych i turystycznych objętych wsparciem</w:t>
            </w:r>
          </w:p>
        </w:tc>
        <w:tc>
          <w:tcPr>
            <w:tcW w:w="279" w:type="pct"/>
            <w:vAlign w:val="center"/>
          </w:tcPr>
          <w:p w14:paraId="1464614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69F3FD1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04031B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49C030B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6D18CFC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12</w:t>
            </w:r>
          </w:p>
        </w:tc>
        <w:tc>
          <w:tcPr>
            <w:tcW w:w="281" w:type="pct"/>
            <w:vAlign w:val="center"/>
          </w:tcPr>
          <w:p w14:paraId="6BE7676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27767BC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0776BB3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0F9CD0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A3A81E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719602A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2EFF5E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6AB8FB06"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FEM</w:t>
            </w:r>
          </w:p>
        </w:tc>
      </w:tr>
      <w:tr w:rsidR="00970EF5" w:rsidRPr="00CE5D9A" w14:paraId="3DA874C7" w14:textId="77777777" w:rsidTr="00207A83">
        <w:trPr>
          <w:trHeight w:val="794"/>
        </w:trPr>
        <w:tc>
          <w:tcPr>
            <w:tcW w:w="149" w:type="pct"/>
            <w:vMerge w:val="restart"/>
            <w:noWrap/>
            <w:vAlign w:val="center"/>
          </w:tcPr>
          <w:p w14:paraId="20CF82AA"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1.15</w:t>
            </w:r>
          </w:p>
        </w:tc>
        <w:tc>
          <w:tcPr>
            <w:tcW w:w="602" w:type="pct"/>
            <w:vMerge w:val="restart"/>
            <w:vAlign w:val="center"/>
          </w:tcPr>
          <w:p w14:paraId="53D47325"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Wspieranie oddolnych inicjatyw na rzecz aktywnego włączenia społecznego (FEM EFS+)</w:t>
            </w:r>
          </w:p>
        </w:tc>
        <w:tc>
          <w:tcPr>
            <w:tcW w:w="694" w:type="pct"/>
            <w:vAlign w:val="center"/>
          </w:tcPr>
          <w:p w14:paraId="185245E9"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PLKCO02 – liczba osób objętych usługami świadczonymi w społeczności lokalnej w programie</w:t>
            </w:r>
          </w:p>
        </w:tc>
        <w:tc>
          <w:tcPr>
            <w:tcW w:w="279" w:type="pct"/>
            <w:vAlign w:val="center"/>
          </w:tcPr>
          <w:p w14:paraId="2750AB9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CD3F00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49AB7E5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31B25A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538135A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180</w:t>
            </w:r>
          </w:p>
        </w:tc>
        <w:tc>
          <w:tcPr>
            <w:tcW w:w="281" w:type="pct"/>
            <w:vAlign w:val="center"/>
          </w:tcPr>
          <w:p w14:paraId="1EF4901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27490B0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38385C9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6543DE6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7B8B47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03F0344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3111D1E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13AF0D93"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597D0B10" w14:textId="77777777" w:rsidTr="00207A83">
        <w:trPr>
          <w:trHeight w:val="794"/>
        </w:trPr>
        <w:tc>
          <w:tcPr>
            <w:tcW w:w="149" w:type="pct"/>
            <w:vMerge/>
            <w:vAlign w:val="center"/>
          </w:tcPr>
          <w:p w14:paraId="0294CEDD" w14:textId="77777777" w:rsidR="00970EF5" w:rsidRPr="00CE5D9A" w:rsidRDefault="00970EF5" w:rsidP="00970EF5">
            <w:pPr>
              <w:spacing w:after="0" w:line="240" w:lineRule="auto"/>
              <w:rPr>
                <w:rFonts w:ascii="Times New Roman" w:eastAsia="Times New Roman" w:hAnsi="Times New Roman"/>
                <w:sz w:val="16"/>
                <w:szCs w:val="16"/>
                <w:lang w:eastAsia="pl-PL"/>
              </w:rPr>
            </w:pPr>
          </w:p>
        </w:tc>
        <w:tc>
          <w:tcPr>
            <w:tcW w:w="602" w:type="pct"/>
            <w:vMerge/>
            <w:vAlign w:val="center"/>
          </w:tcPr>
          <w:p w14:paraId="21D09C39" w14:textId="77777777" w:rsidR="00970EF5" w:rsidRPr="00CE5D9A" w:rsidRDefault="00970EF5" w:rsidP="00970EF5">
            <w:pPr>
              <w:spacing w:after="0" w:line="240" w:lineRule="auto"/>
              <w:rPr>
                <w:rFonts w:ascii="Times New Roman" w:eastAsia="Times New Roman" w:hAnsi="Times New Roman"/>
                <w:sz w:val="16"/>
                <w:szCs w:val="16"/>
                <w:lang w:eastAsia="pl-PL"/>
              </w:rPr>
            </w:pPr>
          </w:p>
        </w:tc>
        <w:tc>
          <w:tcPr>
            <w:tcW w:w="694" w:type="pct"/>
            <w:vAlign w:val="center"/>
          </w:tcPr>
          <w:p w14:paraId="5B06096E"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PLKCO03 – liczba opiekunów faktycznych/nieformalnych objętych wsparciem </w:t>
            </w:r>
            <w:r w:rsidRPr="00CE5D9A">
              <w:rPr>
                <w:rFonts w:ascii="Times New Roman" w:eastAsia="Times New Roman" w:hAnsi="Times New Roman"/>
                <w:sz w:val="18"/>
                <w:szCs w:val="18"/>
                <w:lang w:eastAsia="pl-PL"/>
              </w:rPr>
              <w:br/>
              <w:t>w programie</w:t>
            </w:r>
          </w:p>
        </w:tc>
        <w:tc>
          <w:tcPr>
            <w:tcW w:w="279" w:type="pct"/>
            <w:vAlign w:val="center"/>
          </w:tcPr>
          <w:p w14:paraId="11A49FD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7394137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12BC278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vAlign w:val="center"/>
          </w:tcPr>
          <w:p w14:paraId="5744673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63788C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18</w:t>
            </w:r>
          </w:p>
        </w:tc>
        <w:tc>
          <w:tcPr>
            <w:tcW w:w="281" w:type="pct"/>
            <w:vAlign w:val="center"/>
          </w:tcPr>
          <w:p w14:paraId="4B87538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95" w:type="pct"/>
            <w:vAlign w:val="center"/>
          </w:tcPr>
          <w:p w14:paraId="219C00B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vAlign w:val="center"/>
          </w:tcPr>
          <w:p w14:paraId="78D344F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5C08A5B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2C976E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280" w:type="pct"/>
            <w:vAlign w:val="center"/>
          </w:tcPr>
          <w:p w14:paraId="15E3629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4F494F0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4A69D77F"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7D358E2B" w14:textId="77777777" w:rsidTr="00207A83">
        <w:trPr>
          <w:trHeight w:val="794"/>
        </w:trPr>
        <w:tc>
          <w:tcPr>
            <w:tcW w:w="751" w:type="pct"/>
            <w:gridSpan w:val="2"/>
            <w:shd w:val="clear" w:color="auto" w:fill="auto"/>
            <w:vAlign w:val="center"/>
          </w:tcPr>
          <w:p w14:paraId="2D1E3C2E"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1.1</w:t>
            </w:r>
          </w:p>
        </w:tc>
        <w:tc>
          <w:tcPr>
            <w:tcW w:w="694" w:type="pct"/>
            <w:shd w:val="clear" w:color="000000" w:fill="FFFFFF"/>
            <w:vAlign w:val="center"/>
          </w:tcPr>
          <w:p w14:paraId="7BF7829B"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R.37 Wzrost gospodarczy </w:t>
            </w:r>
            <w:r w:rsidRPr="00CE5D9A">
              <w:rPr>
                <w:rFonts w:ascii="Times New Roman" w:eastAsia="Times New Roman" w:hAnsi="Times New Roman"/>
                <w:sz w:val="18"/>
                <w:szCs w:val="18"/>
                <w:lang w:eastAsia="pl-PL"/>
              </w:rPr>
              <w:br/>
              <w:t>i zatrudnienie na obszarach wiejskich</w:t>
            </w:r>
          </w:p>
        </w:tc>
        <w:tc>
          <w:tcPr>
            <w:tcW w:w="279" w:type="pct"/>
            <w:shd w:val="clear" w:color="auto" w:fill="auto"/>
            <w:vAlign w:val="center"/>
          </w:tcPr>
          <w:p w14:paraId="615A629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385962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6DEE2D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w:t>
            </w:r>
          </w:p>
        </w:tc>
        <w:tc>
          <w:tcPr>
            <w:tcW w:w="281" w:type="pct"/>
            <w:shd w:val="clear" w:color="000000" w:fill="D9D9D9"/>
            <w:vAlign w:val="center"/>
          </w:tcPr>
          <w:p w14:paraId="7FB1F9B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9C5117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483B8FA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3002742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692DB88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A0D092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01241B0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612D551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326887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184DD6C9"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PS WPR</w:t>
            </w:r>
          </w:p>
        </w:tc>
      </w:tr>
      <w:tr w:rsidR="00970EF5" w:rsidRPr="00CE5D9A" w14:paraId="1404CE48" w14:textId="77777777" w:rsidTr="00207A83">
        <w:trPr>
          <w:trHeight w:val="794"/>
        </w:trPr>
        <w:tc>
          <w:tcPr>
            <w:tcW w:w="751" w:type="pct"/>
            <w:gridSpan w:val="2"/>
            <w:shd w:val="clear" w:color="auto" w:fill="auto"/>
            <w:vAlign w:val="center"/>
          </w:tcPr>
          <w:p w14:paraId="0A9C0DD2"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1.2</w:t>
            </w:r>
          </w:p>
        </w:tc>
        <w:tc>
          <w:tcPr>
            <w:tcW w:w="694" w:type="pct"/>
            <w:shd w:val="clear" w:color="000000" w:fill="FFFFFF"/>
            <w:vAlign w:val="center"/>
          </w:tcPr>
          <w:p w14:paraId="1FCAF10E"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R.41PR Łączenie obszarów wiejskich w Europie</w:t>
            </w:r>
          </w:p>
        </w:tc>
        <w:tc>
          <w:tcPr>
            <w:tcW w:w="279" w:type="pct"/>
            <w:shd w:val="clear" w:color="auto" w:fill="auto"/>
            <w:vAlign w:val="center"/>
          </w:tcPr>
          <w:p w14:paraId="478E6FA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E5EB4D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524C34A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8 300</w:t>
            </w:r>
          </w:p>
        </w:tc>
        <w:tc>
          <w:tcPr>
            <w:tcW w:w="281" w:type="pct"/>
            <w:shd w:val="clear" w:color="000000" w:fill="D9D9D9"/>
            <w:vAlign w:val="center"/>
          </w:tcPr>
          <w:p w14:paraId="508DE73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EEC8B1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7 000</w:t>
            </w:r>
          </w:p>
        </w:tc>
        <w:tc>
          <w:tcPr>
            <w:tcW w:w="281" w:type="pct"/>
            <w:shd w:val="clear" w:color="000000" w:fill="D9D9D9"/>
            <w:vAlign w:val="center"/>
          </w:tcPr>
          <w:p w14:paraId="03A1B8B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6E3834F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7D541A6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E85D03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0E92808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2558FEF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6239968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56519D1A"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p>
        </w:tc>
      </w:tr>
      <w:tr w:rsidR="00970EF5" w:rsidRPr="00CE5D9A" w14:paraId="2CDC0C63" w14:textId="77777777" w:rsidTr="00207A83">
        <w:trPr>
          <w:trHeight w:val="794"/>
        </w:trPr>
        <w:tc>
          <w:tcPr>
            <w:tcW w:w="751" w:type="pct"/>
            <w:gridSpan w:val="2"/>
            <w:shd w:val="clear" w:color="auto" w:fill="auto"/>
            <w:vAlign w:val="center"/>
          </w:tcPr>
          <w:p w14:paraId="176A5FD9"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1.3</w:t>
            </w:r>
          </w:p>
        </w:tc>
        <w:tc>
          <w:tcPr>
            <w:tcW w:w="694" w:type="pct"/>
            <w:shd w:val="clear" w:color="000000" w:fill="FFFFFF"/>
            <w:vAlign w:val="center"/>
          </w:tcPr>
          <w:p w14:paraId="66EBCA71"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R.42 Promowanie włączenia społecznego</w:t>
            </w:r>
          </w:p>
        </w:tc>
        <w:tc>
          <w:tcPr>
            <w:tcW w:w="279" w:type="pct"/>
            <w:shd w:val="clear" w:color="auto" w:fill="auto"/>
            <w:vAlign w:val="center"/>
          </w:tcPr>
          <w:p w14:paraId="7EC23D3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7CB47ED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371E52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371D3A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0D27601" w14:textId="14A24443" w:rsidR="00970EF5" w:rsidRPr="00CE5D9A" w:rsidRDefault="00970EF5" w:rsidP="00970EF5">
            <w:pPr>
              <w:spacing w:after="0" w:line="240" w:lineRule="auto"/>
              <w:jc w:val="right"/>
              <w:rPr>
                <w:rFonts w:ascii="Times New Roman" w:eastAsia="Times New Roman" w:hAnsi="Times New Roman"/>
                <w:sz w:val="18"/>
                <w:szCs w:val="18"/>
                <w:lang w:eastAsia="pl-PL"/>
              </w:rPr>
            </w:pPr>
            <w:r>
              <w:rPr>
                <w:rFonts w:ascii="Times New Roman" w:eastAsia="Times New Roman" w:hAnsi="Times New Roman"/>
                <w:sz w:val="18"/>
                <w:szCs w:val="18"/>
                <w:lang w:eastAsia="pl-PL"/>
              </w:rPr>
              <w:t>14</w:t>
            </w:r>
          </w:p>
        </w:tc>
        <w:tc>
          <w:tcPr>
            <w:tcW w:w="281" w:type="pct"/>
            <w:shd w:val="clear" w:color="000000" w:fill="D9D9D9"/>
            <w:vAlign w:val="center"/>
          </w:tcPr>
          <w:p w14:paraId="1505DC4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1CDF85E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4621A68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3FF0D5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3AAFC38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03EE0F9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5ED8774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3165E3AC"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p>
        </w:tc>
      </w:tr>
      <w:tr w:rsidR="00970EF5" w:rsidRPr="00CE5D9A" w14:paraId="3E6CC7BE" w14:textId="77777777" w:rsidTr="00207A83">
        <w:trPr>
          <w:trHeight w:val="794"/>
        </w:trPr>
        <w:tc>
          <w:tcPr>
            <w:tcW w:w="751" w:type="pct"/>
            <w:gridSpan w:val="2"/>
            <w:shd w:val="clear" w:color="auto" w:fill="auto"/>
            <w:vAlign w:val="center"/>
          </w:tcPr>
          <w:p w14:paraId="10D3EFB5"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1.4</w:t>
            </w:r>
          </w:p>
        </w:tc>
        <w:tc>
          <w:tcPr>
            <w:tcW w:w="694" w:type="pct"/>
            <w:shd w:val="clear" w:color="000000" w:fill="FFFFFF"/>
            <w:vAlign w:val="center"/>
          </w:tcPr>
          <w:p w14:paraId="2D9FC002"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R.40 Inteligentna przemiana gospodarki wiejskiej: liczba wspieranych strategii inteligentnych wsi</w:t>
            </w:r>
          </w:p>
        </w:tc>
        <w:tc>
          <w:tcPr>
            <w:tcW w:w="279" w:type="pct"/>
            <w:shd w:val="clear" w:color="auto" w:fill="auto"/>
            <w:vAlign w:val="center"/>
          </w:tcPr>
          <w:p w14:paraId="6495CA9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18AEA9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2956588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5</w:t>
            </w:r>
          </w:p>
        </w:tc>
        <w:tc>
          <w:tcPr>
            <w:tcW w:w="281" w:type="pct"/>
            <w:shd w:val="clear" w:color="000000" w:fill="D9D9D9"/>
            <w:vAlign w:val="center"/>
          </w:tcPr>
          <w:p w14:paraId="708E28C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18C0157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1C03692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295" w:type="pct"/>
            <w:shd w:val="clear" w:color="auto" w:fill="auto"/>
            <w:vAlign w:val="center"/>
          </w:tcPr>
          <w:p w14:paraId="49E562C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000BE1F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280" w:type="pct"/>
            <w:shd w:val="clear" w:color="auto" w:fill="auto"/>
            <w:vAlign w:val="center"/>
          </w:tcPr>
          <w:p w14:paraId="62E94B0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2AF0142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p>
        </w:tc>
        <w:tc>
          <w:tcPr>
            <w:tcW w:w="280" w:type="pct"/>
            <w:vAlign w:val="center"/>
          </w:tcPr>
          <w:p w14:paraId="5741DDA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4E1466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2157BFFB"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p>
        </w:tc>
      </w:tr>
      <w:tr w:rsidR="00970EF5" w:rsidRPr="00CE5D9A" w14:paraId="7A0C92F4" w14:textId="77777777" w:rsidTr="00207A83">
        <w:trPr>
          <w:trHeight w:val="794"/>
        </w:trPr>
        <w:tc>
          <w:tcPr>
            <w:tcW w:w="751" w:type="pct"/>
            <w:gridSpan w:val="2"/>
            <w:shd w:val="clear" w:color="auto" w:fill="auto"/>
            <w:vAlign w:val="center"/>
          </w:tcPr>
          <w:p w14:paraId="6E378968"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1.5</w:t>
            </w:r>
          </w:p>
        </w:tc>
        <w:tc>
          <w:tcPr>
            <w:tcW w:w="694" w:type="pct"/>
            <w:shd w:val="clear" w:color="000000" w:fill="FFFFFF"/>
            <w:vAlign w:val="center"/>
          </w:tcPr>
          <w:p w14:paraId="639F3C43"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R.39 Rozwój gospodarki wiejskiej: liczba przedsiębiorstw rolnych, w tym przedsiębiorstw zajmujących się biogospodarką, rozwiniętych dzięki wsparciu w ramach WPR</w:t>
            </w:r>
          </w:p>
        </w:tc>
        <w:tc>
          <w:tcPr>
            <w:tcW w:w="279" w:type="pct"/>
            <w:shd w:val="clear" w:color="auto" w:fill="auto"/>
            <w:vAlign w:val="center"/>
          </w:tcPr>
          <w:p w14:paraId="6ED7BC5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560516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B20D94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763C5D5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04D5F00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4</w:t>
            </w:r>
          </w:p>
        </w:tc>
        <w:tc>
          <w:tcPr>
            <w:tcW w:w="281" w:type="pct"/>
            <w:shd w:val="clear" w:color="000000" w:fill="D9D9D9"/>
            <w:vAlign w:val="center"/>
          </w:tcPr>
          <w:p w14:paraId="1E662E8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511315A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6431AA9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606B1CC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083CE78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238ACD9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EFE898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 </w:t>
            </w:r>
          </w:p>
        </w:tc>
        <w:tc>
          <w:tcPr>
            <w:tcW w:w="174" w:type="pct"/>
            <w:vMerge/>
            <w:vAlign w:val="center"/>
          </w:tcPr>
          <w:p w14:paraId="25EFC2B0"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p>
        </w:tc>
      </w:tr>
      <w:tr w:rsidR="00970EF5" w:rsidRPr="00CE5D9A" w14:paraId="5791B9AC" w14:textId="77777777" w:rsidTr="00207A83">
        <w:trPr>
          <w:trHeight w:val="794"/>
        </w:trPr>
        <w:tc>
          <w:tcPr>
            <w:tcW w:w="751" w:type="pct"/>
            <w:gridSpan w:val="2"/>
            <w:shd w:val="clear" w:color="auto" w:fill="auto"/>
            <w:vAlign w:val="center"/>
          </w:tcPr>
          <w:p w14:paraId="4F6EA39C"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1.6</w:t>
            </w:r>
          </w:p>
        </w:tc>
        <w:tc>
          <w:tcPr>
            <w:tcW w:w="694" w:type="pct"/>
            <w:shd w:val="clear" w:color="auto" w:fill="auto"/>
            <w:vAlign w:val="center"/>
          </w:tcPr>
          <w:p w14:paraId="62877302"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RCR 77 – liczba osób odwiedzających obiekty kulturalne i turystyczne objęte wsparciem</w:t>
            </w:r>
          </w:p>
        </w:tc>
        <w:tc>
          <w:tcPr>
            <w:tcW w:w="279" w:type="pct"/>
            <w:shd w:val="clear" w:color="auto" w:fill="auto"/>
            <w:vAlign w:val="center"/>
          </w:tcPr>
          <w:p w14:paraId="0153FDA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0E37A98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08700F3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4E048E8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FDCB590" w14:textId="6A8E4CA4" w:rsidR="00970EF5" w:rsidRPr="00CE5D9A" w:rsidRDefault="00970EF5" w:rsidP="00970EF5">
            <w:pPr>
              <w:spacing w:after="0" w:line="240" w:lineRule="auto"/>
              <w:jc w:val="right"/>
              <w:rPr>
                <w:rFonts w:ascii="Times New Roman" w:eastAsia="Times New Roman" w:hAnsi="Times New Roman"/>
                <w:sz w:val="18"/>
                <w:szCs w:val="18"/>
                <w:lang w:eastAsia="pl-PL"/>
              </w:rPr>
            </w:pPr>
            <w:r>
              <w:rPr>
                <w:rFonts w:ascii="Times New Roman" w:eastAsia="Times New Roman" w:hAnsi="Times New Roman"/>
                <w:sz w:val="18"/>
                <w:szCs w:val="18"/>
                <w:lang w:eastAsia="pl-PL"/>
              </w:rPr>
              <w:t>1</w:t>
            </w:r>
            <w:r w:rsidRPr="00CE5D9A">
              <w:rPr>
                <w:rFonts w:ascii="Times New Roman" w:eastAsia="Times New Roman" w:hAnsi="Times New Roman"/>
                <w:sz w:val="18"/>
                <w:szCs w:val="18"/>
                <w:lang w:eastAsia="pl-PL"/>
              </w:rPr>
              <w:t xml:space="preserve"> 000</w:t>
            </w:r>
          </w:p>
        </w:tc>
        <w:tc>
          <w:tcPr>
            <w:tcW w:w="281" w:type="pct"/>
            <w:shd w:val="clear" w:color="000000" w:fill="D9D9D9"/>
            <w:vAlign w:val="center"/>
          </w:tcPr>
          <w:p w14:paraId="712E0F6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0F10F3A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1860FBD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5BAAC963"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41FCCA1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19E16FC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788A119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restart"/>
            <w:vAlign w:val="center"/>
          </w:tcPr>
          <w:p w14:paraId="63D0AD35"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FEM</w:t>
            </w:r>
          </w:p>
        </w:tc>
      </w:tr>
      <w:tr w:rsidR="00970EF5" w:rsidRPr="00CE5D9A" w14:paraId="41218788" w14:textId="77777777" w:rsidTr="00207A83">
        <w:trPr>
          <w:trHeight w:val="794"/>
        </w:trPr>
        <w:tc>
          <w:tcPr>
            <w:tcW w:w="751" w:type="pct"/>
            <w:gridSpan w:val="2"/>
            <w:shd w:val="clear" w:color="auto" w:fill="auto"/>
            <w:vAlign w:val="center"/>
          </w:tcPr>
          <w:p w14:paraId="0C8CD926"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1.7</w:t>
            </w:r>
          </w:p>
        </w:tc>
        <w:tc>
          <w:tcPr>
            <w:tcW w:w="694" w:type="pct"/>
            <w:shd w:val="clear" w:color="auto" w:fill="auto"/>
            <w:vAlign w:val="center"/>
          </w:tcPr>
          <w:p w14:paraId="12733C3B"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PLKCR02 – liczba utworzonych miejsc świadczenia usług </w:t>
            </w:r>
            <w:r w:rsidRPr="00CE5D9A">
              <w:rPr>
                <w:rFonts w:ascii="Times New Roman" w:eastAsia="Times New Roman" w:hAnsi="Times New Roman"/>
                <w:sz w:val="18"/>
                <w:szCs w:val="18"/>
                <w:lang w:eastAsia="pl-PL"/>
              </w:rPr>
              <w:br/>
              <w:t>w społeczności lokalnej</w:t>
            </w:r>
          </w:p>
        </w:tc>
        <w:tc>
          <w:tcPr>
            <w:tcW w:w="279" w:type="pct"/>
            <w:shd w:val="clear" w:color="auto" w:fill="auto"/>
            <w:vAlign w:val="center"/>
          </w:tcPr>
          <w:p w14:paraId="69DA6A7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7B33388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70DC44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62FBB1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5028954D" w14:textId="324832D9" w:rsidR="00970EF5" w:rsidRPr="00CE5D9A" w:rsidRDefault="00970EF5" w:rsidP="00970EF5">
            <w:pPr>
              <w:spacing w:after="0" w:line="240" w:lineRule="auto"/>
              <w:jc w:val="right"/>
              <w:rPr>
                <w:rFonts w:ascii="Times New Roman" w:eastAsia="Times New Roman" w:hAnsi="Times New Roman"/>
                <w:sz w:val="18"/>
                <w:szCs w:val="18"/>
                <w:lang w:eastAsia="pl-PL"/>
              </w:rPr>
            </w:pPr>
            <w:r>
              <w:rPr>
                <w:rFonts w:ascii="Times New Roman" w:eastAsia="Times New Roman" w:hAnsi="Times New Roman"/>
                <w:sz w:val="18"/>
                <w:szCs w:val="18"/>
                <w:lang w:eastAsia="pl-PL"/>
              </w:rPr>
              <w:t>14</w:t>
            </w:r>
          </w:p>
        </w:tc>
        <w:tc>
          <w:tcPr>
            <w:tcW w:w="281" w:type="pct"/>
            <w:shd w:val="clear" w:color="000000" w:fill="D9D9D9"/>
            <w:vAlign w:val="center"/>
          </w:tcPr>
          <w:p w14:paraId="3FF49D2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263E2735"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3972D2A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0508259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2495D77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23769A2A"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1804F2C2"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10E1CA7B"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7412F692" w14:textId="77777777" w:rsidTr="00207A83">
        <w:trPr>
          <w:trHeight w:val="794"/>
        </w:trPr>
        <w:tc>
          <w:tcPr>
            <w:tcW w:w="751" w:type="pct"/>
            <w:gridSpan w:val="2"/>
            <w:shd w:val="clear" w:color="auto" w:fill="auto"/>
            <w:vAlign w:val="center"/>
          </w:tcPr>
          <w:p w14:paraId="3E5944BF"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1.8</w:t>
            </w:r>
          </w:p>
        </w:tc>
        <w:tc>
          <w:tcPr>
            <w:tcW w:w="694" w:type="pct"/>
            <w:shd w:val="clear" w:color="auto" w:fill="auto"/>
            <w:vAlign w:val="center"/>
          </w:tcPr>
          <w:p w14:paraId="01AF3326"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PLKCR03 – liczba podmiotów, które rozszerzyły ofertę wsparcia lub podniosły jakość oferowanych usług</w:t>
            </w:r>
          </w:p>
        </w:tc>
        <w:tc>
          <w:tcPr>
            <w:tcW w:w="279" w:type="pct"/>
            <w:shd w:val="clear" w:color="auto" w:fill="auto"/>
            <w:vAlign w:val="center"/>
          </w:tcPr>
          <w:p w14:paraId="3949F18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64C38EC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3D4944C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3EDF7F7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F2B0DB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w:t>
            </w:r>
          </w:p>
        </w:tc>
        <w:tc>
          <w:tcPr>
            <w:tcW w:w="281" w:type="pct"/>
            <w:shd w:val="clear" w:color="000000" w:fill="D9D9D9"/>
            <w:vAlign w:val="center"/>
          </w:tcPr>
          <w:p w14:paraId="51BB0D5C"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0FFC6C6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61D64C34"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753662F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427FBC81"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396F76C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042DA3C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5F145E3"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r w:rsidR="00970EF5" w:rsidRPr="00CE5D9A" w14:paraId="37B8AF33" w14:textId="77777777" w:rsidTr="00207A83">
        <w:trPr>
          <w:trHeight w:val="794"/>
        </w:trPr>
        <w:tc>
          <w:tcPr>
            <w:tcW w:w="751" w:type="pct"/>
            <w:gridSpan w:val="2"/>
            <w:shd w:val="clear" w:color="auto" w:fill="auto"/>
            <w:vAlign w:val="center"/>
          </w:tcPr>
          <w:p w14:paraId="168A2877"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Wskaźnik rezultatu W 1.9</w:t>
            </w:r>
          </w:p>
        </w:tc>
        <w:tc>
          <w:tcPr>
            <w:tcW w:w="694" w:type="pct"/>
            <w:shd w:val="clear" w:color="auto" w:fill="auto"/>
            <w:vAlign w:val="center"/>
          </w:tcPr>
          <w:p w14:paraId="4D3F2696" w14:textId="77777777" w:rsidR="00970EF5" w:rsidRPr="00CE5D9A" w:rsidRDefault="00970EF5" w:rsidP="00970EF5">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xml:space="preserve">PLKCR04 – liczba osób świadczących usługi </w:t>
            </w:r>
            <w:r w:rsidRPr="00CE5D9A">
              <w:rPr>
                <w:rFonts w:ascii="Times New Roman" w:eastAsia="Times New Roman" w:hAnsi="Times New Roman"/>
                <w:sz w:val="18"/>
                <w:szCs w:val="18"/>
                <w:lang w:eastAsia="pl-PL"/>
              </w:rPr>
              <w:br/>
              <w:t>w społeczności lokalnej dzięki wsparciu w programie</w:t>
            </w:r>
          </w:p>
        </w:tc>
        <w:tc>
          <w:tcPr>
            <w:tcW w:w="279" w:type="pct"/>
            <w:shd w:val="clear" w:color="auto" w:fill="auto"/>
            <w:vAlign w:val="center"/>
          </w:tcPr>
          <w:p w14:paraId="0AB81BAB"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540A140F"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21B0725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1" w:type="pct"/>
            <w:shd w:val="clear" w:color="000000" w:fill="D9D9D9"/>
            <w:vAlign w:val="center"/>
          </w:tcPr>
          <w:p w14:paraId="091F6D3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15ADA941" w14:textId="18DFCD69" w:rsidR="00970EF5" w:rsidRPr="00CE5D9A" w:rsidRDefault="00970EF5" w:rsidP="00970EF5">
            <w:pPr>
              <w:spacing w:after="0" w:line="240" w:lineRule="auto"/>
              <w:jc w:val="right"/>
              <w:rPr>
                <w:rFonts w:ascii="Times New Roman" w:eastAsia="Times New Roman" w:hAnsi="Times New Roman"/>
                <w:sz w:val="18"/>
                <w:szCs w:val="18"/>
                <w:lang w:eastAsia="pl-PL"/>
              </w:rPr>
            </w:pPr>
            <w:r>
              <w:rPr>
                <w:rFonts w:ascii="Times New Roman" w:eastAsia="Times New Roman" w:hAnsi="Times New Roman"/>
                <w:sz w:val="18"/>
                <w:szCs w:val="18"/>
                <w:lang w:eastAsia="pl-PL"/>
              </w:rPr>
              <w:t>2</w:t>
            </w:r>
          </w:p>
        </w:tc>
        <w:tc>
          <w:tcPr>
            <w:tcW w:w="281" w:type="pct"/>
            <w:shd w:val="clear" w:color="000000" w:fill="D9D9D9"/>
            <w:vAlign w:val="center"/>
          </w:tcPr>
          <w:p w14:paraId="4242E706"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95" w:type="pct"/>
            <w:shd w:val="clear" w:color="auto" w:fill="auto"/>
            <w:vAlign w:val="center"/>
          </w:tcPr>
          <w:p w14:paraId="1BA5A4CD"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0" w:type="pct"/>
            <w:shd w:val="clear" w:color="000000" w:fill="D9D9D9"/>
            <w:vAlign w:val="center"/>
          </w:tcPr>
          <w:p w14:paraId="3CB01B39"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shd w:val="clear" w:color="auto" w:fill="auto"/>
            <w:vAlign w:val="center"/>
          </w:tcPr>
          <w:p w14:paraId="4B112FE0"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shd w:val="clear" w:color="000000" w:fill="D9D9D9"/>
            <w:vAlign w:val="center"/>
          </w:tcPr>
          <w:p w14:paraId="6D6679DE"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 </w:t>
            </w:r>
          </w:p>
        </w:tc>
        <w:tc>
          <w:tcPr>
            <w:tcW w:w="280" w:type="pct"/>
            <w:vAlign w:val="center"/>
          </w:tcPr>
          <w:p w14:paraId="0F5E1D28"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0</w:t>
            </w:r>
          </w:p>
        </w:tc>
        <w:tc>
          <w:tcPr>
            <w:tcW w:w="282" w:type="pct"/>
            <w:vAlign w:val="center"/>
          </w:tcPr>
          <w:p w14:paraId="28914367" w14:textId="77777777" w:rsidR="00970EF5" w:rsidRPr="00CE5D9A" w:rsidRDefault="00970EF5" w:rsidP="00970EF5">
            <w:pPr>
              <w:spacing w:after="0" w:line="240" w:lineRule="auto"/>
              <w:jc w:val="right"/>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100%</w:t>
            </w:r>
          </w:p>
        </w:tc>
        <w:tc>
          <w:tcPr>
            <w:tcW w:w="174" w:type="pct"/>
            <w:vMerge/>
            <w:vAlign w:val="center"/>
          </w:tcPr>
          <w:p w14:paraId="67D37EE9" w14:textId="77777777" w:rsidR="00970EF5" w:rsidRPr="00CE5D9A" w:rsidRDefault="00970EF5" w:rsidP="00970EF5">
            <w:pPr>
              <w:spacing w:after="0" w:line="240" w:lineRule="auto"/>
              <w:rPr>
                <w:rFonts w:ascii="Times New Roman" w:eastAsia="Times New Roman" w:hAnsi="Times New Roman"/>
                <w:sz w:val="18"/>
                <w:szCs w:val="18"/>
                <w:lang w:eastAsia="pl-PL"/>
              </w:rPr>
            </w:pPr>
          </w:p>
        </w:tc>
      </w:tr>
    </w:tbl>
    <w:p w14:paraId="32F2C872"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lastRenderedPageBreak/>
        <w:t>Źródło: opracowanie własne</w:t>
      </w:r>
    </w:p>
    <w:p w14:paraId="4A8D96D3" w14:textId="77777777" w:rsidR="00021DC4" w:rsidRPr="00CE5D9A" w:rsidRDefault="00021DC4">
      <w:pPr>
        <w:jc w:val="center"/>
        <w:rPr>
          <w:rFonts w:ascii="Times New Roman" w:hAnsi="Times New Roman"/>
          <w:i/>
          <w:iCs/>
          <w:sz w:val="20"/>
          <w:szCs w:val="20"/>
        </w:rPr>
        <w:sectPr w:rsidR="00021DC4" w:rsidRPr="00CE5D9A" w:rsidSect="00FD0A02">
          <w:pgSz w:w="16838" w:h="11906" w:orient="landscape"/>
          <w:pgMar w:top="851" w:right="851" w:bottom="851" w:left="851" w:header="709" w:footer="709" w:gutter="0"/>
          <w:cols w:space="708"/>
          <w:docGrid w:linePitch="360"/>
        </w:sectPr>
      </w:pPr>
    </w:p>
    <w:p w14:paraId="34DFFD50" w14:textId="77777777" w:rsidR="00686DFE" w:rsidRPr="00CE5D9A" w:rsidRDefault="00686DFE">
      <w:pPr>
        <w:ind w:left="360" w:hanging="360"/>
        <w:jc w:val="both"/>
        <w:rPr>
          <w:rFonts w:ascii="Times New Roman" w:hAnsi="Times New Roman"/>
          <w:b/>
          <w:bCs/>
        </w:rPr>
      </w:pPr>
      <w:r w:rsidRPr="00CE5D9A">
        <w:rPr>
          <w:rFonts w:ascii="Times New Roman" w:hAnsi="Times New Roman"/>
          <w:b/>
          <w:bCs/>
        </w:rPr>
        <w:lastRenderedPageBreak/>
        <w:t>Załącznik nr 3 Budżet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2039"/>
        <w:gridCol w:w="2039"/>
        <w:gridCol w:w="2039"/>
        <w:gridCol w:w="2039"/>
      </w:tblGrid>
      <w:tr w:rsidR="00686DFE" w:rsidRPr="00CE5D9A" w14:paraId="43B1BFDB" w14:textId="77777777" w:rsidTr="00ED6C99">
        <w:trPr>
          <w:trHeight w:val="396"/>
        </w:trPr>
        <w:tc>
          <w:tcPr>
            <w:tcW w:w="10194" w:type="dxa"/>
            <w:gridSpan w:val="5"/>
            <w:shd w:val="clear" w:color="auto" w:fill="auto"/>
            <w:vAlign w:val="center"/>
          </w:tcPr>
          <w:p w14:paraId="1005A5AE" w14:textId="77777777" w:rsidR="00686DFE" w:rsidRPr="00CE5D9A" w:rsidRDefault="00686DFE" w:rsidP="00ED6C99">
            <w:pPr>
              <w:spacing w:after="0" w:line="240" w:lineRule="auto"/>
              <w:jc w:val="center"/>
            </w:pPr>
            <w:r w:rsidRPr="00CE5D9A">
              <w:rPr>
                <w:rFonts w:ascii="Times New Roman" w:hAnsi="Times New Roman"/>
                <w:b/>
                <w:bCs/>
                <w:sz w:val="20"/>
                <w:szCs w:val="20"/>
              </w:rPr>
              <w:t>PLANOWANA WYSOKOŚĆ ŚRODKÓW NA WDRAŻANIE LSR I ZARZĄDZANIE LSR</w:t>
            </w:r>
          </w:p>
        </w:tc>
      </w:tr>
      <w:tr w:rsidR="00686DFE" w:rsidRPr="00CE5D9A" w14:paraId="05CEC89C" w14:textId="77777777" w:rsidTr="00ED6C99">
        <w:trPr>
          <w:trHeight w:val="417"/>
        </w:trPr>
        <w:tc>
          <w:tcPr>
            <w:tcW w:w="2038" w:type="dxa"/>
            <w:vMerge w:val="restart"/>
            <w:shd w:val="clear" w:color="auto" w:fill="auto"/>
            <w:vAlign w:val="center"/>
          </w:tcPr>
          <w:p w14:paraId="1519FE84" w14:textId="77777777" w:rsidR="00686DFE" w:rsidRPr="00CE5D9A" w:rsidRDefault="00686DFE" w:rsidP="00ED6C99">
            <w:pPr>
              <w:spacing w:after="0" w:line="240" w:lineRule="auto"/>
              <w:jc w:val="center"/>
            </w:pPr>
            <w:r w:rsidRPr="00CE5D9A">
              <w:rPr>
                <w:rFonts w:ascii="Times New Roman" w:hAnsi="Times New Roman"/>
                <w:b/>
                <w:iCs/>
                <w:sz w:val="20"/>
                <w:szCs w:val="20"/>
              </w:rPr>
              <w:t>Zakres wsparcia</w:t>
            </w:r>
          </w:p>
        </w:tc>
        <w:tc>
          <w:tcPr>
            <w:tcW w:w="6117" w:type="dxa"/>
            <w:gridSpan w:val="3"/>
            <w:shd w:val="clear" w:color="auto" w:fill="auto"/>
            <w:vAlign w:val="center"/>
          </w:tcPr>
          <w:p w14:paraId="2145CC25" w14:textId="77777777" w:rsidR="00686DFE" w:rsidRPr="00CE5D9A" w:rsidRDefault="00686DFE" w:rsidP="00ED6C99">
            <w:pPr>
              <w:spacing w:after="0" w:line="240" w:lineRule="auto"/>
              <w:jc w:val="center"/>
            </w:pPr>
            <w:r w:rsidRPr="00CE5D9A">
              <w:rPr>
                <w:rFonts w:ascii="Times New Roman" w:hAnsi="Times New Roman"/>
                <w:b/>
                <w:bCs/>
                <w:iCs/>
                <w:sz w:val="20"/>
                <w:szCs w:val="20"/>
              </w:rPr>
              <w:t>Program/Fundusz</w:t>
            </w:r>
          </w:p>
        </w:tc>
        <w:tc>
          <w:tcPr>
            <w:tcW w:w="2039" w:type="dxa"/>
            <w:vMerge w:val="restart"/>
            <w:shd w:val="clear" w:color="auto" w:fill="auto"/>
            <w:vAlign w:val="center"/>
          </w:tcPr>
          <w:p w14:paraId="0DB57824" w14:textId="77777777" w:rsidR="00686DFE" w:rsidRPr="00CE5D9A" w:rsidRDefault="00686DFE" w:rsidP="00ED6C99">
            <w:pPr>
              <w:spacing w:after="0" w:line="240" w:lineRule="auto"/>
              <w:jc w:val="center"/>
            </w:pPr>
            <w:r w:rsidRPr="00CE5D9A">
              <w:rPr>
                <w:rFonts w:ascii="Times New Roman" w:hAnsi="Times New Roman"/>
                <w:b/>
                <w:bCs/>
                <w:iCs/>
                <w:sz w:val="20"/>
                <w:szCs w:val="20"/>
              </w:rPr>
              <w:t>Środki ogółem</w:t>
            </w:r>
            <w:r w:rsidRPr="00CE5D9A">
              <w:rPr>
                <w:rFonts w:ascii="Times New Roman" w:hAnsi="Times New Roman"/>
                <w:b/>
                <w:bCs/>
                <w:iCs/>
                <w:sz w:val="20"/>
                <w:szCs w:val="20"/>
              </w:rPr>
              <w:br/>
              <w:t>(EUR)</w:t>
            </w:r>
          </w:p>
        </w:tc>
      </w:tr>
      <w:tr w:rsidR="00686DFE" w:rsidRPr="00CE5D9A" w14:paraId="634097C4" w14:textId="77777777" w:rsidTr="00ED6C99">
        <w:trPr>
          <w:trHeight w:val="425"/>
        </w:trPr>
        <w:tc>
          <w:tcPr>
            <w:tcW w:w="2038" w:type="dxa"/>
            <w:vMerge/>
            <w:shd w:val="clear" w:color="auto" w:fill="auto"/>
            <w:vAlign w:val="center"/>
          </w:tcPr>
          <w:p w14:paraId="68F2BFBE" w14:textId="77777777" w:rsidR="00686DFE" w:rsidRPr="00CE5D9A" w:rsidRDefault="00686DFE" w:rsidP="00ED6C99">
            <w:pPr>
              <w:spacing w:after="0" w:line="240" w:lineRule="auto"/>
            </w:pPr>
          </w:p>
        </w:tc>
        <w:tc>
          <w:tcPr>
            <w:tcW w:w="2039" w:type="dxa"/>
            <w:shd w:val="clear" w:color="auto" w:fill="auto"/>
            <w:vAlign w:val="center"/>
          </w:tcPr>
          <w:p w14:paraId="43B2C945" w14:textId="77777777" w:rsidR="00686DFE" w:rsidRPr="00CE5D9A" w:rsidRDefault="00686DFE" w:rsidP="00ED6C99">
            <w:pPr>
              <w:spacing w:after="0" w:line="240" w:lineRule="auto"/>
              <w:jc w:val="center"/>
            </w:pPr>
            <w:r w:rsidRPr="00CE5D9A">
              <w:rPr>
                <w:rFonts w:ascii="Times New Roman" w:hAnsi="Times New Roman"/>
                <w:b/>
                <w:bCs/>
                <w:iCs/>
                <w:sz w:val="20"/>
                <w:szCs w:val="20"/>
              </w:rPr>
              <w:t>PS WPR</w:t>
            </w:r>
          </w:p>
        </w:tc>
        <w:tc>
          <w:tcPr>
            <w:tcW w:w="2039" w:type="dxa"/>
            <w:shd w:val="clear" w:color="auto" w:fill="auto"/>
            <w:vAlign w:val="center"/>
          </w:tcPr>
          <w:p w14:paraId="3CE02F76" w14:textId="77777777" w:rsidR="00686DFE" w:rsidRPr="00CE5D9A" w:rsidRDefault="00686DFE" w:rsidP="00ED6C99">
            <w:pPr>
              <w:spacing w:after="0" w:line="240" w:lineRule="auto"/>
              <w:jc w:val="center"/>
            </w:pPr>
            <w:r w:rsidRPr="00CE5D9A">
              <w:rPr>
                <w:rFonts w:ascii="Times New Roman" w:hAnsi="Times New Roman"/>
                <w:b/>
                <w:bCs/>
                <w:iCs/>
                <w:sz w:val="20"/>
                <w:szCs w:val="20"/>
              </w:rPr>
              <w:t>EFRR</w:t>
            </w:r>
          </w:p>
        </w:tc>
        <w:tc>
          <w:tcPr>
            <w:tcW w:w="2039" w:type="dxa"/>
            <w:shd w:val="clear" w:color="auto" w:fill="auto"/>
            <w:vAlign w:val="center"/>
          </w:tcPr>
          <w:p w14:paraId="7F89A212" w14:textId="77777777" w:rsidR="00686DFE" w:rsidRPr="00CE5D9A" w:rsidRDefault="00686DFE" w:rsidP="00ED6C99">
            <w:pPr>
              <w:spacing w:after="0" w:line="240" w:lineRule="auto"/>
              <w:jc w:val="center"/>
            </w:pPr>
            <w:r w:rsidRPr="00CE5D9A">
              <w:rPr>
                <w:rFonts w:ascii="Times New Roman" w:hAnsi="Times New Roman"/>
                <w:b/>
                <w:bCs/>
                <w:iCs/>
                <w:sz w:val="20"/>
                <w:szCs w:val="20"/>
              </w:rPr>
              <w:t>EFS+</w:t>
            </w:r>
          </w:p>
        </w:tc>
        <w:tc>
          <w:tcPr>
            <w:tcW w:w="2039" w:type="dxa"/>
            <w:vMerge/>
            <w:shd w:val="clear" w:color="auto" w:fill="auto"/>
            <w:vAlign w:val="center"/>
          </w:tcPr>
          <w:p w14:paraId="5E1B956E" w14:textId="77777777" w:rsidR="00686DFE" w:rsidRPr="00CE5D9A" w:rsidRDefault="00686DFE" w:rsidP="00ED6C99">
            <w:pPr>
              <w:spacing w:after="0" w:line="240" w:lineRule="auto"/>
            </w:pPr>
          </w:p>
        </w:tc>
      </w:tr>
      <w:tr w:rsidR="00686DFE" w:rsidRPr="00CE5D9A" w14:paraId="5DD07660" w14:textId="77777777" w:rsidTr="00ED6C99">
        <w:trPr>
          <w:trHeight w:val="1015"/>
        </w:trPr>
        <w:tc>
          <w:tcPr>
            <w:tcW w:w="2038" w:type="dxa"/>
            <w:shd w:val="clear" w:color="auto" w:fill="auto"/>
            <w:vAlign w:val="center"/>
          </w:tcPr>
          <w:p w14:paraId="400B2F3E" w14:textId="77777777" w:rsidR="00686DFE" w:rsidRPr="00CE5D9A" w:rsidRDefault="00686DFE" w:rsidP="00ED6C99">
            <w:pPr>
              <w:spacing w:after="0" w:line="240" w:lineRule="auto"/>
            </w:pPr>
            <w:r w:rsidRPr="00CE5D9A">
              <w:rPr>
                <w:rFonts w:ascii="Times New Roman" w:hAnsi="Times New Roman"/>
                <w:b/>
                <w:bCs/>
                <w:sz w:val="20"/>
                <w:szCs w:val="20"/>
              </w:rPr>
              <w:t>Wdrażanie LSR</w:t>
            </w:r>
            <w:r w:rsidRPr="00CE5D9A">
              <w:rPr>
                <w:rFonts w:ascii="Times New Roman" w:hAnsi="Times New Roman"/>
                <w:sz w:val="20"/>
                <w:szCs w:val="20"/>
              </w:rPr>
              <w:br/>
              <w:t>(art. 34 ust. 1 lit. b rozporządzenia nr 2021/1060)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14:paraId="08202CBA" w14:textId="77777777" w:rsidR="00686DFE" w:rsidRPr="00CE5D9A" w:rsidRDefault="00686DFE" w:rsidP="006A21EE">
            <w:pPr>
              <w:spacing w:after="0" w:line="240" w:lineRule="auto"/>
              <w:jc w:val="right"/>
              <w:rPr>
                <w:rFonts w:ascii="Times New Roman" w:hAnsi="Times New Roman"/>
                <w:sz w:val="20"/>
                <w:szCs w:val="20"/>
              </w:rPr>
            </w:pPr>
            <w:r w:rsidRPr="00CE5D9A">
              <w:rPr>
                <w:rFonts w:ascii="Times New Roman" w:hAnsi="Times New Roman"/>
                <w:sz w:val="20"/>
                <w:szCs w:val="20"/>
              </w:rPr>
              <w:t xml:space="preserve">3 </w:t>
            </w:r>
            <w:r w:rsidR="006A21EE" w:rsidRPr="00CE5D9A">
              <w:rPr>
                <w:rFonts w:ascii="Times New Roman" w:hAnsi="Times New Roman"/>
                <w:sz w:val="20"/>
                <w:szCs w:val="20"/>
              </w:rPr>
              <w:t>250</w:t>
            </w:r>
            <w:r w:rsidRPr="00CE5D9A">
              <w:rPr>
                <w:rFonts w:ascii="Times New Roman" w:hAnsi="Times New Roman"/>
                <w:sz w:val="20"/>
                <w:szCs w:val="20"/>
              </w:rPr>
              <w:t xml:space="preserve"> 000 </w:t>
            </w:r>
          </w:p>
        </w:tc>
        <w:tc>
          <w:tcPr>
            <w:tcW w:w="2039" w:type="dxa"/>
            <w:tcBorders>
              <w:top w:val="single" w:sz="4" w:space="0" w:color="auto"/>
              <w:left w:val="nil"/>
              <w:bottom w:val="single" w:sz="4" w:space="0" w:color="auto"/>
              <w:right w:val="single" w:sz="4" w:space="0" w:color="auto"/>
            </w:tcBorders>
            <w:shd w:val="clear" w:color="auto" w:fill="auto"/>
            <w:vAlign w:val="center"/>
          </w:tcPr>
          <w:p w14:paraId="55608ED2" w14:textId="77777777" w:rsidR="00686DF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 xml:space="preserve">1 424 903    </w:t>
            </w:r>
          </w:p>
        </w:tc>
        <w:tc>
          <w:tcPr>
            <w:tcW w:w="2039" w:type="dxa"/>
            <w:tcBorders>
              <w:top w:val="single" w:sz="4" w:space="0" w:color="auto"/>
              <w:left w:val="nil"/>
              <w:bottom w:val="single" w:sz="4" w:space="0" w:color="auto"/>
              <w:right w:val="single" w:sz="4" w:space="0" w:color="auto"/>
            </w:tcBorders>
            <w:shd w:val="clear" w:color="auto" w:fill="auto"/>
            <w:vAlign w:val="center"/>
          </w:tcPr>
          <w:p w14:paraId="7453F16B" w14:textId="77777777" w:rsidR="00686DF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 xml:space="preserve">654 683    </w:t>
            </w:r>
          </w:p>
        </w:tc>
        <w:tc>
          <w:tcPr>
            <w:tcW w:w="2039" w:type="dxa"/>
            <w:tcBorders>
              <w:top w:val="single" w:sz="4" w:space="0" w:color="auto"/>
              <w:left w:val="nil"/>
              <w:bottom w:val="single" w:sz="4" w:space="0" w:color="auto"/>
              <w:right w:val="single" w:sz="4" w:space="0" w:color="auto"/>
            </w:tcBorders>
            <w:shd w:val="clear" w:color="auto" w:fill="auto"/>
            <w:vAlign w:val="center"/>
          </w:tcPr>
          <w:p w14:paraId="53617B9F" w14:textId="77777777" w:rsidR="00686DFE" w:rsidRPr="00CE5D9A" w:rsidRDefault="006A21EE" w:rsidP="006A21EE">
            <w:pPr>
              <w:spacing w:after="0" w:line="240" w:lineRule="auto"/>
              <w:jc w:val="right"/>
              <w:rPr>
                <w:rFonts w:ascii="Times New Roman" w:hAnsi="Times New Roman"/>
                <w:b/>
                <w:bCs/>
                <w:sz w:val="20"/>
                <w:szCs w:val="20"/>
                <w:highlight w:val="yellow"/>
              </w:rPr>
            </w:pPr>
            <w:r w:rsidRPr="00CE5D9A">
              <w:rPr>
                <w:rFonts w:ascii="Times New Roman" w:hAnsi="Times New Roman"/>
                <w:sz w:val="20"/>
                <w:szCs w:val="20"/>
              </w:rPr>
              <w:t xml:space="preserve">5 329 586    </w:t>
            </w:r>
          </w:p>
        </w:tc>
      </w:tr>
      <w:tr w:rsidR="00686DFE" w:rsidRPr="00CE5D9A" w14:paraId="5850484A" w14:textId="77777777" w:rsidTr="00ED6C99">
        <w:trPr>
          <w:trHeight w:val="1015"/>
        </w:trPr>
        <w:tc>
          <w:tcPr>
            <w:tcW w:w="2038" w:type="dxa"/>
            <w:shd w:val="clear" w:color="auto" w:fill="auto"/>
            <w:vAlign w:val="center"/>
          </w:tcPr>
          <w:p w14:paraId="215A2522" w14:textId="77777777" w:rsidR="00686DFE" w:rsidRPr="00CE5D9A" w:rsidRDefault="00686DFE" w:rsidP="00ED6C99">
            <w:pPr>
              <w:spacing w:after="0" w:line="240" w:lineRule="auto"/>
            </w:pPr>
            <w:r w:rsidRPr="00CE5D9A">
              <w:rPr>
                <w:rFonts w:ascii="Times New Roman" w:hAnsi="Times New Roman"/>
                <w:b/>
                <w:bCs/>
                <w:sz w:val="20"/>
                <w:szCs w:val="20"/>
              </w:rPr>
              <w:t>Zarządzanie LSR</w:t>
            </w:r>
            <w:r w:rsidRPr="00CE5D9A">
              <w:rPr>
                <w:rFonts w:ascii="Times New Roman" w:hAnsi="Times New Roman"/>
                <w:sz w:val="20"/>
                <w:szCs w:val="20"/>
              </w:rPr>
              <w:br/>
              <w:t>(art. 34 ust. 1 lit. c rozporządzenia nr 2021/1060)</w:t>
            </w:r>
          </w:p>
        </w:tc>
        <w:tc>
          <w:tcPr>
            <w:tcW w:w="2039" w:type="dxa"/>
            <w:tcBorders>
              <w:top w:val="nil"/>
              <w:left w:val="single" w:sz="4" w:space="0" w:color="auto"/>
              <w:bottom w:val="single" w:sz="4" w:space="0" w:color="auto"/>
              <w:right w:val="single" w:sz="4" w:space="0" w:color="auto"/>
            </w:tcBorders>
            <w:shd w:val="clear" w:color="auto" w:fill="auto"/>
            <w:vAlign w:val="center"/>
          </w:tcPr>
          <w:p w14:paraId="1A4F3E2E" w14:textId="77777777" w:rsidR="00686DFE" w:rsidRPr="00CE5D9A" w:rsidRDefault="00686DFE" w:rsidP="00ED6C99">
            <w:pPr>
              <w:spacing w:after="0" w:line="240" w:lineRule="auto"/>
              <w:jc w:val="right"/>
              <w:rPr>
                <w:rFonts w:ascii="Times New Roman" w:hAnsi="Times New Roman"/>
                <w:sz w:val="20"/>
                <w:szCs w:val="20"/>
              </w:rPr>
            </w:pPr>
            <w:r w:rsidRPr="00CE5D9A">
              <w:rPr>
                <w:rFonts w:ascii="Times New Roman" w:hAnsi="Times New Roman"/>
                <w:sz w:val="20"/>
                <w:szCs w:val="20"/>
              </w:rPr>
              <w:t xml:space="preserve">662 500 </w:t>
            </w:r>
          </w:p>
        </w:tc>
        <w:tc>
          <w:tcPr>
            <w:tcW w:w="2039" w:type="dxa"/>
            <w:tcBorders>
              <w:top w:val="nil"/>
              <w:left w:val="nil"/>
              <w:bottom w:val="single" w:sz="4" w:space="0" w:color="auto"/>
              <w:right w:val="single" w:sz="4" w:space="0" w:color="auto"/>
            </w:tcBorders>
            <w:shd w:val="clear" w:color="auto" w:fill="auto"/>
            <w:vAlign w:val="center"/>
          </w:tcPr>
          <w:p w14:paraId="6D11205B" w14:textId="77777777" w:rsidR="00686DF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 xml:space="preserve">115 530    </w:t>
            </w:r>
          </w:p>
        </w:tc>
        <w:tc>
          <w:tcPr>
            <w:tcW w:w="2039" w:type="dxa"/>
            <w:tcBorders>
              <w:top w:val="nil"/>
              <w:left w:val="nil"/>
              <w:bottom w:val="single" w:sz="4" w:space="0" w:color="auto"/>
              <w:right w:val="single" w:sz="4" w:space="0" w:color="auto"/>
            </w:tcBorders>
            <w:shd w:val="clear" w:color="auto" w:fill="auto"/>
            <w:vAlign w:val="center"/>
          </w:tcPr>
          <w:p w14:paraId="4513455C" w14:textId="77777777" w:rsidR="00686DF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 xml:space="preserve">115 530    </w:t>
            </w:r>
          </w:p>
        </w:tc>
        <w:tc>
          <w:tcPr>
            <w:tcW w:w="2039" w:type="dxa"/>
            <w:tcBorders>
              <w:top w:val="nil"/>
              <w:left w:val="nil"/>
              <w:bottom w:val="single" w:sz="4" w:space="0" w:color="auto"/>
              <w:right w:val="single" w:sz="4" w:space="0" w:color="auto"/>
            </w:tcBorders>
            <w:shd w:val="clear" w:color="auto" w:fill="auto"/>
            <w:vAlign w:val="center"/>
          </w:tcPr>
          <w:p w14:paraId="0F58AF78" w14:textId="77777777" w:rsidR="00686DFE" w:rsidRPr="00CE5D9A" w:rsidRDefault="00686DFE" w:rsidP="006A21EE">
            <w:pPr>
              <w:spacing w:after="0" w:line="240" w:lineRule="auto"/>
              <w:jc w:val="right"/>
              <w:rPr>
                <w:rFonts w:ascii="Times New Roman" w:hAnsi="Times New Roman"/>
                <w:b/>
                <w:bCs/>
                <w:sz w:val="20"/>
                <w:szCs w:val="20"/>
                <w:highlight w:val="yellow"/>
              </w:rPr>
            </w:pPr>
            <w:r w:rsidRPr="00CE5D9A">
              <w:rPr>
                <w:rFonts w:ascii="Times New Roman" w:hAnsi="Times New Roman"/>
                <w:sz w:val="20"/>
                <w:szCs w:val="20"/>
              </w:rPr>
              <w:t xml:space="preserve"> 8</w:t>
            </w:r>
            <w:r w:rsidR="006A21EE" w:rsidRPr="00CE5D9A">
              <w:rPr>
                <w:rFonts w:ascii="Times New Roman" w:hAnsi="Times New Roman"/>
                <w:sz w:val="20"/>
                <w:szCs w:val="20"/>
              </w:rPr>
              <w:t>93 560</w:t>
            </w:r>
            <w:r w:rsidRPr="00CE5D9A">
              <w:rPr>
                <w:rFonts w:ascii="Times New Roman" w:hAnsi="Times New Roman"/>
                <w:sz w:val="20"/>
                <w:szCs w:val="20"/>
              </w:rPr>
              <w:t xml:space="preserve"> </w:t>
            </w:r>
          </w:p>
        </w:tc>
      </w:tr>
      <w:tr w:rsidR="006A21EE" w:rsidRPr="00CE5D9A" w14:paraId="146C68D4" w14:textId="77777777" w:rsidTr="006A21EE">
        <w:trPr>
          <w:trHeight w:val="920"/>
        </w:trPr>
        <w:tc>
          <w:tcPr>
            <w:tcW w:w="2038" w:type="dxa"/>
            <w:shd w:val="clear" w:color="auto" w:fill="auto"/>
            <w:vAlign w:val="center"/>
          </w:tcPr>
          <w:p w14:paraId="1AF2137B" w14:textId="77777777" w:rsidR="006A21EE" w:rsidRPr="00CE5D9A" w:rsidRDefault="006A21EE" w:rsidP="00ED6C99">
            <w:pPr>
              <w:spacing w:after="0" w:line="240" w:lineRule="auto"/>
              <w:rPr>
                <w:rFonts w:ascii="Times New Roman" w:hAnsi="Times New Roman"/>
                <w:b/>
                <w:bCs/>
                <w:sz w:val="20"/>
                <w:szCs w:val="20"/>
              </w:rPr>
            </w:pPr>
            <w:r w:rsidRPr="00CE5D9A">
              <w:rPr>
                <w:rFonts w:ascii="Times New Roman" w:hAnsi="Times New Roman"/>
                <w:b/>
                <w:bCs/>
                <w:iCs/>
                <w:sz w:val="20"/>
                <w:szCs w:val="20"/>
              </w:rPr>
              <w:t>Razem</w:t>
            </w:r>
          </w:p>
        </w:tc>
        <w:tc>
          <w:tcPr>
            <w:tcW w:w="2039" w:type="dxa"/>
            <w:tcBorders>
              <w:top w:val="nil"/>
              <w:left w:val="single" w:sz="4" w:space="0" w:color="auto"/>
              <w:bottom w:val="single" w:sz="4" w:space="0" w:color="auto"/>
              <w:right w:val="single" w:sz="4" w:space="0" w:color="auto"/>
            </w:tcBorders>
            <w:shd w:val="clear" w:color="auto" w:fill="auto"/>
            <w:vAlign w:val="center"/>
          </w:tcPr>
          <w:p w14:paraId="53E20BEE" w14:textId="77777777" w:rsidR="006A21E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b/>
                <w:bCs/>
                <w:sz w:val="20"/>
                <w:szCs w:val="20"/>
              </w:rPr>
              <w:t xml:space="preserve">3 912 500 </w:t>
            </w:r>
          </w:p>
        </w:tc>
        <w:tc>
          <w:tcPr>
            <w:tcW w:w="2039" w:type="dxa"/>
            <w:tcBorders>
              <w:top w:val="nil"/>
              <w:left w:val="nil"/>
              <w:bottom w:val="single" w:sz="4" w:space="0" w:color="auto"/>
              <w:right w:val="single" w:sz="4" w:space="0" w:color="auto"/>
            </w:tcBorders>
            <w:shd w:val="clear" w:color="auto" w:fill="auto"/>
            <w:vAlign w:val="center"/>
          </w:tcPr>
          <w:p w14:paraId="21F096C9" w14:textId="77777777" w:rsidR="006A21E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1 540 433</w:t>
            </w:r>
          </w:p>
        </w:tc>
        <w:tc>
          <w:tcPr>
            <w:tcW w:w="2039" w:type="dxa"/>
            <w:tcBorders>
              <w:top w:val="nil"/>
              <w:left w:val="nil"/>
              <w:bottom w:val="single" w:sz="4" w:space="0" w:color="auto"/>
              <w:right w:val="single" w:sz="4" w:space="0" w:color="auto"/>
            </w:tcBorders>
            <w:shd w:val="clear" w:color="auto" w:fill="auto"/>
            <w:vAlign w:val="center"/>
          </w:tcPr>
          <w:p w14:paraId="25D55106" w14:textId="77777777" w:rsidR="006A21EE" w:rsidRPr="00CE5D9A" w:rsidRDefault="006A21EE" w:rsidP="006A21EE">
            <w:pPr>
              <w:spacing w:after="0" w:line="240" w:lineRule="auto"/>
              <w:jc w:val="right"/>
              <w:rPr>
                <w:rFonts w:ascii="Times New Roman" w:hAnsi="Times New Roman"/>
                <w:sz w:val="20"/>
                <w:szCs w:val="20"/>
              </w:rPr>
            </w:pPr>
            <w:r w:rsidRPr="00CE5D9A">
              <w:rPr>
                <w:rFonts w:ascii="Times New Roman" w:hAnsi="Times New Roman"/>
                <w:sz w:val="20"/>
                <w:szCs w:val="20"/>
              </w:rPr>
              <w:t>770 213</w:t>
            </w:r>
          </w:p>
        </w:tc>
        <w:tc>
          <w:tcPr>
            <w:tcW w:w="2039" w:type="dxa"/>
            <w:tcBorders>
              <w:top w:val="nil"/>
              <w:left w:val="nil"/>
              <w:bottom w:val="single" w:sz="4" w:space="0" w:color="auto"/>
              <w:right w:val="single" w:sz="4" w:space="0" w:color="auto"/>
            </w:tcBorders>
            <w:shd w:val="clear" w:color="auto" w:fill="auto"/>
            <w:vAlign w:val="center"/>
          </w:tcPr>
          <w:p w14:paraId="039208E8" w14:textId="77777777" w:rsidR="006A21EE" w:rsidRPr="00CE5D9A" w:rsidRDefault="006A21EE" w:rsidP="00ED6C99">
            <w:pPr>
              <w:spacing w:after="0" w:line="240" w:lineRule="auto"/>
              <w:jc w:val="right"/>
              <w:rPr>
                <w:rFonts w:ascii="Times New Roman" w:hAnsi="Times New Roman"/>
                <w:b/>
                <w:bCs/>
                <w:sz w:val="20"/>
                <w:szCs w:val="20"/>
              </w:rPr>
            </w:pPr>
            <w:r w:rsidRPr="00CE5D9A">
              <w:rPr>
                <w:rFonts w:ascii="Times New Roman" w:hAnsi="Times New Roman"/>
                <w:b/>
                <w:bCs/>
                <w:sz w:val="20"/>
                <w:szCs w:val="20"/>
              </w:rPr>
              <w:t xml:space="preserve">6 223 146 </w:t>
            </w:r>
          </w:p>
        </w:tc>
      </w:tr>
    </w:tbl>
    <w:p w14:paraId="1DFE3781"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3CA402F7" w14:textId="77777777" w:rsidR="00686DFE" w:rsidRPr="00CE5D9A" w:rsidRDefault="00686DFE">
      <w:pPr>
        <w:jc w:val="center"/>
        <w:rPr>
          <w:rFonts w:ascii="Times New Roman" w:hAnsi="Times New Roman"/>
          <w:i/>
          <w:iCs/>
          <w:sz w:val="20"/>
          <w:szCs w:val="20"/>
        </w:rPr>
        <w:sectPr w:rsidR="00686DFE" w:rsidRPr="00CE5D9A" w:rsidSect="00FD0A02">
          <w:headerReference w:type="first" r:id="rId27"/>
          <w:pgSz w:w="11906" w:h="16838"/>
          <w:pgMar w:top="851" w:right="851" w:bottom="851" w:left="851" w:header="709" w:footer="709" w:gutter="0"/>
          <w:cols w:space="708"/>
          <w:docGrid w:linePitch="360"/>
        </w:sectPr>
      </w:pPr>
    </w:p>
    <w:p w14:paraId="7B1292EC" w14:textId="77777777" w:rsidR="00686DFE" w:rsidRPr="00CE5D9A" w:rsidRDefault="00686DFE">
      <w:pPr>
        <w:spacing w:line="276" w:lineRule="auto"/>
        <w:ind w:left="360"/>
        <w:jc w:val="both"/>
        <w:rPr>
          <w:rFonts w:ascii="Times New Roman" w:hAnsi="Times New Roman"/>
          <w:b/>
          <w:bCs/>
        </w:rPr>
      </w:pPr>
      <w:r w:rsidRPr="00CE5D9A">
        <w:rPr>
          <w:rFonts w:ascii="Times New Roman" w:hAnsi="Times New Roman"/>
          <w:b/>
          <w:bCs/>
        </w:rPr>
        <w:lastRenderedPageBreak/>
        <w:t>Załącznik nr 4 Plan wykorzystania budżetu</w:t>
      </w:r>
    </w:p>
    <w:tbl>
      <w:tblPr>
        <w:tblW w:w="5000" w:type="pct"/>
        <w:tblLayout w:type="fixed"/>
        <w:tblCellMar>
          <w:left w:w="70" w:type="dxa"/>
          <w:right w:w="70" w:type="dxa"/>
        </w:tblCellMar>
        <w:tblLook w:val="0000" w:firstRow="0" w:lastRow="0" w:firstColumn="0" w:lastColumn="0" w:noHBand="0" w:noVBand="0"/>
      </w:tblPr>
      <w:tblGrid>
        <w:gridCol w:w="780"/>
        <w:gridCol w:w="853"/>
        <w:gridCol w:w="1133"/>
        <w:gridCol w:w="849"/>
        <w:gridCol w:w="1133"/>
        <w:gridCol w:w="993"/>
        <w:gridCol w:w="1133"/>
        <w:gridCol w:w="1274"/>
        <w:gridCol w:w="1115"/>
        <w:gridCol w:w="1014"/>
        <w:gridCol w:w="993"/>
        <w:gridCol w:w="990"/>
        <w:gridCol w:w="1137"/>
        <w:gridCol w:w="849"/>
        <w:gridCol w:w="1030"/>
      </w:tblGrid>
      <w:tr w:rsidR="00686DFE" w:rsidRPr="00CE5D9A" w14:paraId="3CCED4E1" w14:textId="77777777" w:rsidTr="005C3937">
        <w:trPr>
          <w:trHeight w:val="443"/>
        </w:trPr>
        <w:tc>
          <w:tcPr>
            <w:tcW w:w="2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29B55BB" w14:textId="77777777" w:rsidR="00686DFE" w:rsidRPr="00CE5D9A" w:rsidRDefault="00686DFE">
            <w:pPr>
              <w:spacing w:after="0" w:line="240" w:lineRule="auto"/>
              <w:jc w:val="center"/>
              <w:rPr>
                <w:rFonts w:ascii="Times New Roman" w:eastAsia="Times New Roman" w:hAnsi="Times New Roman"/>
                <w:b/>
                <w:bCs/>
                <w:sz w:val="18"/>
                <w:szCs w:val="18"/>
                <w:lang w:eastAsia="pl-PL"/>
              </w:rPr>
            </w:pPr>
            <w:r w:rsidRPr="00CE5D9A">
              <w:rPr>
                <w:rFonts w:ascii="Times New Roman" w:eastAsia="Times New Roman" w:hAnsi="Times New Roman"/>
                <w:b/>
                <w:bCs/>
                <w:sz w:val="18"/>
                <w:szCs w:val="18"/>
                <w:lang w:eastAsia="pl-PL"/>
              </w:rPr>
              <w:t>fundusz</w:t>
            </w:r>
          </w:p>
        </w:tc>
        <w:tc>
          <w:tcPr>
            <w:tcW w:w="4745" w:type="pct"/>
            <w:gridSpan w:val="14"/>
            <w:tcBorders>
              <w:top w:val="single" w:sz="4" w:space="0" w:color="auto"/>
              <w:left w:val="nil"/>
              <w:bottom w:val="single" w:sz="4" w:space="0" w:color="auto"/>
              <w:right w:val="single" w:sz="4" w:space="0" w:color="auto"/>
            </w:tcBorders>
            <w:shd w:val="clear" w:color="000000" w:fill="FFFFFF"/>
            <w:vAlign w:val="center"/>
          </w:tcPr>
          <w:p w14:paraId="6C34B348" w14:textId="77777777" w:rsidR="00686DFE" w:rsidRPr="00CE5D9A" w:rsidRDefault="00686DFE">
            <w:pPr>
              <w:spacing w:after="0" w:line="240" w:lineRule="auto"/>
              <w:jc w:val="center"/>
              <w:rPr>
                <w:rFonts w:ascii="Times New Roman" w:eastAsia="Times New Roman" w:hAnsi="Times New Roman"/>
                <w:b/>
                <w:bCs/>
                <w:lang w:eastAsia="pl-PL"/>
              </w:rPr>
            </w:pPr>
            <w:r w:rsidRPr="00CE5D9A">
              <w:rPr>
                <w:rFonts w:ascii="Times New Roman" w:eastAsia="Times New Roman" w:hAnsi="Times New Roman"/>
                <w:b/>
                <w:bCs/>
                <w:lang w:eastAsia="pl-PL"/>
              </w:rPr>
              <w:t>Środki zakontraktowane w Euro do:</w:t>
            </w:r>
          </w:p>
        </w:tc>
      </w:tr>
      <w:tr w:rsidR="005C3937" w:rsidRPr="00CE5D9A" w14:paraId="71718489" w14:textId="77777777" w:rsidTr="005C3937">
        <w:trPr>
          <w:trHeight w:val="443"/>
        </w:trPr>
        <w:tc>
          <w:tcPr>
            <w:tcW w:w="25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5C9A22A" w14:textId="77777777" w:rsidR="00686DFE" w:rsidRPr="00CE5D9A" w:rsidRDefault="00686DFE">
            <w:pPr>
              <w:spacing w:after="0" w:line="240" w:lineRule="auto"/>
              <w:rPr>
                <w:rFonts w:ascii="Times New Roman" w:eastAsia="Times New Roman" w:hAnsi="Times New Roman"/>
                <w:b/>
                <w:bCs/>
                <w:sz w:val="18"/>
                <w:szCs w:val="18"/>
                <w:lang w:eastAsia="pl-PL"/>
              </w:rPr>
            </w:pP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14:paraId="035F0AB7"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2024-12-31</w:t>
            </w:r>
          </w:p>
        </w:tc>
        <w:tc>
          <w:tcPr>
            <w:tcW w:w="649" w:type="pct"/>
            <w:gridSpan w:val="2"/>
            <w:tcBorders>
              <w:top w:val="single" w:sz="4" w:space="0" w:color="auto"/>
              <w:left w:val="nil"/>
              <w:bottom w:val="single" w:sz="4" w:space="0" w:color="auto"/>
              <w:right w:val="single" w:sz="4" w:space="0" w:color="auto"/>
            </w:tcBorders>
            <w:shd w:val="clear" w:color="000000" w:fill="FFFFFF"/>
            <w:vAlign w:val="center"/>
          </w:tcPr>
          <w:p w14:paraId="702ABFB5"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2025-12-31</w:t>
            </w:r>
          </w:p>
        </w:tc>
        <w:tc>
          <w:tcPr>
            <w:tcW w:w="696" w:type="pct"/>
            <w:gridSpan w:val="2"/>
            <w:tcBorders>
              <w:top w:val="single" w:sz="4" w:space="0" w:color="auto"/>
              <w:left w:val="nil"/>
              <w:bottom w:val="single" w:sz="4" w:space="0" w:color="auto"/>
              <w:right w:val="single" w:sz="4" w:space="0" w:color="auto"/>
            </w:tcBorders>
            <w:shd w:val="clear" w:color="000000" w:fill="FFFFFF"/>
            <w:vAlign w:val="center"/>
          </w:tcPr>
          <w:p w14:paraId="3309698E"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2026-06-30</w:t>
            </w:r>
          </w:p>
        </w:tc>
        <w:tc>
          <w:tcPr>
            <w:tcW w:w="782" w:type="pct"/>
            <w:gridSpan w:val="2"/>
            <w:tcBorders>
              <w:top w:val="single" w:sz="4" w:space="0" w:color="auto"/>
              <w:left w:val="nil"/>
              <w:bottom w:val="single" w:sz="4" w:space="0" w:color="auto"/>
              <w:right w:val="single" w:sz="4" w:space="0" w:color="auto"/>
            </w:tcBorders>
            <w:shd w:val="clear" w:color="000000" w:fill="FFFFFF"/>
            <w:vAlign w:val="center"/>
          </w:tcPr>
          <w:p w14:paraId="0B234E85"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2026-12-31</w:t>
            </w:r>
          </w:p>
        </w:tc>
        <w:tc>
          <w:tcPr>
            <w:tcW w:w="657" w:type="pct"/>
            <w:gridSpan w:val="2"/>
            <w:tcBorders>
              <w:top w:val="single" w:sz="4" w:space="0" w:color="auto"/>
              <w:left w:val="nil"/>
              <w:bottom w:val="single" w:sz="4" w:space="0" w:color="auto"/>
              <w:right w:val="single" w:sz="4" w:space="0" w:color="auto"/>
            </w:tcBorders>
            <w:shd w:val="clear" w:color="000000" w:fill="FFFFFF"/>
            <w:vAlign w:val="center"/>
          </w:tcPr>
          <w:p w14:paraId="6488074D"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2027-12-31</w:t>
            </w:r>
          </w:p>
        </w:tc>
        <w:tc>
          <w:tcPr>
            <w:tcW w:w="696" w:type="pct"/>
            <w:gridSpan w:val="2"/>
            <w:tcBorders>
              <w:top w:val="single" w:sz="4" w:space="0" w:color="auto"/>
              <w:left w:val="nil"/>
              <w:bottom w:val="single" w:sz="4" w:space="0" w:color="auto"/>
              <w:right w:val="single" w:sz="4" w:space="0" w:color="auto"/>
            </w:tcBorders>
            <w:shd w:val="clear" w:color="000000" w:fill="FFFFFF"/>
            <w:vAlign w:val="center"/>
          </w:tcPr>
          <w:p w14:paraId="518CFDA6"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2028-12-31</w:t>
            </w:r>
          </w:p>
        </w:tc>
        <w:tc>
          <w:tcPr>
            <w:tcW w:w="615" w:type="pct"/>
            <w:gridSpan w:val="2"/>
            <w:tcBorders>
              <w:top w:val="single" w:sz="4" w:space="0" w:color="auto"/>
              <w:left w:val="nil"/>
              <w:bottom w:val="single" w:sz="4" w:space="0" w:color="auto"/>
              <w:right w:val="single" w:sz="4" w:space="0" w:color="auto"/>
            </w:tcBorders>
            <w:shd w:val="clear" w:color="000000" w:fill="FFFFFF"/>
            <w:vAlign w:val="center"/>
          </w:tcPr>
          <w:p w14:paraId="28EB99A1" w14:textId="77777777" w:rsidR="00686DFE" w:rsidRPr="00CE5D9A" w:rsidRDefault="00686DFE">
            <w:pPr>
              <w:spacing w:after="0" w:line="240" w:lineRule="auto"/>
              <w:jc w:val="center"/>
              <w:rPr>
                <w:rFonts w:ascii="Times New Roman" w:eastAsia="Times New Roman" w:hAnsi="Times New Roman"/>
                <w:sz w:val="18"/>
                <w:szCs w:val="18"/>
                <w:lang w:eastAsia="pl-PL"/>
              </w:rPr>
            </w:pPr>
            <w:r w:rsidRPr="00CE5D9A">
              <w:rPr>
                <w:rFonts w:ascii="Times New Roman" w:eastAsia="Times New Roman" w:hAnsi="Times New Roman"/>
                <w:sz w:val="18"/>
                <w:szCs w:val="18"/>
                <w:lang w:eastAsia="pl-PL"/>
              </w:rPr>
              <w:t>2029-12-31</w:t>
            </w:r>
          </w:p>
        </w:tc>
      </w:tr>
      <w:tr w:rsidR="005C3937" w:rsidRPr="00CE5D9A" w14:paraId="6C44C33B" w14:textId="77777777" w:rsidTr="005C3937">
        <w:trPr>
          <w:trHeight w:val="1238"/>
        </w:trPr>
        <w:tc>
          <w:tcPr>
            <w:tcW w:w="255" w:type="pct"/>
            <w:vMerge/>
            <w:tcBorders>
              <w:top w:val="single" w:sz="4" w:space="0" w:color="auto"/>
              <w:left w:val="single" w:sz="4" w:space="0" w:color="auto"/>
              <w:bottom w:val="single" w:sz="4" w:space="0" w:color="auto"/>
              <w:right w:val="single" w:sz="4" w:space="0" w:color="auto"/>
            </w:tcBorders>
            <w:vAlign w:val="center"/>
          </w:tcPr>
          <w:p w14:paraId="2AF66DD0" w14:textId="77777777" w:rsidR="00686DFE" w:rsidRPr="00CE5D9A" w:rsidRDefault="00686DFE">
            <w:pPr>
              <w:spacing w:after="0" w:line="240" w:lineRule="auto"/>
              <w:rPr>
                <w:rFonts w:ascii="Times New Roman" w:eastAsia="Times New Roman" w:hAnsi="Times New Roman"/>
                <w:b/>
                <w:bCs/>
                <w:sz w:val="18"/>
                <w:szCs w:val="18"/>
                <w:lang w:eastAsia="pl-PL"/>
              </w:rPr>
            </w:pPr>
          </w:p>
        </w:tc>
        <w:tc>
          <w:tcPr>
            <w:tcW w:w="279" w:type="pct"/>
            <w:tcBorders>
              <w:top w:val="nil"/>
              <w:left w:val="nil"/>
              <w:bottom w:val="single" w:sz="4" w:space="0" w:color="auto"/>
              <w:right w:val="single" w:sz="4" w:space="0" w:color="auto"/>
            </w:tcBorders>
            <w:vAlign w:val="center"/>
          </w:tcPr>
          <w:p w14:paraId="4ADF89B9"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71" w:type="pct"/>
            <w:tcBorders>
              <w:top w:val="nil"/>
              <w:left w:val="nil"/>
              <w:bottom w:val="single" w:sz="4" w:space="0" w:color="auto"/>
              <w:right w:val="single" w:sz="4" w:space="0" w:color="auto"/>
            </w:tcBorders>
            <w:vAlign w:val="center"/>
          </w:tcPr>
          <w:p w14:paraId="7CB34AC8"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278" w:type="pct"/>
            <w:tcBorders>
              <w:top w:val="nil"/>
              <w:left w:val="nil"/>
              <w:bottom w:val="single" w:sz="4" w:space="0" w:color="auto"/>
              <w:right w:val="single" w:sz="4" w:space="0" w:color="auto"/>
            </w:tcBorders>
            <w:vAlign w:val="center"/>
          </w:tcPr>
          <w:p w14:paraId="0548CCED"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71" w:type="pct"/>
            <w:tcBorders>
              <w:top w:val="nil"/>
              <w:left w:val="nil"/>
              <w:bottom w:val="single" w:sz="4" w:space="0" w:color="auto"/>
              <w:right w:val="single" w:sz="4" w:space="0" w:color="auto"/>
            </w:tcBorders>
            <w:vAlign w:val="center"/>
          </w:tcPr>
          <w:p w14:paraId="54EA53B9"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325" w:type="pct"/>
            <w:tcBorders>
              <w:top w:val="nil"/>
              <w:left w:val="nil"/>
              <w:bottom w:val="single" w:sz="4" w:space="0" w:color="auto"/>
              <w:right w:val="single" w:sz="4" w:space="0" w:color="auto"/>
            </w:tcBorders>
            <w:vAlign w:val="center"/>
          </w:tcPr>
          <w:p w14:paraId="3C9ABFD1"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71" w:type="pct"/>
            <w:tcBorders>
              <w:top w:val="nil"/>
              <w:left w:val="nil"/>
              <w:bottom w:val="single" w:sz="4" w:space="0" w:color="auto"/>
              <w:right w:val="single" w:sz="4" w:space="0" w:color="auto"/>
            </w:tcBorders>
            <w:vAlign w:val="center"/>
          </w:tcPr>
          <w:p w14:paraId="17BD8613"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417" w:type="pct"/>
            <w:tcBorders>
              <w:top w:val="nil"/>
              <w:left w:val="nil"/>
              <w:bottom w:val="single" w:sz="4" w:space="0" w:color="auto"/>
              <w:right w:val="single" w:sz="4" w:space="0" w:color="auto"/>
            </w:tcBorders>
            <w:vAlign w:val="center"/>
          </w:tcPr>
          <w:p w14:paraId="5CCD55E0"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65" w:type="pct"/>
            <w:tcBorders>
              <w:top w:val="nil"/>
              <w:left w:val="nil"/>
              <w:bottom w:val="single" w:sz="4" w:space="0" w:color="auto"/>
              <w:right w:val="single" w:sz="4" w:space="0" w:color="auto"/>
            </w:tcBorders>
            <w:vAlign w:val="center"/>
          </w:tcPr>
          <w:p w14:paraId="4C645D72"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332" w:type="pct"/>
            <w:tcBorders>
              <w:top w:val="nil"/>
              <w:left w:val="nil"/>
              <w:bottom w:val="single" w:sz="4" w:space="0" w:color="auto"/>
              <w:right w:val="single" w:sz="4" w:space="0" w:color="auto"/>
            </w:tcBorders>
            <w:vAlign w:val="center"/>
          </w:tcPr>
          <w:p w14:paraId="4161CDE8"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25" w:type="pct"/>
            <w:tcBorders>
              <w:top w:val="nil"/>
              <w:left w:val="nil"/>
              <w:bottom w:val="single" w:sz="4" w:space="0" w:color="auto"/>
              <w:right w:val="single" w:sz="4" w:space="0" w:color="auto"/>
            </w:tcBorders>
            <w:vAlign w:val="center"/>
          </w:tcPr>
          <w:p w14:paraId="602521E9"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324" w:type="pct"/>
            <w:tcBorders>
              <w:top w:val="nil"/>
              <w:left w:val="nil"/>
              <w:bottom w:val="single" w:sz="4" w:space="0" w:color="auto"/>
              <w:right w:val="single" w:sz="4" w:space="0" w:color="auto"/>
            </w:tcBorders>
            <w:vAlign w:val="center"/>
          </w:tcPr>
          <w:p w14:paraId="0B92BF50"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72" w:type="pct"/>
            <w:tcBorders>
              <w:top w:val="nil"/>
              <w:left w:val="nil"/>
              <w:bottom w:val="single" w:sz="4" w:space="0" w:color="auto"/>
              <w:right w:val="single" w:sz="4" w:space="0" w:color="auto"/>
            </w:tcBorders>
            <w:vAlign w:val="center"/>
          </w:tcPr>
          <w:p w14:paraId="17C22779"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c>
          <w:tcPr>
            <w:tcW w:w="278" w:type="pct"/>
            <w:tcBorders>
              <w:top w:val="nil"/>
              <w:left w:val="nil"/>
              <w:bottom w:val="single" w:sz="4" w:space="0" w:color="auto"/>
              <w:right w:val="single" w:sz="4" w:space="0" w:color="auto"/>
            </w:tcBorders>
            <w:vAlign w:val="center"/>
          </w:tcPr>
          <w:p w14:paraId="0E710468" w14:textId="77777777" w:rsidR="00686DFE" w:rsidRPr="00CE5D9A" w:rsidRDefault="00686DFE">
            <w:pPr>
              <w:spacing w:after="0" w:line="240" w:lineRule="auto"/>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Kwota ogółem (UE+ krajowe)</w:t>
            </w:r>
          </w:p>
        </w:tc>
        <w:tc>
          <w:tcPr>
            <w:tcW w:w="337" w:type="pct"/>
            <w:tcBorders>
              <w:top w:val="nil"/>
              <w:left w:val="nil"/>
              <w:bottom w:val="single" w:sz="4" w:space="0" w:color="auto"/>
              <w:right w:val="single" w:sz="4" w:space="0" w:color="auto"/>
            </w:tcBorders>
            <w:vAlign w:val="center"/>
          </w:tcPr>
          <w:p w14:paraId="20C2CD25" w14:textId="77777777" w:rsidR="00686DFE" w:rsidRPr="00CE5D9A" w:rsidRDefault="00686DFE" w:rsidP="005C3937">
            <w:pPr>
              <w:spacing w:after="0" w:line="240" w:lineRule="auto"/>
              <w:ind w:left="-38" w:right="-69"/>
              <w:jc w:val="center"/>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 wykorzystania budżetu LSR</w:t>
            </w:r>
          </w:p>
        </w:tc>
      </w:tr>
      <w:tr w:rsidR="0012101B" w:rsidRPr="00CE5D9A" w14:paraId="63978319" w14:textId="77777777" w:rsidTr="00FC3D80">
        <w:trPr>
          <w:trHeight w:val="720"/>
        </w:trPr>
        <w:tc>
          <w:tcPr>
            <w:tcW w:w="255" w:type="pct"/>
            <w:tcBorders>
              <w:top w:val="nil"/>
              <w:left w:val="single" w:sz="4" w:space="0" w:color="auto"/>
              <w:bottom w:val="single" w:sz="4" w:space="0" w:color="auto"/>
              <w:right w:val="single" w:sz="4" w:space="0" w:color="auto"/>
            </w:tcBorders>
            <w:shd w:val="clear" w:color="000000" w:fill="FFFFFF"/>
            <w:vAlign w:val="center"/>
          </w:tcPr>
          <w:p w14:paraId="25029084" w14:textId="77777777" w:rsidR="0012101B" w:rsidRPr="00CE5D9A" w:rsidRDefault="0012101B" w:rsidP="0012101B">
            <w:pPr>
              <w:spacing w:after="0" w:line="240" w:lineRule="auto"/>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EFROW</w:t>
            </w:r>
          </w:p>
        </w:tc>
        <w:tc>
          <w:tcPr>
            <w:tcW w:w="279" w:type="pct"/>
            <w:tcBorders>
              <w:top w:val="nil"/>
              <w:left w:val="nil"/>
              <w:bottom w:val="single" w:sz="4" w:space="0" w:color="auto"/>
              <w:right w:val="single" w:sz="4" w:space="0" w:color="auto"/>
            </w:tcBorders>
            <w:vAlign w:val="center"/>
          </w:tcPr>
          <w:p w14:paraId="6E6EE8F3"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0   </w:t>
            </w:r>
          </w:p>
        </w:tc>
        <w:tc>
          <w:tcPr>
            <w:tcW w:w="371" w:type="pct"/>
            <w:tcBorders>
              <w:top w:val="nil"/>
              <w:left w:val="nil"/>
              <w:bottom w:val="single" w:sz="4" w:space="0" w:color="auto"/>
              <w:right w:val="single" w:sz="4" w:space="0" w:color="auto"/>
            </w:tcBorders>
            <w:vAlign w:val="center"/>
          </w:tcPr>
          <w:p w14:paraId="2FEB99AE"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0%</w:t>
            </w:r>
          </w:p>
        </w:tc>
        <w:tc>
          <w:tcPr>
            <w:tcW w:w="278" w:type="pct"/>
            <w:tcBorders>
              <w:top w:val="nil"/>
              <w:left w:val="nil"/>
              <w:bottom w:val="single" w:sz="4" w:space="0" w:color="auto"/>
              <w:right w:val="single" w:sz="4" w:space="0" w:color="auto"/>
            </w:tcBorders>
            <w:vAlign w:val="center"/>
          </w:tcPr>
          <w:p w14:paraId="7C737529" w14:textId="655B0C66" w:rsidR="0012101B" w:rsidRPr="00CE5D9A" w:rsidRDefault="0012101B" w:rsidP="00335646">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1 </w:t>
            </w:r>
            <w:r w:rsidR="00335646" w:rsidRPr="00CE5D9A">
              <w:rPr>
                <w:rFonts w:ascii="Times New Roman" w:eastAsia="Times New Roman" w:hAnsi="Times New Roman"/>
                <w:sz w:val="16"/>
                <w:szCs w:val="16"/>
                <w:lang w:eastAsia="pl-PL"/>
              </w:rPr>
              <w:t>205</w:t>
            </w:r>
            <w:r w:rsidRPr="00CE5D9A">
              <w:rPr>
                <w:rFonts w:ascii="Times New Roman" w:eastAsia="Times New Roman" w:hAnsi="Times New Roman"/>
                <w:sz w:val="16"/>
                <w:szCs w:val="16"/>
                <w:lang w:eastAsia="pl-PL"/>
              </w:rPr>
              <w:t xml:space="preserve"> 000</w:t>
            </w:r>
          </w:p>
        </w:tc>
        <w:tc>
          <w:tcPr>
            <w:tcW w:w="371" w:type="pct"/>
            <w:tcBorders>
              <w:top w:val="nil"/>
              <w:left w:val="nil"/>
              <w:bottom w:val="single" w:sz="4" w:space="0" w:color="auto"/>
              <w:right w:val="single" w:sz="4" w:space="0" w:color="auto"/>
            </w:tcBorders>
            <w:vAlign w:val="center"/>
          </w:tcPr>
          <w:p w14:paraId="746294A3" w14:textId="36DA3C4B" w:rsidR="0012101B" w:rsidRPr="00CE5D9A" w:rsidRDefault="00335646" w:rsidP="00335646">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37</w:t>
            </w:r>
            <w:r w:rsidR="0012101B" w:rsidRPr="00CE5D9A">
              <w:rPr>
                <w:rFonts w:ascii="Times New Roman" w:eastAsia="Times New Roman" w:hAnsi="Times New Roman"/>
                <w:sz w:val="16"/>
                <w:szCs w:val="16"/>
                <w:lang w:eastAsia="pl-PL"/>
              </w:rPr>
              <w:t>%</w:t>
            </w:r>
          </w:p>
        </w:tc>
        <w:tc>
          <w:tcPr>
            <w:tcW w:w="325" w:type="pct"/>
            <w:tcBorders>
              <w:top w:val="nil"/>
              <w:left w:val="nil"/>
              <w:bottom w:val="single" w:sz="4" w:space="0" w:color="auto"/>
              <w:right w:val="single" w:sz="4" w:space="0" w:color="auto"/>
            </w:tcBorders>
            <w:vAlign w:val="center"/>
          </w:tcPr>
          <w:p w14:paraId="04ED1D0A" w14:textId="261A776D"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1 300 000</w:t>
            </w:r>
          </w:p>
        </w:tc>
        <w:tc>
          <w:tcPr>
            <w:tcW w:w="371" w:type="pct"/>
            <w:tcBorders>
              <w:top w:val="nil"/>
              <w:left w:val="nil"/>
              <w:bottom w:val="single" w:sz="4" w:space="0" w:color="auto"/>
              <w:right w:val="single" w:sz="4" w:space="0" w:color="auto"/>
            </w:tcBorders>
            <w:vAlign w:val="center"/>
          </w:tcPr>
          <w:p w14:paraId="177FCACC" w14:textId="0728FE4E"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40%</w:t>
            </w:r>
          </w:p>
        </w:tc>
        <w:tc>
          <w:tcPr>
            <w:tcW w:w="417" w:type="pct"/>
            <w:tcBorders>
              <w:top w:val="nil"/>
              <w:left w:val="nil"/>
              <w:bottom w:val="single" w:sz="4" w:space="0" w:color="auto"/>
              <w:right w:val="single" w:sz="4" w:space="0" w:color="auto"/>
            </w:tcBorders>
            <w:vAlign w:val="center"/>
          </w:tcPr>
          <w:p w14:paraId="1C93B680" w14:textId="50DE9640"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3 250 000</w:t>
            </w:r>
          </w:p>
        </w:tc>
        <w:tc>
          <w:tcPr>
            <w:tcW w:w="365" w:type="pct"/>
            <w:tcBorders>
              <w:top w:val="nil"/>
              <w:left w:val="nil"/>
              <w:bottom w:val="single" w:sz="4" w:space="0" w:color="auto"/>
              <w:right w:val="single" w:sz="4" w:space="0" w:color="auto"/>
            </w:tcBorders>
            <w:vAlign w:val="center"/>
          </w:tcPr>
          <w:p w14:paraId="69CCFD6D"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32" w:type="pct"/>
            <w:tcBorders>
              <w:top w:val="nil"/>
              <w:left w:val="nil"/>
              <w:bottom w:val="single" w:sz="4" w:space="0" w:color="auto"/>
              <w:right w:val="single" w:sz="4" w:space="0" w:color="auto"/>
            </w:tcBorders>
            <w:vAlign w:val="center"/>
          </w:tcPr>
          <w:p w14:paraId="78232FE3" w14:textId="7A5DF148"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3 250 000</w:t>
            </w:r>
          </w:p>
        </w:tc>
        <w:tc>
          <w:tcPr>
            <w:tcW w:w="325" w:type="pct"/>
            <w:tcBorders>
              <w:top w:val="nil"/>
              <w:left w:val="nil"/>
              <w:bottom w:val="single" w:sz="4" w:space="0" w:color="auto"/>
              <w:right w:val="single" w:sz="4" w:space="0" w:color="auto"/>
            </w:tcBorders>
            <w:vAlign w:val="center"/>
          </w:tcPr>
          <w:p w14:paraId="78F109E1" w14:textId="398F68FA"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24" w:type="pct"/>
            <w:tcBorders>
              <w:top w:val="nil"/>
              <w:left w:val="nil"/>
              <w:bottom w:val="single" w:sz="4" w:space="0" w:color="auto"/>
              <w:right w:val="single" w:sz="4" w:space="0" w:color="auto"/>
            </w:tcBorders>
            <w:vAlign w:val="center"/>
          </w:tcPr>
          <w:p w14:paraId="5214E4AA" w14:textId="25B87310"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3 250 000</w:t>
            </w:r>
          </w:p>
        </w:tc>
        <w:tc>
          <w:tcPr>
            <w:tcW w:w="372" w:type="pct"/>
            <w:tcBorders>
              <w:top w:val="nil"/>
              <w:left w:val="nil"/>
              <w:bottom w:val="single" w:sz="4" w:space="0" w:color="auto"/>
              <w:right w:val="single" w:sz="4" w:space="0" w:color="auto"/>
            </w:tcBorders>
            <w:vAlign w:val="center"/>
          </w:tcPr>
          <w:p w14:paraId="06952534" w14:textId="48A69EA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278" w:type="pct"/>
            <w:tcBorders>
              <w:top w:val="nil"/>
              <w:left w:val="nil"/>
              <w:bottom w:val="single" w:sz="4" w:space="0" w:color="auto"/>
              <w:right w:val="single" w:sz="4" w:space="0" w:color="auto"/>
            </w:tcBorders>
            <w:vAlign w:val="center"/>
          </w:tcPr>
          <w:p w14:paraId="22C0EE65" w14:textId="73E90536"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3 250 000</w:t>
            </w:r>
          </w:p>
        </w:tc>
        <w:tc>
          <w:tcPr>
            <w:tcW w:w="337" w:type="pct"/>
            <w:tcBorders>
              <w:top w:val="nil"/>
              <w:left w:val="nil"/>
              <w:bottom w:val="single" w:sz="4" w:space="0" w:color="auto"/>
              <w:right w:val="single" w:sz="4" w:space="0" w:color="auto"/>
            </w:tcBorders>
            <w:shd w:val="clear" w:color="auto" w:fill="auto"/>
            <w:vAlign w:val="center"/>
          </w:tcPr>
          <w:p w14:paraId="5E865C80" w14:textId="59418DE5"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r>
      <w:tr w:rsidR="0012101B" w:rsidRPr="00CE5D9A" w14:paraId="49C29471" w14:textId="77777777" w:rsidTr="00FC3D80">
        <w:trPr>
          <w:trHeight w:val="720"/>
        </w:trPr>
        <w:tc>
          <w:tcPr>
            <w:tcW w:w="255" w:type="pct"/>
            <w:tcBorders>
              <w:top w:val="nil"/>
              <w:left w:val="single" w:sz="4" w:space="0" w:color="auto"/>
              <w:bottom w:val="single" w:sz="4" w:space="0" w:color="auto"/>
              <w:right w:val="single" w:sz="4" w:space="0" w:color="auto"/>
            </w:tcBorders>
            <w:shd w:val="clear" w:color="000000" w:fill="FFFFFF"/>
            <w:vAlign w:val="center"/>
          </w:tcPr>
          <w:p w14:paraId="468D45CD" w14:textId="77777777" w:rsidR="0012101B" w:rsidRPr="00CE5D9A" w:rsidRDefault="0012101B" w:rsidP="0012101B">
            <w:pPr>
              <w:spacing w:after="0" w:line="240" w:lineRule="auto"/>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EFS+</w:t>
            </w:r>
          </w:p>
        </w:tc>
        <w:tc>
          <w:tcPr>
            <w:tcW w:w="279" w:type="pct"/>
            <w:tcBorders>
              <w:top w:val="nil"/>
              <w:left w:val="nil"/>
              <w:bottom w:val="single" w:sz="4" w:space="0" w:color="auto"/>
              <w:right w:val="single" w:sz="4" w:space="0" w:color="auto"/>
            </w:tcBorders>
            <w:shd w:val="clear" w:color="auto" w:fill="auto"/>
            <w:vAlign w:val="center"/>
          </w:tcPr>
          <w:p w14:paraId="34BB9CA5"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0   </w:t>
            </w:r>
          </w:p>
        </w:tc>
        <w:tc>
          <w:tcPr>
            <w:tcW w:w="371" w:type="pct"/>
            <w:tcBorders>
              <w:top w:val="nil"/>
              <w:left w:val="nil"/>
              <w:bottom w:val="single" w:sz="4" w:space="0" w:color="auto"/>
              <w:right w:val="single" w:sz="4" w:space="0" w:color="auto"/>
            </w:tcBorders>
            <w:shd w:val="clear" w:color="auto" w:fill="auto"/>
            <w:vAlign w:val="center"/>
          </w:tcPr>
          <w:p w14:paraId="1C75313F"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0%</w:t>
            </w:r>
          </w:p>
        </w:tc>
        <w:tc>
          <w:tcPr>
            <w:tcW w:w="278" w:type="pct"/>
            <w:tcBorders>
              <w:top w:val="nil"/>
              <w:left w:val="nil"/>
              <w:bottom w:val="single" w:sz="4" w:space="0" w:color="auto"/>
              <w:right w:val="single" w:sz="4" w:space="0" w:color="auto"/>
            </w:tcBorders>
            <w:shd w:val="clear" w:color="auto" w:fill="auto"/>
            <w:vAlign w:val="center"/>
          </w:tcPr>
          <w:p w14:paraId="56EF066B"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0   </w:t>
            </w:r>
          </w:p>
        </w:tc>
        <w:tc>
          <w:tcPr>
            <w:tcW w:w="371" w:type="pct"/>
            <w:tcBorders>
              <w:top w:val="nil"/>
              <w:left w:val="nil"/>
              <w:bottom w:val="single" w:sz="4" w:space="0" w:color="auto"/>
              <w:right w:val="single" w:sz="4" w:space="0" w:color="auto"/>
            </w:tcBorders>
            <w:shd w:val="clear" w:color="auto" w:fill="auto"/>
            <w:vAlign w:val="center"/>
          </w:tcPr>
          <w:p w14:paraId="2AD60A1E"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0%</w:t>
            </w:r>
          </w:p>
        </w:tc>
        <w:tc>
          <w:tcPr>
            <w:tcW w:w="325" w:type="pct"/>
            <w:tcBorders>
              <w:top w:val="nil"/>
              <w:left w:val="nil"/>
              <w:bottom w:val="single" w:sz="4" w:space="0" w:color="auto"/>
              <w:right w:val="single" w:sz="4" w:space="0" w:color="auto"/>
            </w:tcBorders>
            <w:shd w:val="clear" w:color="000000" w:fill="D9D9D9"/>
            <w:vAlign w:val="center"/>
          </w:tcPr>
          <w:p w14:paraId="704EF32B" w14:textId="68CE3BD2"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371" w:type="pct"/>
            <w:tcBorders>
              <w:top w:val="nil"/>
              <w:left w:val="nil"/>
              <w:bottom w:val="single" w:sz="4" w:space="0" w:color="auto"/>
              <w:right w:val="single" w:sz="4" w:space="0" w:color="auto"/>
            </w:tcBorders>
            <w:shd w:val="clear" w:color="000000" w:fill="D9D9D9"/>
            <w:vAlign w:val="center"/>
          </w:tcPr>
          <w:p w14:paraId="1FD3A365" w14:textId="07307391"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417" w:type="pct"/>
            <w:tcBorders>
              <w:top w:val="nil"/>
              <w:left w:val="nil"/>
              <w:bottom w:val="single" w:sz="4" w:space="0" w:color="auto"/>
              <w:right w:val="single" w:sz="4" w:space="0" w:color="auto"/>
            </w:tcBorders>
            <w:vAlign w:val="center"/>
          </w:tcPr>
          <w:p w14:paraId="15302D64" w14:textId="4DC1A4B8"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1 424 903    </w:t>
            </w:r>
          </w:p>
        </w:tc>
        <w:tc>
          <w:tcPr>
            <w:tcW w:w="365" w:type="pct"/>
            <w:tcBorders>
              <w:top w:val="nil"/>
              <w:left w:val="nil"/>
              <w:bottom w:val="single" w:sz="4" w:space="0" w:color="auto"/>
              <w:right w:val="single" w:sz="4" w:space="0" w:color="auto"/>
            </w:tcBorders>
            <w:vAlign w:val="center"/>
          </w:tcPr>
          <w:p w14:paraId="744A04AE"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32" w:type="pct"/>
            <w:tcBorders>
              <w:top w:val="nil"/>
              <w:left w:val="nil"/>
              <w:bottom w:val="single" w:sz="4" w:space="0" w:color="auto"/>
              <w:right w:val="single" w:sz="4" w:space="0" w:color="auto"/>
            </w:tcBorders>
            <w:vAlign w:val="center"/>
          </w:tcPr>
          <w:p w14:paraId="56A27F9F" w14:textId="1EE73A70"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1 424 903    </w:t>
            </w:r>
          </w:p>
        </w:tc>
        <w:tc>
          <w:tcPr>
            <w:tcW w:w="325" w:type="pct"/>
            <w:tcBorders>
              <w:top w:val="nil"/>
              <w:left w:val="nil"/>
              <w:bottom w:val="single" w:sz="4" w:space="0" w:color="auto"/>
              <w:right w:val="single" w:sz="4" w:space="0" w:color="auto"/>
            </w:tcBorders>
            <w:vAlign w:val="center"/>
          </w:tcPr>
          <w:p w14:paraId="3306CCB5" w14:textId="14F72E4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24" w:type="pct"/>
            <w:tcBorders>
              <w:top w:val="nil"/>
              <w:left w:val="nil"/>
              <w:bottom w:val="single" w:sz="4" w:space="0" w:color="auto"/>
              <w:right w:val="single" w:sz="4" w:space="0" w:color="auto"/>
            </w:tcBorders>
            <w:vAlign w:val="center"/>
          </w:tcPr>
          <w:p w14:paraId="26E7FC58" w14:textId="07A8EEBF"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1 424 903    </w:t>
            </w:r>
          </w:p>
        </w:tc>
        <w:tc>
          <w:tcPr>
            <w:tcW w:w="372" w:type="pct"/>
            <w:tcBorders>
              <w:top w:val="nil"/>
              <w:left w:val="nil"/>
              <w:bottom w:val="single" w:sz="4" w:space="0" w:color="auto"/>
              <w:right w:val="single" w:sz="4" w:space="0" w:color="auto"/>
            </w:tcBorders>
            <w:vAlign w:val="center"/>
          </w:tcPr>
          <w:p w14:paraId="2CC8857A" w14:textId="68149F32"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278" w:type="pct"/>
            <w:tcBorders>
              <w:top w:val="nil"/>
              <w:left w:val="nil"/>
              <w:bottom w:val="single" w:sz="4" w:space="0" w:color="auto"/>
              <w:right w:val="single" w:sz="4" w:space="0" w:color="auto"/>
            </w:tcBorders>
            <w:vAlign w:val="center"/>
          </w:tcPr>
          <w:p w14:paraId="23B55411" w14:textId="2C594815"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1 424 903    </w:t>
            </w:r>
          </w:p>
        </w:tc>
        <w:tc>
          <w:tcPr>
            <w:tcW w:w="337" w:type="pct"/>
            <w:tcBorders>
              <w:top w:val="nil"/>
              <w:left w:val="nil"/>
              <w:bottom w:val="single" w:sz="4" w:space="0" w:color="auto"/>
              <w:right w:val="single" w:sz="4" w:space="0" w:color="auto"/>
            </w:tcBorders>
            <w:shd w:val="clear" w:color="auto" w:fill="auto"/>
            <w:vAlign w:val="center"/>
          </w:tcPr>
          <w:p w14:paraId="7E66D33C" w14:textId="4257EBCB"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r>
      <w:tr w:rsidR="0012101B" w:rsidRPr="00CE5D9A" w14:paraId="1B86F6B9" w14:textId="77777777" w:rsidTr="00FC3D80">
        <w:trPr>
          <w:trHeight w:val="720"/>
        </w:trPr>
        <w:tc>
          <w:tcPr>
            <w:tcW w:w="255" w:type="pct"/>
            <w:tcBorders>
              <w:top w:val="nil"/>
              <w:left w:val="single" w:sz="4" w:space="0" w:color="auto"/>
              <w:bottom w:val="single" w:sz="4" w:space="0" w:color="auto"/>
              <w:right w:val="single" w:sz="4" w:space="0" w:color="auto"/>
            </w:tcBorders>
            <w:shd w:val="clear" w:color="000000" w:fill="FFFFFF"/>
            <w:vAlign w:val="center"/>
          </w:tcPr>
          <w:p w14:paraId="48C57F67" w14:textId="77777777" w:rsidR="0012101B" w:rsidRPr="00CE5D9A" w:rsidRDefault="0012101B" w:rsidP="0012101B">
            <w:pPr>
              <w:spacing w:after="0" w:line="240" w:lineRule="auto"/>
              <w:rPr>
                <w:rFonts w:ascii="Times New Roman" w:eastAsia="Times New Roman" w:hAnsi="Times New Roman"/>
                <w:sz w:val="16"/>
                <w:szCs w:val="18"/>
                <w:lang w:eastAsia="pl-PL"/>
              </w:rPr>
            </w:pPr>
            <w:r w:rsidRPr="00CE5D9A">
              <w:rPr>
                <w:rFonts w:ascii="Times New Roman" w:eastAsia="Times New Roman" w:hAnsi="Times New Roman"/>
                <w:sz w:val="16"/>
                <w:szCs w:val="18"/>
                <w:lang w:eastAsia="pl-PL"/>
              </w:rPr>
              <w:t>EFRR</w:t>
            </w:r>
          </w:p>
        </w:tc>
        <w:tc>
          <w:tcPr>
            <w:tcW w:w="279" w:type="pct"/>
            <w:tcBorders>
              <w:top w:val="nil"/>
              <w:left w:val="nil"/>
              <w:bottom w:val="single" w:sz="4" w:space="0" w:color="auto"/>
              <w:right w:val="single" w:sz="4" w:space="0" w:color="auto"/>
            </w:tcBorders>
            <w:shd w:val="clear" w:color="auto" w:fill="auto"/>
            <w:vAlign w:val="center"/>
          </w:tcPr>
          <w:p w14:paraId="5BB56FC7"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0   </w:t>
            </w:r>
          </w:p>
        </w:tc>
        <w:tc>
          <w:tcPr>
            <w:tcW w:w="371" w:type="pct"/>
            <w:tcBorders>
              <w:top w:val="nil"/>
              <w:left w:val="nil"/>
              <w:bottom w:val="single" w:sz="4" w:space="0" w:color="auto"/>
              <w:right w:val="single" w:sz="4" w:space="0" w:color="auto"/>
            </w:tcBorders>
            <w:shd w:val="clear" w:color="auto" w:fill="auto"/>
            <w:vAlign w:val="center"/>
          </w:tcPr>
          <w:p w14:paraId="5A8E0B92"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0%</w:t>
            </w:r>
          </w:p>
        </w:tc>
        <w:tc>
          <w:tcPr>
            <w:tcW w:w="278" w:type="pct"/>
            <w:tcBorders>
              <w:top w:val="nil"/>
              <w:left w:val="nil"/>
              <w:bottom w:val="single" w:sz="4" w:space="0" w:color="auto"/>
              <w:right w:val="single" w:sz="4" w:space="0" w:color="auto"/>
            </w:tcBorders>
            <w:shd w:val="clear" w:color="auto" w:fill="auto"/>
            <w:vAlign w:val="center"/>
          </w:tcPr>
          <w:p w14:paraId="165EB78F"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0   </w:t>
            </w:r>
          </w:p>
        </w:tc>
        <w:tc>
          <w:tcPr>
            <w:tcW w:w="371" w:type="pct"/>
            <w:tcBorders>
              <w:top w:val="nil"/>
              <w:left w:val="nil"/>
              <w:bottom w:val="single" w:sz="4" w:space="0" w:color="auto"/>
              <w:right w:val="single" w:sz="4" w:space="0" w:color="auto"/>
            </w:tcBorders>
            <w:shd w:val="clear" w:color="auto" w:fill="auto"/>
            <w:vAlign w:val="center"/>
          </w:tcPr>
          <w:p w14:paraId="4AB4A26B"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0%</w:t>
            </w:r>
          </w:p>
        </w:tc>
        <w:tc>
          <w:tcPr>
            <w:tcW w:w="325" w:type="pct"/>
            <w:tcBorders>
              <w:top w:val="nil"/>
              <w:left w:val="nil"/>
              <w:bottom w:val="single" w:sz="4" w:space="0" w:color="auto"/>
              <w:right w:val="single" w:sz="4" w:space="0" w:color="auto"/>
            </w:tcBorders>
            <w:shd w:val="clear" w:color="000000" w:fill="D9D9D9"/>
            <w:vAlign w:val="center"/>
          </w:tcPr>
          <w:p w14:paraId="0EC7C8ED" w14:textId="2200000D"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371" w:type="pct"/>
            <w:tcBorders>
              <w:top w:val="nil"/>
              <w:left w:val="nil"/>
              <w:bottom w:val="single" w:sz="4" w:space="0" w:color="auto"/>
              <w:right w:val="single" w:sz="4" w:space="0" w:color="auto"/>
            </w:tcBorders>
            <w:shd w:val="clear" w:color="000000" w:fill="D9D9D9"/>
            <w:vAlign w:val="center"/>
          </w:tcPr>
          <w:p w14:paraId="2173EEB6" w14:textId="4AD9D653"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417" w:type="pct"/>
            <w:tcBorders>
              <w:top w:val="nil"/>
              <w:left w:val="nil"/>
              <w:bottom w:val="single" w:sz="4" w:space="0" w:color="auto"/>
              <w:right w:val="single" w:sz="4" w:space="0" w:color="auto"/>
            </w:tcBorders>
            <w:vAlign w:val="center"/>
          </w:tcPr>
          <w:p w14:paraId="779981F3" w14:textId="1FD1DBC3"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654 683    </w:t>
            </w:r>
          </w:p>
        </w:tc>
        <w:tc>
          <w:tcPr>
            <w:tcW w:w="365" w:type="pct"/>
            <w:tcBorders>
              <w:top w:val="nil"/>
              <w:left w:val="nil"/>
              <w:bottom w:val="single" w:sz="4" w:space="0" w:color="auto"/>
              <w:right w:val="single" w:sz="4" w:space="0" w:color="auto"/>
            </w:tcBorders>
            <w:vAlign w:val="center"/>
          </w:tcPr>
          <w:p w14:paraId="571B2C34" w14:textId="77777777"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32" w:type="pct"/>
            <w:tcBorders>
              <w:top w:val="nil"/>
              <w:left w:val="nil"/>
              <w:bottom w:val="single" w:sz="4" w:space="0" w:color="auto"/>
              <w:right w:val="single" w:sz="4" w:space="0" w:color="auto"/>
            </w:tcBorders>
            <w:vAlign w:val="center"/>
          </w:tcPr>
          <w:p w14:paraId="487BBA81" w14:textId="2F3719B9"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654 683    </w:t>
            </w:r>
          </w:p>
        </w:tc>
        <w:tc>
          <w:tcPr>
            <w:tcW w:w="325" w:type="pct"/>
            <w:tcBorders>
              <w:top w:val="nil"/>
              <w:left w:val="nil"/>
              <w:bottom w:val="single" w:sz="4" w:space="0" w:color="auto"/>
              <w:right w:val="single" w:sz="4" w:space="0" w:color="auto"/>
            </w:tcBorders>
            <w:vAlign w:val="center"/>
          </w:tcPr>
          <w:p w14:paraId="4DAECB1E" w14:textId="6178D285"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324" w:type="pct"/>
            <w:tcBorders>
              <w:top w:val="nil"/>
              <w:left w:val="nil"/>
              <w:bottom w:val="single" w:sz="4" w:space="0" w:color="auto"/>
              <w:right w:val="single" w:sz="4" w:space="0" w:color="auto"/>
            </w:tcBorders>
            <w:vAlign w:val="center"/>
          </w:tcPr>
          <w:p w14:paraId="45B31916" w14:textId="0EE0044E"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654 683    </w:t>
            </w:r>
          </w:p>
        </w:tc>
        <w:tc>
          <w:tcPr>
            <w:tcW w:w="372" w:type="pct"/>
            <w:tcBorders>
              <w:top w:val="nil"/>
              <w:left w:val="nil"/>
              <w:bottom w:val="single" w:sz="4" w:space="0" w:color="auto"/>
              <w:right w:val="single" w:sz="4" w:space="0" w:color="auto"/>
            </w:tcBorders>
            <w:vAlign w:val="center"/>
          </w:tcPr>
          <w:p w14:paraId="02D63D02" w14:textId="21CCF2FE"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c>
          <w:tcPr>
            <w:tcW w:w="278" w:type="pct"/>
            <w:tcBorders>
              <w:top w:val="nil"/>
              <w:left w:val="nil"/>
              <w:bottom w:val="single" w:sz="4" w:space="0" w:color="auto"/>
              <w:right w:val="single" w:sz="4" w:space="0" w:color="auto"/>
            </w:tcBorders>
            <w:vAlign w:val="center"/>
          </w:tcPr>
          <w:p w14:paraId="6FEF2B4C" w14:textId="3BD65233"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 xml:space="preserve">654 683    </w:t>
            </w:r>
          </w:p>
        </w:tc>
        <w:tc>
          <w:tcPr>
            <w:tcW w:w="337" w:type="pct"/>
            <w:tcBorders>
              <w:top w:val="nil"/>
              <w:left w:val="nil"/>
              <w:bottom w:val="single" w:sz="4" w:space="0" w:color="auto"/>
              <w:right w:val="single" w:sz="4" w:space="0" w:color="auto"/>
            </w:tcBorders>
            <w:shd w:val="clear" w:color="auto" w:fill="auto"/>
            <w:vAlign w:val="center"/>
          </w:tcPr>
          <w:p w14:paraId="455CFDF2" w14:textId="5C8A786D" w:rsidR="0012101B" w:rsidRPr="00CE5D9A" w:rsidRDefault="0012101B" w:rsidP="0012101B">
            <w:pPr>
              <w:spacing w:after="0" w:line="240" w:lineRule="auto"/>
              <w:jc w:val="right"/>
              <w:rPr>
                <w:rFonts w:ascii="Times New Roman" w:eastAsia="Times New Roman" w:hAnsi="Times New Roman"/>
                <w:sz w:val="16"/>
                <w:szCs w:val="16"/>
                <w:lang w:eastAsia="pl-PL"/>
              </w:rPr>
            </w:pPr>
            <w:r w:rsidRPr="00CE5D9A">
              <w:rPr>
                <w:rFonts w:ascii="Times New Roman" w:eastAsia="Times New Roman" w:hAnsi="Times New Roman"/>
                <w:sz w:val="16"/>
                <w:szCs w:val="16"/>
                <w:lang w:eastAsia="pl-PL"/>
              </w:rPr>
              <w:t>100%</w:t>
            </w:r>
          </w:p>
        </w:tc>
      </w:tr>
      <w:tr w:rsidR="0012101B" w:rsidRPr="00CE5D9A" w14:paraId="71B6E0CB" w14:textId="77777777" w:rsidTr="00FC3D80">
        <w:trPr>
          <w:trHeight w:val="720"/>
        </w:trPr>
        <w:tc>
          <w:tcPr>
            <w:tcW w:w="255" w:type="pct"/>
            <w:tcBorders>
              <w:top w:val="nil"/>
              <w:left w:val="single" w:sz="4" w:space="0" w:color="auto"/>
              <w:bottom w:val="single" w:sz="4" w:space="0" w:color="auto"/>
              <w:right w:val="single" w:sz="4" w:space="0" w:color="auto"/>
            </w:tcBorders>
            <w:shd w:val="clear" w:color="000000" w:fill="FFFFFF"/>
            <w:vAlign w:val="center"/>
          </w:tcPr>
          <w:p w14:paraId="23B3C777" w14:textId="77777777" w:rsidR="0012101B" w:rsidRPr="00CE5D9A" w:rsidRDefault="0012101B" w:rsidP="0012101B">
            <w:pPr>
              <w:spacing w:after="0" w:line="240" w:lineRule="auto"/>
              <w:rPr>
                <w:rFonts w:ascii="Times New Roman" w:eastAsia="Times New Roman" w:hAnsi="Times New Roman"/>
                <w:b/>
                <w:bCs/>
                <w:sz w:val="16"/>
                <w:szCs w:val="18"/>
                <w:lang w:eastAsia="pl-PL"/>
              </w:rPr>
            </w:pPr>
            <w:r w:rsidRPr="00CE5D9A">
              <w:rPr>
                <w:rFonts w:ascii="Times New Roman" w:eastAsia="Times New Roman" w:hAnsi="Times New Roman"/>
                <w:b/>
                <w:bCs/>
                <w:sz w:val="16"/>
                <w:szCs w:val="18"/>
                <w:lang w:eastAsia="pl-PL"/>
              </w:rPr>
              <w:t>RAZEM</w:t>
            </w:r>
          </w:p>
        </w:tc>
        <w:tc>
          <w:tcPr>
            <w:tcW w:w="279" w:type="pct"/>
            <w:tcBorders>
              <w:top w:val="nil"/>
              <w:left w:val="nil"/>
              <w:bottom w:val="single" w:sz="4" w:space="0" w:color="auto"/>
              <w:right w:val="single" w:sz="4" w:space="0" w:color="auto"/>
            </w:tcBorders>
            <w:shd w:val="clear" w:color="auto" w:fill="auto"/>
            <w:vAlign w:val="center"/>
          </w:tcPr>
          <w:p w14:paraId="42F7D2CF" w14:textId="77777777"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 xml:space="preserve">0   </w:t>
            </w:r>
          </w:p>
        </w:tc>
        <w:tc>
          <w:tcPr>
            <w:tcW w:w="371" w:type="pct"/>
            <w:tcBorders>
              <w:top w:val="nil"/>
              <w:left w:val="nil"/>
              <w:bottom w:val="single" w:sz="4" w:space="0" w:color="auto"/>
              <w:right w:val="single" w:sz="4" w:space="0" w:color="auto"/>
            </w:tcBorders>
            <w:shd w:val="clear" w:color="auto" w:fill="auto"/>
            <w:vAlign w:val="center"/>
          </w:tcPr>
          <w:p w14:paraId="385F19FA" w14:textId="77777777"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0,00%</w:t>
            </w:r>
          </w:p>
        </w:tc>
        <w:tc>
          <w:tcPr>
            <w:tcW w:w="278" w:type="pct"/>
            <w:tcBorders>
              <w:top w:val="nil"/>
              <w:left w:val="nil"/>
              <w:bottom w:val="single" w:sz="4" w:space="0" w:color="auto"/>
              <w:right w:val="single" w:sz="4" w:space="0" w:color="auto"/>
            </w:tcBorders>
            <w:shd w:val="clear" w:color="auto" w:fill="auto"/>
            <w:vAlign w:val="center"/>
          </w:tcPr>
          <w:p w14:paraId="3374704D" w14:textId="547B3536" w:rsidR="0012101B" w:rsidRPr="00CE5D9A" w:rsidRDefault="00335646"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sz w:val="16"/>
                <w:szCs w:val="16"/>
                <w:lang w:eastAsia="pl-PL"/>
              </w:rPr>
              <w:t>1 205 000</w:t>
            </w:r>
          </w:p>
        </w:tc>
        <w:tc>
          <w:tcPr>
            <w:tcW w:w="371" w:type="pct"/>
            <w:tcBorders>
              <w:top w:val="nil"/>
              <w:left w:val="nil"/>
              <w:bottom w:val="single" w:sz="4" w:space="0" w:color="auto"/>
              <w:right w:val="single" w:sz="4" w:space="0" w:color="auto"/>
            </w:tcBorders>
            <w:shd w:val="clear" w:color="auto" w:fill="auto"/>
            <w:vAlign w:val="center"/>
          </w:tcPr>
          <w:p w14:paraId="150503B4" w14:textId="0B5B84F9" w:rsidR="0012101B" w:rsidRPr="00CE5D9A" w:rsidRDefault="00335646"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sz w:val="16"/>
                <w:szCs w:val="16"/>
                <w:lang w:eastAsia="pl-PL"/>
              </w:rPr>
              <w:t>37</w:t>
            </w:r>
            <w:r w:rsidR="0012101B" w:rsidRPr="00CE5D9A">
              <w:rPr>
                <w:rFonts w:ascii="Times New Roman" w:eastAsia="Times New Roman" w:hAnsi="Times New Roman"/>
                <w:sz w:val="16"/>
                <w:szCs w:val="16"/>
                <w:lang w:eastAsia="pl-PL"/>
              </w:rPr>
              <w:t>%</w:t>
            </w:r>
          </w:p>
        </w:tc>
        <w:tc>
          <w:tcPr>
            <w:tcW w:w="325" w:type="pct"/>
            <w:tcBorders>
              <w:top w:val="nil"/>
              <w:left w:val="nil"/>
              <w:bottom w:val="single" w:sz="4" w:space="0" w:color="auto"/>
              <w:right w:val="single" w:sz="4" w:space="0" w:color="auto"/>
            </w:tcBorders>
            <w:shd w:val="clear" w:color="000000" w:fill="D9D9D9"/>
            <w:vAlign w:val="center"/>
          </w:tcPr>
          <w:p w14:paraId="7C6BE009" w14:textId="511B80E4"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371" w:type="pct"/>
            <w:tcBorders>
              <w:top w:val="nil"/>
              <w:left w:val="nil"/>
              <w:bottom w:val="single" w:sz="4" w:space="0" w:color="auto"/>
              <w:right w:val="single" w:sz="4" w:space="0" w:color="auto"/>
            </w:tcBorders>
            <w:shd w:val="clear" w:color="000000" w:fill="D9D9D9"/>
            <w:vAlign w:val="center"/>
          </w:tcPr>
          <w:p w14:paraId="517EBCB1" w14:textId="750EBAA7" w:rsidR="0012101B" w:rsidRPr="00CE5D9A" w:rsidRDefault="0012101B" w:rsidP="0012101B">
            <w:pPr>
              <w:spacing w:after="0" w:line="240" w:lineRule="auto"/>
              <w:jc w:val="right"/>
              <w:rPr>
                <w:rFonts w:ascii="Times New Roman" w:eastAsia="Times New Roman" w:hAnsi="Times New Roman"/>
                <w:sz w:val="16"/>
                <w:szCs w:val="16"/>
                <w:lang w:eastAsia="pl-PL"/>
              </w:rPr>
            </w:pPr>
          </w:p>
        </w:tc>
        <w:tc>
          <w:tcPr>
            <w:tcW w:w="417" w:type="pct"/>
            <w:tcBorders>
              <w:top w:val="nil"/>
              <w:left w:val="nil"/>
              <w:bottom w:val="single" w:sz="4" w:space="0" w:color="auto"/>
              <w:right w:val="single" w:sz="4" w:space="0" w:color="auto"/>
            </w:tcBorders>
            <w:vAlign w:val="center"/>
          </w:tcPr>
          <w:p w14:paraId="0619C339" w14:textId="16DAF144"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 xml:space="preserve">5 329 586   </w:t>
            </w:r>
          </w:p>
        </w:tc>
        <w:tc>
          <w:tcPr>
            <w:tcW w:w="365" w:type="pct"/>
            <w:tcBorders>
              <w:top w:val="nil"/>
              <w:left w:val="nil"/>
              <w:bottom w:val="single" w:sz="4" w:space="0" w:color="auto"/>
              <w:right w:val="single" w:sz="4" w:space="0" w:color="auto"/>
            </w:tcBorders>
            <w:vAlign w:val="center"/>
          </w:tcPr>
          <w:p w14:paraId="25630AEB" w14:textId="77777777"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100,00%</w:t>
            </w:r>
          </w:p>
        </w:tc>
        <w:tc>
          <w:tcPr>
            <w:tcW w:w="332" w:type="pct"/>
            <w:tcBorders>
              <w:top w:val="nil"/>
              <w:left w:val="nil"/>
              <w:bottom w:val="single" w:sz="4" w:space="0" w:color="auto"/>
              <w:right w:val="single" w:sz="4" w:space="0" w:color="auto"/>
            </w:tcBorders>
            <w:vAlign w:val="center"/>
          </w:tcPr>
          <w:p w14:paraId="63A6AF76" w14:textId="3C41DDD3"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 xml:space="preserve">5 329 586   </w:t>
            </w:r>
          </w:p>
        </w:tc>
        <w:tc>
          <w:tcPr>
            <w:tcW w:w="325" w:type="pct"/>
            <w:tcBorders>
              <w:top w:val="nil"/>
              <w:left w:val="nil"/>
              <w:bottom w:val="single" w:sz="4" w:space="0" w:color="auto"/>
              <w:right w:val="single" w:sz="4" w:space="0" w:color="auto"/>
            </w:tcBorders>
            <w:vAlign w:val="center"/>
          </w:tcPr>
          <w:p w14:paraId="0CA636C2" w14:textId="66F6D071"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100,00%</w:t>
            </w:r>
          </w:p>
        </w:tc>
        <w:tc>
          <w:tcPr>
            <w:tcW w:w="324" w:type="pct"/>
            <w:tcBorders>
              <w:top w:val="nil"/>
              <w:left w:val="nil"/>
              <w:bottom w:val="single" w:sz="4" w:space="0" w:color="auto"/>
              <w:right w:val="single" w:sz="4" w:space="0" w:color="auto"/>
            </w:tcBorders>
            <w:vAlign w:val="center"/>
          </w:tcPr>
          <w:p w14:paraId="5F8F71BD" w14:textId="6C6B2D0F"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 xml:space="preserve">5 329 586   </w:t>
            </w:r>
          </w:p>
        </w:tc>
        <w:tc>
          <w:tcPr>
            <w:tcW w:w="372" w:type="pct"/>
            <w:tcBorders>
              <w:top w:val="nil"/>
              <w:left w:val="nil"/>
              <w:bottom w:val="single" w:sz="4" w:space="0" w:color="auto"/>
              <w:right w:val="single" w:sz="4" w:space="0" w:color="auto"/>
            </w:tcBorders>
            <w:vAlign w:val="center"/>
          </w:tcPr>
          <w:p w14:paraId="1D0B4185" w14:textId="01C8C5B3"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100,00%</w:t>
            </w:r>
          </w:p>
        </w:tc>
        <w:tc>
          <w:tcPr>
            <w:tcW w:w="278" w:type="pct"/>
            <w:tcBorders>
              <w:top w:val="nil"/>
              <w:left w:val="nil"/>
              <w:bottom w:val="single" w:sz="4" w:space="0" w:color="auto"/>
              <w:right w:val="single" w:sz="4" w:space="0" w:color="auto"/>
            </w:tcBorders>
            <w:vAlign w:val="center"/>
          </w:tcPr>
          <w:p w14:paraId="53DD4755" w14:textId="3923B5C5"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 xml:space="preserve">5 329 586   </w:t>
            </w:r>
          </w:p>
        </w:tc>
        <w:tc>
          <w:tcPr>
            <w:tcW w:w="337" w:type="pct"/>
            <w:tcBorders>
              <w:top w:val="nil"/>
              <w:left w:val="nil"/>
              <w:bottom w:val="single" w:sz="4" w:space="0" w:color="auto"/>
              <w:right w:val="single" w:sz="4" w:space="0" w:color="auto"/>
            </w:tcBorders>
            <w:shd w:val="clear" w:color="auto" w:fill="auto"/>
            <w:vAlign w:val="center"/>
          </w:tcPr>
          <w:p w14:paraId="6B0674AC" w14:textId="0525EB69" w:rsidR="0012101B" w:rsidRPr="00CE5D9A" w:rsidRDefault="0012101B" w:rsidP="0012101B">
            <w:pPr>
              <w:spacing w:after="0" w:line="240" w:lineRule="auto"/>
              <w:jc w:val="right"/>
              <w:rPr>
                <w:rFonts w:ascii="Times New Roman" w:eastAsia="Times New Roman" w:hAnsi="Times New Roman"/>
                <w:b/>
                <w:bCs/>
                <w:sz w:val="16"/>
                <w:szCs w:val="16"/>
                <w:lang w:eastAsia="pl-PL"/>
              </w:rPr>
            </w:pPr>
            <w:r w:rsidRPr="00CE5D9A">
              <w:rPr>
                <w:rFonts w:ascii="Times New Roman" w:eastAsia="Times New Roman" w:hAnsi="Times New Roman"/>
                <w:b/>
                <w:bCs/>
                <w:sz w:val="16"/>
                <w:szCs w:val="16"/>
                <w:lang w:eastAsia="pl-PL"/>
              </w:rPr>
              <w:t>100,00%</w:t>
            </w:r>
          </w:p>
        </w:tc>
      </w:tr>
    </w:tbl>
    <w:p w14:paraId="0FDAC4C2" w14:textId="77777777" w:rsidR="00686DFE" w:rsidRPr="00CE5D9A" w:rsidRDefault="00686DFE">
      <w:pPr>
        <w:jc w:val="center"/>
        <w:rPr>
          <w:rFonts w:ascii="Times New Roman" w:hAnsi="Times New Roman"/>
          <w:i/>
          <w:iCs/>
          <w:sz w:val="20"/>
          <w:szCs w:val="20"/>
        </w:rPr>
      </w:pPr>
      <w:r w:rsidRPr="00CE5D9A">
        <w:rPr>
          <w:rFonts w:ascii="Times New Roman" w:hAnsi="Times New Roman"/>
          <w:i/>
          <w:iCs/>
          <w:sz w:val="20"/>
          <w:szCs w:val="20"/>
        </w:rPr>
        <w:t>Źródło: opracowanie własne</w:t>
      </w:r>
    </w:p>
    <w:p w14:paraId="56BB0770" w14:textId="77777777" w:rsidR="00686DFE" w:rsidRPr="00CE5D9A" w:rsidRDefault="00686DFE">
      <w:pPr>
        <w:ind w:left="360" w:hanging="360"/>
        <w:jc w:val="both"/>
        <w:rPr>
          <w:rFonts w:ascii="Times New Roman" w:hAnsi="Times New Roman"/>
          <w:b/>
          <w:bCs/>
        </w:rPr>
      </w:pPr>
    </w:p>
    <w:p w14:paraId="60194008" w14:textId="77777777" w:rsidR="00686DFE" w:rsidRPr="00CE5D9A" w:rsidRDefault="00686DFE">
      <w:pPr>
        <w:jc w:val="center"/>
        <w:rPr>
          <w:rFonts w:ascii="Times New Roman" w:hAnsi="Times New Roman"/>
          <w:i/>
          <w:iCs/>
          <w:sz w:val="20"/>
          <w:szCs w:val="20"/>
        </w:rPr>
      </w:pPr>
    </w:p>
    <w:p w14:paraId="43BA65C5" w14:textId="77777777" w:rsidR="00686DFE" w:rsidRPr="00CE5D9A" w:rsidRDefault="00686DFE">
      <w:pPr>
        <w:spacing w:before="240" w:line="276" w:lineRule="auto"/>
        <w:ind w:firstLine="708"/>
        <w:jc w:val="both"/>
        <w:rPr>
          <w:rFonts w:ascii="Times New Roman" w:hAnsi="Times New Roman"/>
        </w:rPr>
      </w:pPr>
    </w:p>
    <w:p w14:paraId="60DF21DD" w14:textId="77777777" w:rsidR="00686DFE" w:rsidRDefault="00686DFE">
      <w:pPr>
        <w:spacing w:before="240" w:line="276" w:lineRule="auto"/>
        <w:ind w:firstLine="708"/>
        <w:jc w:val="both"/>
        <w:rPr>
          <w:rFonts w:ascii="Times New Roman" w:hAnsi="Times New Roman"/>
          <w:color w:val="000000"/>
        </w:rPr>
      </w:pPr>
    </w:p>
    <w:sectPr w:rsidR="00686DFE">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1FBA1" w14:textId="77777777" w:rsidR="00D36602" w:rsidRDefault="00D36602">
      <w:pPr>
        <w:spacing w:after="0" w:line="240" w:lineRule="auto"/>
      </w:pPr>
      <w:r>
        <w:separator/>
      </w:r>
    </w:p>
  </w:endnote>
  <w:endnote w:type="continuationSeparator" w:id="0">
    <w:p w14:paraId="4260546E" w14:textId="77777777" w:rsidR="00D36602" w:rsidRDefault="00D36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Afta sans"/>
    <w:panose1 w:val="02040503050203030202"/>
    <w:charset w:val="01"/>
    <w:family w:val="roman"/>
    <w:notTrueType/>
    <w:pitch w:val="variable"/>
    <w:sig w:usb0="00002000" w:usb1="00000000" w:usb2="0000000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02475"/>
      <w:docPartObj>
        <w:docPartGallery w:val="Page Numbers (Bottom of Page)"/>
        <w:docPartUnique/>
      </w:docPartObj>
    </w:sdtPr>
    <w:sdtEndPr>
      <w:rPr>
        <w:rFonts w:ascii="Times New Roman" w:hAnsi="Times New Roman"/>
        <w:sz w:val="20"/>
      </w:rPr>
    </w:sdtEndPr>
    <w:sdtContent>
      <w:p w14:paraId="7F2E9920" w14:textId="2EE08146" w:rsidR="00D36602" w:rsidRPr="00C84BC8" w:rsidRDefault="00D36602" w:rsidP="00C84BC8">
        <w:pPr>
          <w:pStyle w:val="Stopka"/>
          <w:jc w:val="right"/>
          <w:rPr>
            <w:rFonts w:ascii="Times New Roman" w:hAnsi="Times New Roman"/>
            <w:sz w:val="20"/>
          </w:rPr>
        </w:pPr>
        <w:r w:rsidRPr="00C84BC8">
          <w:rPr>
            <w:rFonts w:ascii="Times New Roman" w:hAnsi="Times New Roman"/>
            <w:sz w:val="20"/>
          </w:rPr>
          <w:fldChar w:fldCharType="begin"/>
        </w:r>
        <w:r w:rsidRPr="00C84BC8">
          <w:rPr>
            <w:rFonts w:ascii="Times New Roman" w:hAnsi="Times New Roman"/>
            <w:sz w:val="20"/>
          </w:rPr>
          <w:instrText>PAGE   \* MERGEFORMAT</w:instrText>
        </w:r>
        <w:r w:rsidRPr="00C84BC8">
          <w:rPr>
            <w:rFonts w:ascii="Times New Roman" w:hAnsi="Times New Roman"/>
            <w:sz w:val="20"/>
          </w:rPr>
          <w:fldChar w:fldCharType="separate"/>
        </w:r>
        <w:r w:rsidR="00970EF5">
          <w:rPr>
            <w:rFonts w:ascii="Times New Roman" w:hAnsi="Times New Roman"/>
            <w:noProof/>
            <w:sz w:val="20"/>
          </w:rPr>
          <w:t>98</w:t>
        </w:r>
        <w:r w:rsidRPr="00C84BC8">
          <w:rPr>
            <w:rFonts w:ascii="Times New Roman" w:hAnsi="Times New Roman"/>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89F45" w14:textId="77777777" w:rsidR="00D36602" w:rsidRDefault="00D36602">
      <w:pPr>
        <w:spacing w:after="0" w:line="240" w:lineRule="auto"/>
      </w:pPr>
      <w:r>
        <w:separator/>
      </w:r>
    </w:p>
  </w:footnote>
  <w:footnote w:type="continuationSeparator" w:id="0">
    <w:p w14:paraId="2F65DF06" w14:textId="77777777" w:rsidR="00D36602" w:rsidRDefault="00D36602">
      <w:pPr>
        <w:spacing w:after="0" w:line="240" w:lineRule="auto"/>
      </w:pPr>
      <w:r>
        <w:continuationSeparator/>
      </w:r>
    </w:p>
  </w:footnote>
  <w:footnote w:id="1">
    <w:p w14:paraId="64400784"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Stan na 31.05.2021 r.</w:t>
      </w:r>
    </w:p>
  </w:footnote>
  <w:footnote w:id="2">
    <w:p w14:paraId="076D356A"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Strona internetowa Małopolskiej Federacji LGD, federacjalgdmalopolska.org.pl</w:t>
      </w:r>
    </w:p>
  </w:footnote>
  <w:footnote w:id="3">
    <w:p w14:paraId="03A6CA8D"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Stan na dzień 29.05.2023 r. </w:t>
      </w:r>
    </w:p>
  </w:footnote>
  <w:footnote w:id="4">
    <w:p w14:paraId="30B528B0" w14:textId="77777777" w:rsidR="00D36602" w:rsidRDefault="00D36602">
      <w:pPr>
        <w:pStyle w:val="Tekstprzypisudolnego"/>
      </w:pPr>
      <w:r>
        <w:rPr>
          <w:rStyle w:val="Odwoanieprzypisudolnego"/>
        </w:rPr>
        <w:footnoteRef/>
      </w:r>
      <w:r>
        <w:t xml:space="preserve"> </w:t>
      </w:r>
      <w:r>
        <w:rPr>
          <w:rFonts w:ascii="Times New Roman" w:hAnsi="Times New Roman"/>
        </w:rPr>
        <w:t>Dane GUS, stan na dzień 31 lipca 2021 r.</w:t>
      </w:r>
    </w:p>
  </w:footnote>
  <w:footnote w:id="5">
    <w:p w14:paraId="30E6BAE2"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t>
      </w:r>
      <w:r>
        <w:rPr>
          <w:rFonts w:ascii="Times New Roman" w:hAnsi="Times New Roman"/>
          <w:i/>
          <w:iCs/>
        </w:rPr>
        <w:t>Projekt Smart Village</w:t>
      </w:r>
      <w:r>
        <w:rPr>
          <w:rFonts w:ascii="Times New Roman" w:hAnsi="Times New Roman"/>
        </w:rPr>
        <w:t xml:space="preserve">, strona internetowa </w:t>
      </w:r>
      <w:r>
        <w:rPr>
          <w:rStyle w:val="Pogrubienie"/>
          <w:rFonts w:ascii="Times New Roman" w:hAnsi="Times New Roman"/>
          <w:b w:val="0"/>
          <w:bCs w:val="0"/>
        </w:rPr>
        <w:t>Departamentu Cyfryzacji, Geodezji i Kartografii</w:t>
      </w:r>
      <w:r>
        <w:rPr>
          <w:rFonts w:ascii="Times New Roman" w:hAnsi="Times New Roman"/>
        </w:rPr>
        <w:t xml:space="preserve"> Urzędu Marszałkowskiego Województwa Mazowieckiego w Warszawie, geodezja.mazovia.pl</w:t>
      </w:r>
    </w:p>
  </w:footnote>
  <w:footnote w:id="6">
    <w:p w14:paraId="1E9C4CDD" w14:textId="77777777" w:rsidR="00D36602" w:rsidRDefault="00D36602">
      <w:pPr>
        <w:spacing w:after="0" w:line="240" w:lineRule="auto"/>
        <w:rPr>
          <w:rFonts w:ascii="Times New Roman" w:hAnsi="Times New Roman"/>
          <w:i/>
          <w:iCs/>
          <w:sz w:val="20"/>
          <w:szCs w:val="20"/>
        </w:rPr>
      </w:pPr>
      <w:r>
        <w:rPr>
          <w:rStyle w:val="Odwoanieprzypisudolnego"/>
        </w:rPr>
        <w:footnoteRef/>
      </w:r>
      <w:r>
        <w:t xml:space="preserve"> </w:t>
      </w:r>
      <w:r>
        <w:rPr>
          <w:rFonts w:ascii="Times New Roman" w:hAnsi="Times New Roman"/>
          <w:i/>
          <w:iCs/>
          <w:sz w:val="20"/>
          <w:szCs w:val="20"/>
        </w:rPr>
        <w:t>Plan Strategiczny dla Wspólnej Polityki Rolnej na lata 2023–2027.</w:t>
      </w:r>
    </w:p>
  </w:footnote>
  <w:footnote w:id="7">
    <w:p w14:paraId="6D3D8F2D" w14:textId="77777777" w:rsidR="00D36602" w:rsidRDefault="00D36602">
      <w:pPr>
        <w:pStyle w:val="Tekstprzypisudolnego"/>
        <w:jc w:val="both"/>
      </w:pPr>
      <w:r>
        <w:rPr>
          <w:rStyle w:val="Odwoanieprzypisudolnego"/>
        </w:rPr>
        <w:footnoteRef/>
      </w:r>
      <w:r>
        <w:t xml:space="preserve"> </w:t>
      </w:r>
      <w:r>
        <w:rPr>
          <w:rFonts w:ascii="Times New Roman" w:hAnsi="Times New Roman"/>
          <w:i/>
          <w:iCs/>
        </w:rPr>
        <w:t xml:space="preserve">Ewaluacja zewnętrzna małopolskich lokalnych strategii rozwoju Lokalna Grupa Działania „Między Dalinem i Gościbią”, </w:t>
      </w:r>
      <w:r>
        <w:rPr>
          <w:rFonts w:ascii="Times New Roman" w:hAnsi="Times New Roman"/>
        </w:rPr>
        <w:t>SOCJOMETR, Kraków 2021, str. 4.</w:t>
      </w:r>
    </w:p>
  </w:footnote>
  <w:footnote w:id="8">
    <w:p w14:paraId="6DAAA9D4" w14:textId="77777777" w:rsidR="00D36602" w:rsidRDefault="00D36602">
      <w:pPr>
        <w:pStyle w:val="Tekstprzypisudolnego"/>
        <w:jc w:val="both"/>
        <w:rPr>
          <w:rFonts w:ascii="Times New Roman" w:hAnsi="Times New Roman"/>
        </w:rPr>
      </w:pPr>
      <w:r>
        <w:rPr>
          <w:rStyle w:val="Odwoanieprzypisudolnego"/>
          <w:rFonts w:ascii="Times New Roman" w:hAnsi="Times New Roman"/>
        </w:rPr>
        <w:footnoteRef/>
      </w:r>
      <w:r>
        <w:rPr>
          <w:rFonts w:ascii="Times New Roman" w:hAnsi="Times New Roman"/>
        </w:rPr>
        <w:t xml:space="preserve"> jw. str. 62.</w:t>
      </w:r>
    </w:p>
  </w:footnote>
  <w:footnote w:id="9">
    <w:p w14:paraId="47422D37" w14:textId="77777777" w:rsidR="00D36602" w:rsidRDefault="00D36602">
      <w:pPr>
        <w:pStyle w:val="Tekstprzypisudolnego"/>
        <w:rPr>
          <w:rFonts w:ascii="Times New Roman" w:hAnsi="Times New Roman"/>
        </w:rPr>
      </w:pPr>
      <w:r>
        <w:rPr>
          <w:rStyle w:val="Odwoanieprzypisudolnego"/>
        </w:rPr>
        <w:footnoteRef/>
      </w:r>
      <w:r>
        <w:t xml:space="preserve"> </w:t>
      </w:r>
      <w:r>
        <w:rPr>
          <w:rFonts w:ascii="Times New Roman" w:hAnsi="Times New Roman"/>
        </w:rPr>
        <w:t>Dane GUS, stan na dzień 31 lipca 2021 r.</w:t>
      </w:r>
    </w:p>
  </w:footnote>
  <w:footnote w:id="10">
    <w:p w14:paraId="50CD72EB"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 za 2021 r.</w:t>
      </w:r>
    </w:p>
  </w:footnote>
  <w:footnote w:id="11">
    <w:p w14:paraId="74BE7656" w14:textId="77777777" w:rsidR="00D36602" w:rsidRDefault="00D36602">
      <w:pPr>
        <w:pStyle w:val="Tekstprzypisudolnego"/>
      </w:pPr>
      <w:r>
        <w:rPr>
          <w:rStyle w:val="Odwoanieprzypisudolnego"/>
        </w:rPr>
        <w:footnoteRef/>
      </w:r>
      <w:r>
        <w:t xml:space="preserve"> </w:t>
      </w:r>
      <w:r>
        <w:rPr>
          <w:rFonts w:ascii="Times New Roman" w:hAnsi="Times New Roman"/>
        </w:rPr>
        <w:t>Dane Powiatowego Zespołu do Spraw Orzekania o Niepełnosprawności w Myślenicach.</w:t>
      </w:r>
    </w:p>
  </w:footnote>
  <w:footnote w:id="12">
    <w:p w14:paraId="49CEC0B2" w14:textId="77777777" w:rsidR="00D36602" w:rsidRDefault="00D36602">
      <w:pPr>
        <w:pStyle w:val="Tekstprzypisudolnego"/>
        <w:rPr>
          <w:rFonts w:ascii="Times New Roman" w:hAnsi="Times New Roman"/>
          <w:i/>
          <w:iCs/>
        </w:rPr>
      </w:pPr>
      <w:r>
        <w:rPr>
          <w:rStyle w:val="Odwoanieprzypisudolnego"/>
          <w:rFonts w:ascii="Times New Roman" w:hAnsi="Times New Roman"/>
        </w:rPr>
        <w:footnoteRef/>
      </w:r>
      <w:r>
        <w:rPr>
          <w:rFonts w:ascii="Times New Roman" w:hAnsi="Times New Roman"/>
        </w:rPr>
        <w:t xml:space="preserve"> </w:t>
      </w:r>
      <w:bookmarkStart w:id="97" w:name="_Hlk133484349"/>
      <w:r>
        <w:rPr>
          <w:rFonts w:ascii="Times New Roman" w:hAnsi="Times New Roman"/>
          <w:i/>
          <w:iCs/>
        </w:rPr>
        <w:t xml:space="preserve">Ustawa z dnia 13 listopada 2003 r. o dochodach jednostek samorządu terytorialnego </w:t>
      </w:r>
      <w:r>
        <w:rPr>
          <w:rFonts w:ascii="Times New Roman" w:hAnsi="Times New Roman"/>
        </w:rPr>
        <w:t>(Dz.U. z 2022 r. poz. 2267).</w:t>
      </w:r>
    </w:p>
    <w:bookmarkEnd w:id="97"/>
  </w:footnote>
  <w:footnote w:id="13">
    <w:p w14:paraId="1BC34575"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w:t>
      </w:r>
    </w:p>
  </w:footnote>
  <w:footnote w:id="14">
    <w:p w14:paraId="2D4C5659"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jw. </w:t>
      </w:r>
    </w:p>
  </w:footnote>
  <w:footnote w:id="15">
    <w:p w14:paraId="64995AB0"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Kondracki J., </w:t>
      </w:r>
      <w:r>
        <w:rPr>
          <w:rFonts w:ascii="Times New Roman" w:hAnsi="Times New Roman"/>
          <w:i/>
        </w:rPr>
        <w:t>Geografia regionalna Polski</w:t>
      </w:r>
      <w:r>
        <w:rPr>
          <w:rFonts w:ascii="Times New Roman" w:hAnsi="Times New Roman"/>
        </w:rPr>
        <w:t>, PWN, Warszawa 2000.</w:t>
      </w:r>
    </w:p>
  </w:footnote>
  <w:footnote w:id="16">
    <w:p w14:paraId="6A390147"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Strona internetowa Powiatu Myślenickiego, myślenicki.pl</w:t>
      </w:r>
    </w:p>
  </w:footnote>
  <w:footnote w:id="17">
    <w:p w14:paraId="27F2FDDA"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Strona internetowa Gminy Tokarnia, tokarnia.pl </w:t>
      </w:r>
    </w:p>
  </w:footnote>
  <w:footnote w:id="18">
    <w:p w14:paraId="30014DBE"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t>
      </w:r>
      <w:bookmarkStart w:id="100" w:name="_Hlk113830770"/>
      <w:r>
        <w:rPr>
          <w:rFonts w:ascii="Times New Roman" w:hAnsi="Times New Roman"/>
        </w:rPr>
        <w:t>Centralny Rejestr Form Ochrony Przyrody, Generalna Dyrekcja Ochrony Środowiska, crfop.gdos.gov.pl/CRFOP</w:t>
      </w:r>
      <w:bookmarkEnd w:id="100"/>
    </w:p>
  </w:footnote>
  <w:footnote w:id="19">
    <w:p w14:paraId="3D1038AE"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 za 2021 r. </w:t>
      </w:r>
    </w:p>
  </w:footnote>
  <w:footnote w:id="20">
    <w:p w14:paraId="325B5011" w14:textId="77777777" w:rsidR="00D36602" w:rsidRDefault="00D36602">
      <w:pPr>
        <w:pStyle w:val="Tekstprzypisudolnego"/>
        <w:jc w:val="both"/>
      </w:pPr>
      <w:r>
        <w:rPr>
          <w:rStyle w:val="Odwoanieprzypisudolnego"/>
          <w:rFonts w:ascii="Times New Roman" w:hAnsi="Times New Roman"/>
        </w:rPr>
        <w:footnoteRef/>
      </w:r>
      <w:r>
        <w:rPr>
          <w:rFonts w:ascii="Times New Roman" w:hAnsi="Times New Roman"/>
        </w:rPr>
        <w:t xml:space="preserve"> Zgodnie z załącznikiem nr 5 do Regulaminu konkursu na wybór LSR </w:t>
      </w:r>
      <w:r>
        <w:rPr>
          <w:rFonts w:ascii="Times New Roman" w:hAnsi="Times New Roman"/>
          <w:i/>
          <w:iCs/>
        </w:rPr>
        <w:t>Kryteria wyboru LSR</w:t>
      </w:r>
      <w:r>
        <w:rPr>
          <w:rFonts w:ascii="Times New Roman" w:hAnsi="Times New Roman"/>
        </w:rPr>
        <w:t>, kryterium 5.8.</w:t>
      </w:r>
    </w:p>
  </w:footnote>
  <w:footnote w:id="21">
    <w:p w14:paraId="741B6261"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 za lata 2016–2021.</w:t>
      </w:r>
    </w:p>
  </w:footnote>
  <w:footnote w:id="22">
    <w:p w14:paraId="599A2B02"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Dane GUS za 2021 r.</w:t>
      </w:r>
    </w:p>
  </w:footnote>
  <w:footnote w:id="23">
    <w:p w14:paraId="0A70CAAA"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 stan na dzień 31 grudnia 2021 r.</w:t>
      </w:r>
    </w:p>
  </w:footnote>
  <w:footnote w:id="24">
    <w:p w14:paraId="241B948E"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GUS za 2021 r.</w:t>
      </w:r>
    </w:p>
  </w:footnote>
  <w:footnote w:id="25">
    <w:p w14:paraId="511ED949"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Sadowski P., </w:t>
      </w:r>
      <w:r>
        <w:rPr>
          <w:rFonts w:ascii="Times New Roman" w:hAnsi="Times New Roman"/>
          <w:i/>
          <w:iCs/>
        </w:rPr>
        <w:t>Monografia geograficzno-historyczna. Gmina Pcim</w:t>
      </w:r>
      <w:r>
        <w:rPr>
          <w:rFonts w:ascii="Times New Roman" w:hAnsi="Times New Roman"/>
        </w:rPr>
        <w:t>, 2003.</w:t>
      </w:r>
    </w:p>
  </w:footnote>
  <w:footnote w:id="26">
    <w:p w14:paraId="2782AD39"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Strona internetowa Powiatu Myślenickiego, myślenicki.pl</w:t>
      </w:r>
    </w:p>
  </w:footnote>
  <w:footnote w:id="27">
    <w:p w14:paraId="5B3C262B"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Strony internetowe gmin wchodzących w skład obszaru LGD, myslenice.pl, sulkowice.pl, gminapcim.pl, lubien.pl, tokarnia.pl, wisniowa.pl, raciechowice.pl</w:t>
      </w:r>
    </w:p>
  </w:footnote>
  <w:footnote w:id="28">
    <w:p w14:paraId="2D911DE2"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jw.</w:t>
      </w:r>
      <w:r>
        <w:t xml:space="preserve"> </w:t>
      </w:r>
    </w:p>
  </w:footnote>
  <w:footnote w:id="29">
    <w:p w14:paraId="33342DE9"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Narodowy Instytut Dziedzictwa, nid.pl/zasoby/rejestr-zabytkow-zasoby, stan na dzień 30 września 2022 r.</w:t>
      </w:r>
    </w:p>
  </w:footnote>
  <w:footnote w:id="30">
    <w:p w14:paraId="73D21012"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Strona internetowa Urzędu Miasta i Gminy Sułkowice, urzad.sulkowice.pl</w:t>
      </w:r>
    </w:p>
  </w:footnote>
  <w:footnote w:id="31">
    <w:p w14:paraId="5CBF66DE"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Strona internetowa Urzędu Miasta i Gminy Myślenice, myslenice.pl</w:t>
      </w:r>
    </w:p>
  </w:footnote>
  <w:footnote w:id="32">
    <w:p w14:paraId="35DA34E1" w14:textId="77777777" w:rsidR="00D36602" w:rsidRDefault="00D36602">
      <w:pPr>
        <w:pStyle w:val="Tekstprzypisudolnego"/>
      </w:pPr>
      <w:r>
        <w:rPr>
          <w:rStyle w:val="Odwoanieprzypisudolnego"/>
        </w:rPr>
        <w:footnoteRef/>
      </w:r>
      <w:r>
        <w:t xml:space="preserve"> </w:t>
      </w:r>
      <w:r>
        <w:rPr>
          <w:rFonts w:ascii="Times New Roman" w:hAnsi="Times New Roman"/>
        </w:rPr>
        <w:t>Strona internetowa Instytutu Rozwoju Wsi i Rolnictwa Polskiej Akademii Nauk, irwirpan.waw.pl/index.php/offer/show/538/badania/monitoring-rozwoju-obszarow-wiejskich/badania/monitoring-rozwoju-obszarow-wiejskich</w:t>
      </w:r>
    </w:p>
  </w:footnote>
  <w:footnote w:id="33">
    <w:p w14:paraId="0F2B7A9A" w14:textId="77777777" w:rsidR="00D36602" w:rsidRDefault="00D36602">
      <w:pPr>
        <w:pStyle w:val="Tekstprzypisudolnego"/>
        <w:jc w:val="both"/>
        <w:rPr>
          <w:rFonts w:ascii="Times New Roman" w:hAnsi="Times New Roman"/>
        </w:rPr>
      </w:pPr>
      <w:r>
        <w:rPr>
          <w:rStyle w:val="Odwoanieprzypisudolnego"/>
          <w:rFonts w:ascii="Times New Roman" w:hAnsi="Times New Roman"/>
        </w:rPr>
        <w:footnoteRef/>
      </w:r>
      <w:r>
        <w:rPr>
          <w:rFonts w:ascii="Times New Roman" w:hAnsi="Times New Roman"/>
        </w:rPr>
        <w:t xml:space="preserve"> </w:t>
      </w:r>
      <w:bookmarkStart w:id="116" w:name="_Hlk133484273"/>
      <w:r>
        <w:rPr>
          <w:rFonts w:ascii="Times New Roman" w:hAnsi="Times New Roman"/>
        </w:rPr>
        <w:t>Strona internetowa Ministerstwa Rolnictwa i Rozwoju Wsi, Lista produktów tradycyjnych, gov.pl/web/rolnictwo/woj-malopolskie, stan na dzień 09.05.2023 r</w:t>
      </w:r>
      <w:bookmarkEnd w:id="116"/>
      <w:r>
        <w:rPr>
          <w:rFonts w:ascii="Times New Roman" w:hAnsi="Times New Roman"/>
        </w:rPr>
        <w:t>.</w:t>
      </w:r>
    </w:p>
  </w:footnote>
  <w:footnote w:id="34">
    <w:p w14:paraId="120B17C7" w14:textId="77777777" w:rsidR="00D36602" w:rsidRDefault="00D36602">
      <w:pPr>
        <w:pStyle w:val="Tekstprzypisudolnego"/>
      </w:pPr>
      <w:r>
        <w:rPr>
          <w:rStyle w:val="Odwoanieprzypisudolnego"/>
        </w:rPr>
        <w:footnoteRef/>
      </w:r>
      <w:r>
        <w:t xml:space="preserve"> </w:t>
      </w:r>
      <w:r>
        <w:rPr>
          <w:rFonts w:ascii="Times New Roman" w:hAnsi="Times New Roman"/>
        </w:rPr>
        <w:t>Rejestr Szkół i Palcówek Oświatowych, System Informacji Oświatowej, strona internetowa Ministerstwa Edukacji i Nauki, rspo.gov.pl</w:t>
      </w:r>
    </w:p>
  </w:footnote>
  <w:footnote w:id="35">
    <w:p w14:paraId="4E9BD8C0" w14:textId="77777777" w:rsidR="00D36602" w:rsidRDefault="00D36602">
      <w:pPr>
        <w:pStyle w:val="Tekstprzypisudolnego"/>
        <w:rPr>
          <w:rFonts w:ascii="Times New Roman" w:hAnsi="Times New Roman"/>
        </w:rPr>
      </w:pPr>
      <w:r>
        <w:rPr>
          <w:rStyle w:val="Odwoanieprzypisudolnego"/>
        </w:rPr>
        <w:footnoteRef/>
      </w:r>
      <w:r>
        <w:t xml:space="preserve"> </w:t>
      </w:r>
      <w:r>
        <w:rPr>
          <w:rFonts w:ascii="Times New Roman" w:hAnsi="Times New Roman"/>
        </w:rPr>
        <w:t>Dane dla kraju dostępne w wartościach zaokrąglonych do liczb całkowitych.</w:t>
      </w:r>
    </w:p>
  </w:footnote>
  <w:footnote w:id="36">
    <w:p w14:paraId="4BD72513"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Rejestr Szkół i Palcówek Oświatowych, System Informacji Oświatowej, strona internetowa Ministerstwa Edukacji i Nauki, rspo.gov.pl</w:t>
      </w:r>
    </w:p>
  </w:footnote>
  <w:footnote w:id="37">
    <w:p w14:paraId="17B63640" w14:textId="77777777" w:rsidR="00D36602" w:rsidRDefault="00D36602">
      <w:pPr>
        <w:pStyle w:val="Tekstprzypisudolnego"/>
        <w:jc w:val="both"/>
        <w:rPr>
          <w:rFonts w:ascii="Times New Roman" w:hAnsi="Times New Roman"/>
        </w:rPr>
      </w:pPr>
      <w:r>
        <w:rPr>
          <w:rStyle w:val="Odwoanieprzypisudolnego"/>
        </w:rPr>
        <w:footnoteRef/>
      </w:r>
      <w:r>
        <w:t xml:space="preserve"> </w:t>
      </w:r>
      <w:r>
        <w:rPr>
          <w:rFonts w:ascii="Times New Roman" w:hAnsi="Times New Roman"/>
        </w:rPr>
        <w:t>Inf. z dn. 31.08.2022 r.</w:t>
      </w:r>
    </w:p>
  </w:footnote>
  <w:footnote w:id="38">
    <w:p w14:paraId="444C01C0" w14:textId="77777777" w:rsidR="00D36602" w:rsidRDefault="00D36602">
      <w:pPr>
        <w:pStyle w:val="Tekstprzypisudolnego"/>
        <w:jc w:val="both"/>
        <w:rPr>
          <w:rFonts w:ascii="Times New Roman" w:hAnsi="Times New Roman"/>
        </w:rPr>
      </w:pPr>
      <w:r>
        <w:rPr>
          <w:rStyle w:val="Odwoanieprzypisudolnego"/>
          <w:rFonts w:ascii="Times New Roman" w:hAnsi="Times New Roman"/>
        </w:rPr>
        <w:footnoteRef/>
      </w:r>
      <w:r>
        <w:rPr>
          <w:rFonts w:ascii="Times New Roman" w:hAnsi="Times New Roman"/>
        </w:rPr>
        <w:t xml:space="preserve"> Penetracja lokalowa – stosunek liczby wszystkich lokali mieszkalnych w budynkach w zasięgu sieci min. 100 Mb/s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39">
    <w:p w14:paraId="32EC0E0C" w14:textId="77777777" w:rsidR="00D36602" w:rsidRDefault="00D36602">
      <w:pPr>
        <w:pStyle w:val="Tekstprzypisudolnego"/>
        <w:jc w:val="both"/>
      </w:pPr>
      <w:r>
        <w:rPr>
          <w:rStyle w:val="Odwoanieprzypisudolnego"/>
          <w:rFonts w:ascii="Times New Roman" w:hAnsi="Times New Roman"/>
        </w:rPr>
        <w:footnoteRef/>
      </w:r>
      <w:r>
        <w:rPr>
          <w:rFonts w:ascii="Times New Roman" w:hAnsi="Times New Roman"/>
        </w:rPr>
        <w:t xml:space="preserve"> Urząd Komunikacji Elektronicznej</w:t>
      </w:r>
      <w:r>
        <w:rPr>
          <w:rFonts w:ascii="Times New Roman" w:hAnsi="Times New Roman"/>
          <w:i/>
          <w:iCs/>
        </w:rPr>
        <w:t xml:space="preserve">, Atlas szerokopasmowego dostępu do Internetu, </w:t>
      </w:r>
      <w:r>
        <w:rPr>
          <w:rFonts w:ascii="Times New Roman" w:hAnsi="Times New Roman"/>
        </w:rPr>
        <w:t>mapbook.uke.gov.pl/areas</w:t>
      </w:r>
    </w:p>
  </w:footnote>
  <w:footnote w:id="40">
    <w:p w14:paraId="24E3C065" w14:textId="77777777" w:rsidR="00D36602" w:rsidRDefault="00D36602">
      <w:pPr>
        <w:pStyle w:val="Tekstprzypisudolnego"/>
      </w:pPr>
      <w:r>
        <w:rPr>
          <w:rStyle w:val="Odwoanieprzypisudolnego"/>
        </w:rPr>
        <w:footnoteRef/>
      </w:r>
      <w:r>
        <w:t xml:space="preserve"> </w:t>
      </w:r>
      <w:r>
        <w:rPr>
          <w:rFonts w:ascii="Times New Roman" w:hAnsi="Times New Roman"/>
        </w:rPr>
        <w:t xml:space="preserve">Zgodnie z załącznikiem nr 5 do Regulaminu konkursu na wybór LSR </w:t>
      </w:r>
      <w:r>
        <w:rPr>
          <w:rFonts w:ascii="Times New Roman" w:hAnsi="Times New Roman"/>
          <w:i/>
          <w:iCs/>
        </w:rPr>
        <w:t>Kryteria wyboru LSR</w:t>
      </w:r>
      <w:r>
        <w:rPr>
          <w:rFonts w:ascii="Times New Roman" w:hAnsi="Times New Roman"/>
        </w:rPr>
        <w:t>, kryterium 5.1.</w:t>
      </w:r>
    </w:p>
  </w:footnote>
  <w:footnote w:id="41">
    <w:p w14:paraId="5058BAF5"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t xml:space="preserve"> </w:t>
      </w:r>
      <w:r>
        <w:rPr>
          <w:rFonts w:ascii="Times New Roman" w:hAnsi="Times New Roman"/>
        </w:rPr>
        <w:t>Z</w:t>
      </w:r>
      <w:r>
        <w:rPr>
          <w:rStyle w:val="markedcontent"/>
          <w:rFonts w:ascii="Times New Roman" w:hAnsi="Times New Roman"/>
        </w:rPr>
        <w:t>ałącznik Nr 1 do Uchwały Nr XLVII/732/18 Sejmiku Województwa Małopolskiego z dnia 26 marca 2018 r.</w:t>
      </w:r>
    </w:p>
  </w:footnote>
  <w:footnote w:id="42">
    <w:p w14:paraId="770921CA" w14:textId="77777777" w:rsidR="00D36602" w:rsidRDefault="00D36602">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Załącznik nr 1 do Uchwały Nr XXXV.2021 Rady Powiatu Myślenickiego z dnia 24 czerwca 2021 r.</w:t>
      </w:r>
    </w:p>
  </w:footnote>
  <w:footnote w:id="43">
    <w:p w14:paraId="34624BF4" w14:textId="77777777" w:rsidR="00D36602" w:rsidRDefault="00D36602">
      <w:pPr>
        <w:pStyle w:val="Tekstprzypisudolnego"/>
        <w:jc w:val="both"/>
        <w:rPr>
          <w:rFonts w:ascii="Times New Roman" w:hAnsi="Times New Roman"/>
        </w:rPr>
      </w:pPr>
      <w:r>
        <w:rPr>
          <w:rStyle w:val="Odwoanieprzypisudolnego"/>
        </w:rPr>
        <w:footnoteRef/>
      </w:r>
      <w:r>
        <w:t xml:space="preserve"> </w:t>
      </w:r>
      <w:r>
        <w:rPr>
          <w:rFonts w:ascii="Times New Roman" w:hAnsi="Times New Roman"/>
        </w:rPr>
        <w:t>Termin realizacji operacji planowanych do wsparcia w ramach środków FEM zależy od terminu naboru wniosków ustalonego przez Instytucję Zarządzającą programem regionalnym.</w:t>
      </w:r>
    </w:p>
  </w:footnote>
  <w:footnote w:id="44">
    <w:p w14:paraId="3A089600" w14:textId="77777777" w:rsidR="00D36602" w:rsidRDefault="00D36602">
      <w:pPr>
        <w:pStyle w:val="Tekstprzypisudolnego"/>
      </w:pPr>
      <w:r>
        <w:rPr>
          <w:rStyle w:val="Odwoanieprzypisudolnego"/>
          <w:rFonts w:ascii="Times New Roman" w:hAnsi="Times New Roman"/>
        </w:rPr>
        <w:footnoteRef/>
      </w:r>
      <w:r>
        <w:rPr>
          <w:rFonts w:ascii="Times New Roman" w:hAnsi="Times New Roman"/>
        </w:rPr>
        <w:t xml:space="preserve"> jw</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D0E2" w14:textId="77777777" w:rsidR="00D36602" w:rsidRDefault="00D3660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9DF"/>
    <w:multiLevelType w:val="multilevel"/>
    <w:tmpl w:val="03A179D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60F0EC9"/>
    <w:multiLevelType w:val="multilevel"/>
    <w:tmpl w:val="060F0EC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78B19B2"/>
    <w:multiLevelType w:val="multilevel"/>
    <w:tmpl w:val="078B19B2"/>
    <w:lvl w:ilvl="0">
      <w:start w:val="1"/>
      <w:numFmt w:val="bullet"/>
      <w:lvlText w:val=""/>
      <w:lvlJc w:val="left"/>
      <w:pPr>
        <w:ind w:left="1480" w:hanging="360"/>
      </w:pPr>
      <w:rPr>
        <w:rFonts w:ascii="Symbol" w:hAnsi="Symbol" w:hint="default"/>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hint="default"/>
      </w:rPr>
    </w:lvl>
    <w:lvl w:ilvl="3">
      <w:start w:val="1"/>
      <w:numFmt w:val="bullet"/>
      <w:lvlText w:val=""/>
      <w:lvlJc w:val="left"/>
      <w:pPr>
        <w:ind w:left="3640" w:hanging="360"/>
      </w:pPr>
      <w:rPr>
        <w:rFonts w:ascii="Symbol" w:hAnsi="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hint="default"/>
      </w:rPr>
    </w:lvl>
    <w:lvl w:ilvl="6">
      <w:start w:val="1"/>
      <w:numFmt w:val="bullet"/>
      <w:lvlText w:val=""/>
      <w:lvlJc w:val="left"/>
      <w:pPr>
        <w:ind w:left="5800" w:hanging="360"/>
      </w:pPr>
      <w:rPr>
        <w:rFonts w:ascii="Symbol" w:hAnsi="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hint="default"/>
      </w:rPr>
    </w:lvl>
  </w:abstractNum>
  <w:abstractNum w:abstractNumId="3" w15:restartNumberingAfterBreak="0">
    <w:nsid w:val="09813ED1"/>
    <w:multiLevelType w:val="hybridMultilevel"/>
    <w:tmpl w:val="6E0087C0"/>
    <w:lvl w:ilvl="0" w:tplc="3C1A0D96">
      <w:start w:val="15"/>
      <w:numFmt w:val="decimal"/>
      <w:lvlText w:val="%1."/>
      <w:lvlJc w:val="left"/>
      <w:pPr>
        <w:ind w:left="720" w:hanging="360"/>
      </w:pPr>
      <w:rPr>
        <w:rFonts w:ascii="Times New Roman" w:hAnsi="Times New Roman" w:cs="Times New Roman"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FE4C21"/>
    <w:multiLevelType w:val="multilevel"/>
    <w:tmpl w:val="0BFE4C21"/>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 w15:restartNumberingAfterBreak="0">
    <w:nsid w:val="0CBD649C"/>
    <w:multiLevelType w:val="multilevel"/>
    <w:tmpl w:val="0CBD6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DE07F5"/>
    <w:multiLevelType w:val="multilevel"/>
    <w:tmpl w:val="0EDE07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196CC4"/>
    <w:multiLevelType w:val="multilevel"/>
    <w:tmpl w:val="0F196CC4"/>
    <w:lvl w:ilvl="0">
      <w:start w:val="1"/>
      <w:numFmt w:val="upperLetter"/>
      <w:lvlText w:val="%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0F8468C3"/>
    <w:multiLevelType w:val="multilevel"/>
    <w:tmpl w:val="0F8468C3"/>
    <w:lvl w:ilvl="0">
      <w:start w:val="1"/>
      <w:numFmt w:val="bullet"/>
      <w:lvlText w:val=""/>
      <w:lvlJc w:val="left"/>
      <w:pPr>
        <w:ind w:left="720"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E51693"/>
    <w:multiLevelType w:val="multilevel"/>
    <w:tmpl w:val="12E516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7B6A16"/>
    <w:multiLevelType w:val="multilevel"/>
    <w:tmpl w:val="147B6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086B05"/>
    <w:multiLevelType w:val="multilevel"/>
    <w:tmpl w:val="16086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6903898"/>
    <w:multiLevelType w:val="multilevel"/>
    <w:tmpl w:val="1690389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B37821"/>
    <w:multiLevelType w:val="multilevel"/>
    <w:tmpl w:val="16B378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2A287F"/>
    <w:multiLevelType w:val="multilevel"/>
    <w:tmpl w:val="182A287F"/>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5" w15:restartNumberingAfterBreak="0">
    <w:nsid w:val="195A5147"/>
    <w:multiLevelType w:val="multilevel"/>
    <w:tmpl w:val="195A5147"/>
    <w:lvl w:ilvl="0">
      <w:start w:val="1"/>
      <w:numFmt w:val="bullet"/>
      <w:lvlText w:val=""/>
      <w:lvlJc w:val="left"/>
      <w:pPr>
        <w:ind w:left="1480" w:hanging="360"/>
      </w:pPr>
      <w:rPr>
        <w:rFonts w:ascii="Symbol" w:hAnsi="Symbol" w:hint="default"/>
      </w:rPr>
    </w:lvl>
    <w:lvl w:ilvl="1">
      <w:numFmt w:val="bullet"/>
      <w:lvlText w:val="•"/>
      <w:lvlJc w:val="left"/>
      <w:pPr>
        <w:ind w:left="2545" w:hanging="705"/>
      </w:pPr>
      <w:rPr>
        <w:rFonts w:ascii="Times New Roman" w:eastAsia="Calibri" w:hAnsi="Times New Roman" w:cs="Times New Roman" w:hint="default"/>
      </w:rPr>
    </w:lvl>
    <w:lvl w:ilvl="2">
      <w:start w:val="1"/>
      <w:numFmt w:val="bullet"/>
      <w:lvlText w:val=""/>
      <w:lvlJc w:val="left"/>
      <w:pPr>
        <w:ind w:left="2920" w:hanging="360"/>
      </w:pPr>
      <w:rPr>
        <w:rFonts w:ascii="Wingdings" w:hAnsi="Wingdings" w:hint="default"/>
      </w:rPr>
    </w:lvl>
    <w:lvl w:ilvl="3">
      <w:start w:val="1"/>
      <w:numFmt w:val="bullet"/>
      <w:lvlText w:val=""/>
      <w:lvlJc w:val="left"/>
      <w:pPr>
        <w:ind w:left="3640" w:hanging="360"/>
      </w:pPr>
      <w:rPr>
        <w:rFonts w:ascii="Symbol" w:hAnsi="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hint="default"/>
      </w:rPr>
    </w:lvl>
    <w:lvl w:ilvl="6">
      <w:start w:val="1"/>
      <w:numFmt w:val="bullet"/>
      <w:lvlText w:val=""/>
      <w:lvlJc w:val="left"/>
      <w:pPr>
        <w:ind w:left="5800" w:hanging="360"/>
      </w:pPr>
      <w:rPr>
        <w:rFonts w:ascii="Symbol" w:hAnsi="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hint="default"/>
      </w:rPr>
    </w:lvl>
  </w:abstractNum>
  <w:abstractNum w:abstractNumId="16" w15:restartNumberingAfterBreak="0">
    <w:nsid w:val="20D530D3"/>
    <w:multiLevelType w:val="multilevel"/>
    <w:tmpl w:val="20D530D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2053FC8"/>
    <w:multiLevelType w:val="multilevel"/>
    <w:tmpl w:val="22053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EB2B43"/>
    <w:multiLevelType w:val="multilevel"/>
    <w:tmpl w:val="23EB2B43"/>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9" w15:restartNumberingAfterBreak="0">
    <w:nsid w:val="26485565"/>
    <w:multiLevelType w:val="multilevel"/>
    <w:tmpl w:val="26485565"/>
    <w:lvl w:ilvl="0">
      <w:start w:val="1"/>
      <w:numFmt w:val="decimal"/>
      <w:lvlText w:val="%1)"/>
      <w:lvlJc w:val="left"/>
      <w:pPr>
        <w:ind w:left="720" w:hanging="360"/>
      </w:pPr>
    </w:lvl>
    <w:lvl w:ilvl="1">
      <w:start w:val="1"/>
      <w:numFmt w:val="decimal"/>
      <w:lvlText w:val="%2."/>
      <w:lvlJc w:val="left"/>
      <w:pPr>
        <w:ind w:left="1353" w:hanging="360"/>
      </w:pPr>
      <w:rPr>
        <w:rFonts w:hint="default"/>
        <w:i w:val="0"/>
        <w:iCs w:val="0"/>
      </w:rPr>
    </w:lvl>
    <w:lvl w:ilvl="2">
      <w:start w:val="3"/>
      <w:numFmt w:val="bullet"/>
      <w:lvlText w:val="•"/>
      <w:lvlJc w:val="left"/>
      <w:pPr>
        <w:ind w:left="2340" w:hanging="36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7266CD"/>
    <w:multiLevelType w:val="multilevel"/>
    <w:tmpl w:val="287266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D35508"/>
    <w:multiLevelType w:val="multilevel"/>
    <w:tmpl w:val="28D35508"/>
    <w:lvl w:ilvl="0">
      <w:start w:val="1"/>
      <w:numFmt w:val="bullet"/>
      <w:lvlText w:val=""/>
      <w:lvlJc w:val="left"/>
      <w:pPr>
        <w:ind w:left="765" w:hanging="360"/>
      </w:pPr>
      <w:rPr>
        <w:rFonts w:ascii="Wingdings" w:hAnsi="Wingding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2F8F44E5"/>
    <w:multiLevelType w:val="hybridMultilevel"/>
    <w:tmpl w:val="B36CE304"/>
    <w:lvl w:ilvl="0" w:tplc="E6D89F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5A8313F"/>
    <w:multiLevelType w:val="multilevel"/>
    <w:tmpl w:val="35A8313F"/>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15:restartNumberingAfterBreak="0">
    <w:nsid w:val="36616A3C"/>
    <w:multiLevelType w:val="hybridMultilevel"/>
    <w:tmpl w:val="B94C1B5E"/>
    <w:lvl w:ilvl="0" w:tplc="34588E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836414E"/>
    <w:multiLevelType w:val="hybridMultilevel"/>
    <w:tmpl w:val="0744062C"/>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A2F4F6D"/>
    <w:multiLevelType w:val="multilevel"/>
    <w:tmpl w:val="3A2F4F6D"/>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15:restartNumberingAfterBreak="0">
    <w:nsid w:val="406E050D"/>
    <w:multiLevelType w:val="multilevel"/>
    <w:tmpl w:val="406E050D"/>
    <w:lvl w:ilvl="0">
      <w:start w:val="1"/>
      <w:numFmt w:val="bullet"/>
      <w:lvlText w:val=""/>
      <w:lvlJc w:val="left"/>
      <w:pPr>
        <w:ind w:left="2148" w:hanging="360"/>
      </w:pPr>
      <w:rPr>
        <w:rFonts w:ascii="Symbol" w:hAnsi="Symbol" w:hint="default"/>
      </w:rPr>
    </w:lvl>
    <w:lvl w:ilvl="1">
      <w:start w:val="1"/>
      <w:numFmt w:val="bullet"/>
      <w:lvlText w:val="o"/>
      <w:lvlJc w:val="left"/>
      <w:pPr>
        <w:ind w:left="2868" w:hanging="360"/>
      </w:pPr>
      <w:rPr>
        <w:rFonts w:ascii="Courier New" w:hAnsi="Courier New" w:cs="Courier New" w:hint="default"/>
      </w:rPr>
    </w:lvl>
    <w:lvl w:ilvl="2">
      <w:start w:val="1"/>
      <w:numFmt w:val="bullet"/>
      <w:lvlText w:val=""/>
      <w:lvlJc w:val="left"/>
      <w:pPr>
        <w:ind w:left="3588" w:hanging="360"/>
      </w:pPr>
      <w:rPr>
        <w:rFonts w:ascii="Wingdings" w:hAnsi="Wingdings" w:hint="default"/>
      </w:rPr>
    </w:lvl>
    <w:lvl w:ilvl="3">
      <w:start w:val="1"/>
      <w:numFmt w:val="bullet"/>
      <w:lvlText w:val=""/>
      <w:lvlJc w:val="left"/>
      <w:pPr>
        <w:ind w:left="4308" w:hanging="360"/>
      </w:pPr>
      <w:rPr>
        <w:rFonts w:ascii="Symbol" w:hAnsi="Symbol" w:hint="default"/>
      </w:rPr>
    </w:lvl>
    <w:lvl w:ilvl="4">
      <w:start w:val="1"/>
      <w:numFmt w:val="bullet"/>
      <w:lvlText w:val="o"/>
      <w:lvlJc w:val="left"/>
      <w:pPr>
        <w:ind w:left="5028" w:hanging="360"/>
      </w:pPr>
      <w:rPr>
        <w:rFonts w:ascii="Courier New" w:hAnsi="Courier New" w:cs="Courier New" w:hint="default"/>
      </w:rPr>
    </w:lvl>
    <w:lvl w:ilvl="5">
      <w:start w:val="1"/>
      <w:numFmt w:val="bullet"/>
      <w:lvlText w:val=""/>
      <w:lvlJc w:val="left"/>
      <w:pPr>
        <w:ind w:left="5748" w:hanging="360"/>
      </w:pPr>
      <w:rPr>
        <w:rFonts w:ascii="Wingdings" w:hAnsi="Wingdings" w:hint="default"/>
      </w:rPr>
    </w:lvl>
    <w:lvl w:ilvl="6">
      <w:start w:val="1"/>
      <w:numFmt w:val="bullet"/>
      <w:lvlText w:val=""/>
      <w:lvlJc w:val="left"/>
      <w:pPr>
        <w:ind w:left="6468" w:hanging="360"/>
      </w:pPr>
      <w:rPr>
        <w:rFonts w:ascii="Symbol" w:hAnsi="Symbol" w:hint="default"/>
      </w:rPr>
    </w:lvl>
    <w:lvl w:ilvl="7">
      <w:start w:val="1"/>
      <w:numFmt w:val="bullet"/>
      <w:lvlText w:val="o"/>
      <w:lvlJc w:val="left"/>
      <w:pPr>
        <w:ind w:left="7188" w:hanging="360"/>
      </w:pPr>
      <w:rPr>
        <w:rFonts w:ascii="Courier New" w:hAnsi="Courier New" w:cs="Courier New" w:hint="default"/>
      </w:rPr>
    </w:lvl>
    <w:lvl w:ilvl="8">
      <w:start w:val="1"/>
      <w:numFmt w:val="bullet"/>
      <w:lvlText w:val=""/>
      <w:lvlJc w:val="left"/>
      <w:pPr>
        <w:ind w:left="7908" w:hanging="360"/>
      </w:pPr>
      <w:rPr>
        <w:rFonts w:ascii="Wingdings" w:hAnsi="Wingdings" w:hint="default"/>
      </w:rPr>
    </w:lvl>
  </w:abstractNum>
  <w:abstractNum w:abstractNumId="28" w15:restartNumberingAfterBreak="0">
    <w:nsid w:val="40C15F71"/>
    <w:multiLevelType w:val="hybridMultilevel"/>
    <w:tmpl w:val="F3827C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C11D8E"/>
    <w:multiLevelType w:val="hybridMultilevel"/>
    <w:tmpl w:val="1BA2581C"/>
    <w:lvl w:ilvl="0" w:tplc="E6D89F0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47E733E5"/>
    <w:multiLevelType w:val="multilevel"/>
    <w:tmpl w:val="47E733E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486F1827"/>
    <w:multiLevelType w:val="multilevel"/>
    <w:tmpl w:val="486F18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4344A6"/>
    <w:multiLevelType w:val="multilevel"/>
    <w:tmpl w:val="494344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97D0F33"/>
    <w:multiLevelType w:val="multilevel"/>
    <w:tmpl w:val="497D0F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864834"/>
    <w:multiLevelType w:val="multilevel"/>
    <w:tmpl w:val="4A864834"/>
    <w:lvl w:ilvl="0">
      <w:start w:val="1"/>
      <w:numFmt w:val="bullet"/>
      <w:lvlText w:val=""/>
      <w:lvlJc w:val="left"/>
      <w:pPr>
        <w:ind w:left="720"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AE6299A"/>
    <w:multiLevelType w:val="multilevel"/>
    <w:tmpl w:val="4AE62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6D5570"/>
    <w:multiLevelType w:val="multilevel"/>
    <w:tmpl w:val="4B6D557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7" w15:restartNumberingAfterBreak="0">
    <w:nsid w:val="4C2149BC"/>
    <w:multiLevelType w:val="multilevel"/>
    <w:tmpl w:val="4C2149B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8" w15:restartNumberingAfterBreak="0">
    <w:nsid w:val="4E874C82"/>
    <w:multiLevelType w:val="multilevel"/>
    <w:tmpl w:val="4E874C82"/>
    <w:lvl w:ilvl="0">
      <w:start w:val="1"/>
      <w:numFmt w:val="decimal"/>
      <w:lvlText w:val="%1."/>
      <w:lvlJc w:val="left"/>
      <w:pPr>
        <w:ind w:left="720" w:hanging="360"/>
      </w:pPr>
    </w:lvl>
    <w:lvl w:ilvl="1">
      <w:start w:val="1"/>
      <w:numFmt w:val="decimal"/>
      <w:isLgl/>
      <w:lvlText w:val="%1.%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ascii="Times New Roman" w:eastAsia="Times New Roman" w:hAnsi="Times New Roman" w:cs="Times New Roman" w:hint="default"/>
        <w:b w:val="0"/>
      </w:rPr>
    </w:lvl>
    <w:lvl w:ilvl="3">
      <w:start w:val="1"/>
      <w:numFmt w:val="decimal"/>
      <w:isLgl/>
      <w:lvlText w:val="%1.%2.%3.%4"/>
      <w:lvlJc w:val="left"/>
      <w:pPr>
        <w:ind w:left="1080" w:hanging="720"/>
      </w:pPr>
      <w:rPr>
        <w:rFonts w:ascii="Times New Roman" w:eastAsia="Times New Roman" w:hAnsi="Times New Roman" w:cs="Times New Roman" w:hint="default"/>
        <w:b w:val="0"/>
      </w:rPr>
    </w:lvl>
    <w:lvl w:ilvl="4">
      <w:start w:val="1"/>
      <w:numFmt w:val="decimal"/>
      <w:isLgl/>
      <w:lvlText w:val="%1.%2.%3.%4.%5"/>
      <w:lvlJc w:val="left"/>
      <w:pPr>
        <w:ind w:left="1080" w:hanging="720"/>
      </w:pPr>
      <w:rPr>
        <w:rFonts w:ascii="Times New Roman" w:eastAsia="Times New Roman" w:hAnsi="Times New Roman" w:cs="Times New Roman" w:hint="default"/>
        <w:b w:val="0"/>
      </w:rPr>
    </w:lvl>
    <w:lvl w:ilvl="5">
      <w:start w:val="1"/>
      <w:numFmt w:val="decimal"/>
      <w:isLgl/>
      <w:lvlText w:val="%1.%2.%3.%4.%5.%6"/>
      <w:lvlJc w:val="left"/>
      <w:pPr>
        <w:ind w:left="1440" w:hanging="1080"/>
      </w:pPr>
      <w:rPr>
        <w:rFonts w:ascii="Times New Roman" w:eastAsia="Times New Roman" w:hAnsi="Times New Roman" w:cs="Times New Roman" w:hint="default"/>
        <w:b w:val="0"/>
      </w:rPr>
    </w:lvl>
    <w:lvl w:ilvl="6">
      <w:start w:val="1"/>
      <w:numFmt w:val="decimal"/>
      <w:isLgl/>
      <w:lvlText w:val="%1.%2.%3.%4.%5.%6.%7"/>
      <w:lvlJc w:val="left"/>
      <w:pPr>
        <w:ind w:left="1440" w:hanging="1080"/>
      </w:pPr>
      <w:rPr>
        <w:rFonts w:ascii="Times New Roman" w:eastAsia="Times New Roman" w:hAnsi="Times New Roman" w:cs="Times New Roman" w:hint="default"/>
        <w:b w:val="0"/>
      </w:rPr>
    </w:lvl>
    <w:lvl w:ilvl="7">
      <w:start w:val="1"/>
      <w:numFmt w:val="decimal"/>
      <w:isLgl/>
      <w:lvlText w:val="%1.%2.%3.%4.%5.%6.%7.%8"/>
      <w:lvlJc w:val="left"/>
      <w:pPr>
        <w:ind w:left="1800" w:hanging="1440"/>
      </w:pPr>
      <w:rPr>
        <w:rFonts w:ascii="Times New Roman" w:eastAsia="Times New Roman" w:hAnsi="Times New Roman" w:cs="Times New Roman" w:hint="default"/>
        <w:b w:val="0"/>
      </w:rPr>
    </w:lvl>
    <w:lvl w:ilvl="8">
      <w:start w:val="1"/>
      <w:numFmt w:val="decimal"/>
      <w:isLgl/>
      <w:lvlText w:val="%1.%2.%3.%4.%5.%6.%7.%8.%9"/>
      <w:lvlJc w:val="left"/>
      <w:pPr>
        <w:ind w:left="1800" w:hanging="1440"/>
      </w:pPr>
      <w:rPr>
        <w:rFonts w:ascii="Times New Roman" w:eastAsia="Times New Roman" w:hAnsi="Times New Roman" w:cs="Times New Roman" w:hint="default"/>
        <w:b w:val="0"/>
      </w:rPr>
    </w:lvl>
  </w:abstractNum>
  <w:abstractNum w:abstractNumId="39" w15:restartNumberingAfterBreak="0">
    <w:nsid w:val="4EE32F02"/>
    <w:multiLevelType w:val="multilevel"/>
    <w:tmpl w:val="4EE32F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1C249CD"/>
    <w:multiLevelType w:val="multilevel"/>
    <w:tmpl w:val="51C249CD"/>
    <w:lvl w:ilvl="0">
      <w:start w:val="1"/>
      <w:numFmt w:val="bullet"/>
      <w:lvlText w:val="−"/>
      <w:lvlJc w:val="left"/>
      <w:pPr>
        <w:ind w:left="770" w:hanging="360"/>
      </w:pPr>
      <w:rPr>
        <w:rFonts w:ascii="Times New Roman" w:hAnsi="Times New Roman" w:cs="Times New Roman"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1" w15:restartNumberingAfterBreak="0">
    <w:nsid w:val="524442F0"/>
    <w:multiLevelType w:val="multilevel"/>
    <w:tmpl w:val="52444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94A2809"/>
    <w:multiLevelType w:val="multilevel"/>
    <w:tmpl w:val="594A2809"/>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3"/>
      <w:numFmt w:val="bullet"/>
      <w:lvlText w:val="•"/>
      <w:lvlJc w:val="left"/>
      <w:pPr>
        <w:ind w:left="2340" w:hanging="36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0A0B9C"/>
    <w:multiLevelType w:val="hybridMultilevel"/>
    <w:tmpl w:val="612C5762"/>
    <w:lvl w:ilvl="0" w:tplc="34588E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5A0E024B"/>
    <w:multiLevelType w:val="multilevel"/>
    <w:tmpl w:val="5A0E024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D6527A"/>
    <w:multiLevelType w:val="multilevel"/>
    <w:tmpl w:val="5CD6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EF07A1"/>
    <w:multiLevelType w:val="multilevel"/>
    <w:tmpl w:val="5CEF07A1"/>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2115F6"/>
    <w:multiLevelType w:val="multilevel"/>
    <w:tmpl w:val="5D211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10669BA"/>
    <w:multiLevelType w:val="hybridMultilevel"/>
    <w:tmpl w:val="8A1A880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633C4199"/>
    <w:multiLevelType w:val="multilevel"/>
    <w:tmpl w:val="633C419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0" w15:restartNumberingAfterBreak="0">
    <w:nsid w:val="63952094"/>
    <w:multiLevelType w:val="multilevel"/>
    <w:tmpl w:val="6395209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9B2290B"/>
    <w:multiLevelType w:val="multilevel"/>
    <w:tmpl w:val="69B229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B3388C"/>
    <w:multiLevelType w:val="multilevel"/>
    <w:tmpl w:val="69B3388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3" w15:restartNumberingAfterBreak="0">
    <w:nsid w:val="6A853532"/>
    <w:multiLevelType w:val="multilevel"/>
    <w:tmpl w:val="6A8535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0AE093F"/>
    <w:multiLevelType w:val="multilevel"/>
    <w:tmpl w:val="70AE093F"/>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1428" w:hanging="360"/>
      </w:pPr>
      <w:rPr>
        <w:rFonts w:ascii="Symbol" w:hAnsi="Symbol"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5" w15:restartNumberingAfterBreak="0">
    <w:nsid w:val="70D903C1"/>
    <w:multiLevelType w:val="multilevel"/>
    <w:tmpl w:val="70D903C1"/>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6" w15:restartNumberingAfterBreak="0">
    <w:nsid w:val="71423195"/>
    <w:multiLevelType w:val="multilevel"/>
    <w:tmpl w:val="7142319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21F626B"/>
    <w:multiLevelType w:val="multilevel"/>
    <w:tmpl w:val="721F62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235317A"/>
    <w:multiLevelType w:val="multilevel"/>
    <w:tmpl w:val="7235317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9" w15:restartNumberingAfterBreak="0">
    <w:nsid w:val="750167A5"/>
    <w:multiLevelType w:val="multilevel"/>
    <w:tmpl w:val="75016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5271C10"/>
    <w:multiLevelType w:val="multilevel"/>
    <w:tmpl w:val="75271C1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1" w15:restartNumberingAfterBreak="0">
    <w:nsid w:val="75CA2886"/>
    <w:multiLevelType w:val="multilevel"/>
    <w:tmpl w:val="75CA2886"/>
    <w:lvl w:ilvl="0">
      <w:start w:val="1"/>
      <w:numFmt w:val="decimal"/>
      <w:pStyle w:val="podnagowek"/>
      <w:lvlText w:val="%1."/>
      <w:lvlJc w:val="left"/>
      <w:pPr>
        <w:ind w:left="2487" w:hanging="360"/>
      </w:pPr>
      <w:rPr>
        <w:rFonts w:hint="default"/>
      </w:rPr>
    </w:lvl>
    <w:lvl w:ilvl="1">
      <w:start w:val="2"/>
      <w:numFmt w:val="decimal"/>
      <w:lvlText w:val="%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69E67F5"/>
    <w:multiLevelType w:val="multilevel"/>
    <w:tmpl w:val="769E67F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15:restartNumberingAfterBreak="0">
    <w:nsid w:val="79AE4EAD"/>
    <w:multiLevelType w:val="multilevel"/>
    <w:tmpl w:val="79AE4EAD"/>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4" w15:restartNumberingAfterBreak="0">
    <w:nsid w:val="7B426E1A"/>
    <w:multiLevelType w:val="multilevel"/>
    <w:tmpl w:val="7B426E1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5" w15:restartNumberingAfterBreak="0">
    <w:nsid w:val="7BBD445C"/>
    <w:multiLevelType w:val="multilevel"/>
    <w:tmpl w:val="7BBD445C"/>
    <w:lvl w:ilvl="0">
      <w:start w:val="1"/>
      <w:numFmt w:val="lowerLetter"/>
      <w:lvlText w:val="%1)"/>
      <w:lvlJc w:val="left"/>
      <w:pPr>
        <w:ind w:left="1428" w:hanging="360"/>
      </w:pPr>
      <w:rPr>
        <w:b w:val="0"/>
        <w:bCs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6" w15:restartNumberingAfterBreak="0">
    <w:nsid w:val="7DB60858"/>
    <w:multiLevelType w:val="multilevel"/>
    <w:tmpl w:val="7DB60858"/>
    <w:lvl w:ilvl="0">
      <w:start w:val="1"/>
      <w:numFmt w:val="upperRoman"/>
      <w:lvlText w:val="%1."/>
      <w:lvlJc w:val="right"/>
      <w:pPr>
        <w:ind w:left="720" w:hanging="360"/>
      </w:pPr>
    </w:lvl>
    <w:lvl w:ilvl="1">
      <w:start w:val="1"/>
      <w:numFmt w:val="decimal"/>
      <w:lvlText w:val="%2."/>
      <w:lvlJc w:val="left"/>
      <w:pPr>
        <w:ind w:left="1440" w:hanging="360"/>
      </w:pPr>
      <w:rPr>
        <w:rFonts w:hint="default"/>
      </w:rPr>
    </w:lvl>
    <w:lvl w:ilvl="2">
      <w:start w:val="3"/>
      <w:numFmt w:val="bullet"/>
      <w:lvlText w:val="•"/>
      <w:lvlJc w:val="left"/>
      <w:pPr>
        <w:ind w:left="2340" w:hanging="36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1"/>
  </w:num>
  <w:num w:numId="2">
    <w:abstractNumId w:val="66"/>
  </w:num>
  <w:num w:numId="3">
    <w:abstractNumId w:val="31"/>
  </w:num>
  <w:num w:numId="4">
    <w:abstractNumId w:val="18"/>
  </w:num>
  <w:num w:numId="5">
    <w:abstractNumId w:val="58"/>
  </w:num>
  <w:num w:numId="6">
    <w:abstractNumId w:val="59"/>
  </w:num>
  <w:num w:numId="7">
    <w:abstractNumId w:val="39"/>
  </w:num>
  <w:num w:numId="8">
    <w:abstractNumId w:val="10"/>
  </w:num>
  <w:num w:numId="9">
    <w:abstractNumId w:val="5"/>
  </w:num>
  <w:num w:numId="10">
    <w:abstractNumId w:val="63"/>
  </w:num>
  <w:num w:numId="11">
    <w:abstractNumId w:val="54"/>
  </w:num>
  <w:num w:numId="12">
    <w:abstractNumId w:val="35"/>
  </w:num>
  <w:num w:numId="13">
    <w:abstractNumId w:val="60"/>
  </w:num>
  <w:num w:numId="14">
    <w:abstractNumId w:val="20"/>
  </w:num>
  <w:num w:numId="15">
    <w:abstractNumId w:val="53"/>
  </w:num>
  <w:num w:numId="16">
    <w:abstractNumId w:val="62"/>
  </w:num>
  <w:num w:numId="17">
    <w:abstractNumId w:val="23"/>
  </w:num>
  <w:num w:numId="18">
    <w:abstractNumId w:val="57"/>
  </w:num>
  <w:num w:numId="19">
    <w:abstractNumId w:val="30"/>
  </w:num>
  <w:num w:numId="20">
    <w:abstractNumId w:val="45"/>
  </w:num>
  <w:num w:numId="21">
    <w:abstractNumId w:val="14"/>
  </w:num>
  <w:num w:numId="22">
    <w:abstractNumId w:val="1"/>
  </w:num>
  <w:num w:numId="23">
    <w:abstractNumId w:val="55"/>
  </w:num>
  <w:num w:numId="24">
    <w:abstractNumId w:val="36"/>
  </w:num>
  <w:num w:numId="25">
    <w:abstractNumId w:val="17"/>
  </w:num>
  <w:num w:numId="26">
    <w:abstractNumId w:val="47"/>
  </w:num>
  <w:num w:numId="27">
    <w:abstractNumId w:val="51"/>
  </w:num>
  <w:num w:numId="28">
    <w:abstractNumId w:val="9"/>
  </w:num>
  <w:num w:numId="29">
    <w:abstractNumId w:val="7"/>
  </w:num>
  <w:num w:numId="30">
    <w:abstractNumId w:val="26"/>
  </w:num>
  <w:num w:numId="31">
    <w:abstractNumId w:val="21"/>
  </w:num>
  <w:num w:numId="32">
    <w:abstractNumId w:val="6"/>
  </w:num>
  <w:num w:numId="33">
    <w:abstractNumId w:val="32"/>
  </w:num>
  <w:num w:numId="34">
    <w:abstractNumId w:val="12"/>
  </w:num>
  <w:num w:numId="35">
    <w:abstractNumId w:val="40"/>
  </w:num>
  <w:num w:numId="36">
    <w:abstractNumId w:val="50"/>
  </w:num>
  <w:num w:numId="37">
    <w:abstractNumId w:val="15"/>
  </w:num>
  <w:num w:numId="38">
    <w:abstractNumId w:val="11"/>
  </w:num>
  <w:num w:numId="39">
    <w:abstractNumId w:val="2"/>
  </w:num>
  <w:num w:numId="40">
    <w:abstractNumId w:val="42"/>
  </w:num>
  <w:num w:numId="41">
    <w:abstractNumId w:val="0"/>
  </w:num>
  <w:num w:numId="42">
    <w:abstractNumId w:val="64"/>
  </w:num>
  <w:num w:numId="43">
    <w:abstractNumId w:val="4"/>
  </w:num>
  <w:num w:numId="44">
    <w:abstractNumId w:val="27"/>
  </w:num>
  <w:num w:numId="45">
    <w:abstractNumId w:val="52"/>
  </w:num>
  <w:num w:numId="46">
    <w:abstractNumId w:val="33"/>
  </w:num>
  <w:num w:numId="47">
    <w:abstractNumId w:val="41"/>
  </w:num>
  <w:num w:numId="48">
    <w:abstractNumId w:val="38"/>
  </w:num>
  <w:num w:numId="49">
    <w:abstractNumId w:val="19"/>
  </w:num>
  <w:num w:numId="50">
    <w:abstractNumId w:val="16"/>
  </w:num>
  <w:num w:numId="51">
    <w:abstractNumId w:val="56"/>
  </w:num>
  <w:num w:numId="52">
    <w:abstractNumId w:val="65"/>
  </w:num>
  <w:num w:numId="53">
    <w:abstractNumId w:val="49"/>
  </w:num>
  <w:num w:numId="54">
    <w:abstractNumId w:val="37"/>
  </w:num>
  <w:num w:numId="55">
    <w:abstractNumId w:val="46"/>
  </w:num>
  <w:num w:numId="56">
    <w:abstractNumId w:val="44"/>
  </w:num>
  <w:num w:numId="57">
    <w:abstractNumId w:val="34"/>
  </w:num>
  <w:num w:numId="58">
    <w:abstractNumId w:val="8"/>
  </w:num>
  <w:num w:numId="59">
    <w:abstractNumId w:val="13"/>
  </w:num>
  <w:num w:numId="60">
    <w:abstractNumId w:val="28"/>
  </w:num>
  <w:num w:numId="61">
    <w:abstractNumId w:val="3"/>
  </w:num>
  <w:num w:numId="62">
    <w:abstractNumId w:val="43"/>
  </w:num>
  <w:num w:numId="63">
    <w:abstractNumId w:val="22"/>
  </w:num>
  <w:num w:numId="64">
    <w:abstractNumId w:val="25"/>
  </w:num>
  <w:num w:numId="65">
    <w:abstractNumId w:val="24"/>
  </w:num>
  <w:num w:numId="66">
    <w:abstractNumId w:val="29"/>
  </w:num>
  <w:num w:numId="67">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08"/>
  <w:hyphenationZone w:val="425"/>
  <w:characterSpacingControl w:val="doNotCompress"/>
  <w:hdrShapeDefaults>
    <o:shapedefaults v:ext="edit" spidmax="22529"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CA8"/>
    <w:rsid w:val="0000174B"/>
    <w:rsid w:val="00003633"/>
    <w:rsid w:val="00003739"/>
    <w:rsid w:val="00003B55"/>
    <w:rsid w:val="00003D89"/>
    <w:rsid w:val="00007063"/>
    <w:rsid w:val="000145F9"/>
    <w:rsid w:val="00016D26"/>
    <w:rsid w:val="0002004D"/>
    <w:rsid w:val="00021DC4"/>
    <w:rsid w:val="00025824"/>
    <w:rsid w:val="00031B47"/>
    <w:rsid w:val="00033B8D"/>
    <w:rsid w:val="000353AE"/>
    <w:rsid w:val="0003795F"/>
    <w:rsid w:val="00045A10"/>
    <w:rsid w:val="00050509"/>
    <w:rsid w:val="00053831"/>
    <w:rsid w:val="00053C5A"/>
    <w:rsid w:val="000572DD"/>
    <w:rsid w:val="00061821"/>
    <w:rsid w:val="00064D6D"/>
    <w:rsid w:val="00065457"/>
    <w:rsid w:val="00071655"/>
    <w:rsid w:val="000808F5"/>
    <w:rsid w:val="0008270D"/>
    <w:rsid w:val="000859EB"/>
    <w:rsid w:val="00086F74"/>
    <w:rsid w:val="00093D79"/>
    <w:rsid w:val="000A6B90"/>
    <w:rsid w:val="000A7231"/>
    <w:rsid w:val="000B7347"/>
    <w:rsid w:val="000C3848"/>
    <w:rsid w:val="000C419C"/>
    <w:rsid w:val="000C4B83"/>
    <w:rsid w:val="000C6DBE"/>
    <w:rsid w:val="000D18D7"/>
    <w:rsid w:val="000D2206"/>
    <w:rsid w:val="000D7239"/>
    <w:rsid w:val="000E08C3"/>
    <w:rsid w:val="000E5D9E"/>
    <w:rsid w:val="000F4302"/>
    <w:rsid w:val="000F4940"/>
    <w:rsid w:val="001014BC"/>
    <w:rsid w:val="0010776D"/>
    <w:rsid w:val="001120E7"/>
    <w:rsid w:val="00113577"/>
    <w:rsid w:val="00116205"/>
    <w:rsid w:val="00116899"/>
    <w:rsid w:val="0012095F"/>
    <w:rsid w:val="0012101B"/>
    <w:rsid w:val="001305CD"/>
    <w:rsid w:val="00131D5F"/>
    <w:rsid w:val="00141904"/>
    <w:rsid w:val="00142EEC"/>
    <w:rsid w:val="00152140"/>
    <w:rsid w:val="00162374"/>
    <w:rsid w:val="001663B1"/>
    <w:rsid w:val="001669B3"/>
    <w:rsid w:val="0016788F"/>
    <w:rsid w:val="00174CA4"/>
    <w:rsid w:val="001800AC"/>
    <w:rsid w:val="00182F9A"/>
    <w:rsid w:val="00185374"/>
    <w:rsid w:val="00185759"/>
    <w:rsid w:val="00192A2E"/>
    <w:rsid w:val="00193A29"/>
    <w:rsid w:val="00197441"/>
    <w:rsid w:val="001B25AB"/>
    <w:rsid w:val="001B3B56"/>
    <w:rsid w:val="001C0B92"/>
    <w:rsid w:val="001D3AF0"/>
    <w:rsid w:val="001D4CE5"/>
    <w:rsid w:val="001D4F20"/>
    <w:rsid w:val="001D67E1"/>
    <w:rsid w:val="001D76E8"/>
    <w:rsid w:val="001E648E"/>
    <w:rsid w:val="001F4400"/>
    <w:rsid w:val="001F5C26"/>
    <w:rsid w:val="001F5DBA"/>
    <w:rsid w:val="001F700D"/>
    <w:rsid w:val="002006FE"/>
    <w:rsid w:val="00202153"/>
    <w:rsid w:val="002033B5"/>
    <w:rsid w:val="002037CD"/>
    <w:rsid w:val="00203F1F"/>
    <w:rsid w:val="00207A83"/>
    <w:rsid w:val="00212E97"/>
    <w:rsid w:val="002149F4"/>
    <w:rsid w:val="00215193"/>
    <w:rsid w:val="0021683B"/>
    <w:rsid w:val="002223D7"/>
    <w:rsid w:val="00222AE2"/>
    <w:rsid w:val="00222D60"/>
    <w:rsid w:val="00223866"/>
    <w:rsid w:val="0022651D"/>
    <w:rsid w:val="00233A1A"/>
    <w:rsid w:val="002402B7"/>
    <w:rsid w:val="002422F5"/>
    <w:rsid w:val="00246FA2"/>
    <w:rsid w:val="002504DB"/>
    <w:rsid w:val="002533FF"/>
    <w:rsid w:val="00253BFB"/>
    <w:rsid w:val="002578E3"/>
    <w:rsid w:val="00271659"/>
    <w:rsid w:val="00271792"/>
    <w:rsid w:val="00272592"/>
    <w:rsid w:val="00281461"/>
    <w:rsid w:val="0028283D"/>
    <w:rsid w:val="00287AE7"/>
    <w:rsid w:val="002903C3"/>
    <w:rsid w:val="00290E0E"/>
    <w:rsid w:val="002961E1"/>
    <w:rsid w:val="00296D66"/>
    <w:rsid w:val="002A67E0"/>
    <w:rsid w:val="002A6C3E"/>
    <w:rsid w:val="002A7B31"/>
    <w:rsid w:val="002B5058"/>
    <w:rsid w:val="002C508F"/>
    <w:rsid w:val="002D0D7B"/>
    <w:rsid w:val="002D12DD"/>
    <w:rsid w:val="002D1ECA"/>
    <w:rsid w:val="002D5C42"/>
    <w:rsid w:val="002D62B6"/>
    <w:rsid w:val="002D6A37"/>
    <w:rsid w:val="002E0124"/>
    <w:rsid w:val="002E29FC"/>
    <w:rsid w:val="002E4EC9"/>
    <w:rsid w:val="002E54D9"/>
    <w:rsid w:val="002F3809"/>
    <w:rsid w:val="002F3C5D"/>
    <w:rsid w:val="002F576F"/>
    <w:rsid w:val="00300CDC"/>
    <w:rsid w:val="00302FFB"/>
    <w:rsid w:val="0030338A"/>
    <w:rsid w:val="00303C3E"/>
    <w:rsid w:val="00306D55"/>
    <w:rsid w:val="00307004"/>
    <w:rsid w:val="00307312"/>
    <w:rsid w:val="00311461"/>
    <w:rsid w:val="003167D3"/>
    <w:rsid w:val="0031716E"/>
    <w:rsid w:val="00324AE2"/>
    <w:rsid w:val="003339FD"/>
    <w:rsid w:val="00335646"/>
    <w:rsid w:val="0033638B"/>
    <w:rsid w:val="00337595"/>
    <w:rsid w:val="00337722"/>
    <w:rsid w:val="003401CD"/>
    <w:rsid w:val="00351A03"/>
    <w:rsid w:val="003524F2"/>
    <w:rsid w:val="0035284A"/>
    <w:rsid w:val="00353C04"/>
    <w:rsid w:val="003560CE"/>
    <w:rsid w:val="00356294"/>
    <w:rsid w:val="00367071"/>
    <w:rsid w:val="003727F1"/>
    <w:rsid w:val="00377FF4"/>
    <w:rsid w:val="00381B0C"/>
    <w:rsid w:val="003828DF"/>
    <w:rsid w:val="00383E5E"/>
    <w:rsid w:val="00385AB7"/>
    <w:rsid w:val="00386C13"/>
    <w:rsid w:val="00387EF4"/>
    <w:rsid w:val="00395E14"/>
    <w:rsid w:val="0039737D"/>
    <w:rsid w:val="003A4345"/>
    <w:rsid w:val="003A4910"/>
    <w:rsid w:val="003A595A"/>
    <w:rsid w:val="003A7074"/>
    <w:rsid w:val="003B0C84"/>
    <w:rsid w:val="003B577F"/>
    <w:rsid w:val="003C226C"/>
    <w:rsid w:val="003D1473"/>
    <w:rsid w:val="003D1497"/>
    <w:rsid w:val="003D353B"/>
    <w:rsid w:val="003D3A06"/>
    <w:rsid w:val="003D5868"/>
    <w:rsid w:val="003D77F1"/>
    <w:rsid w:val="003E0310"/>
    <w:rsid w:val="003E38AE"/>
    <w:rsid w:val="003E4959"/>
    <w:rsid w:val="003E5689"/>
    <w:rsid w:val="003E69F7"/>
    <w:rsid w:val="003E7AE3"/>
    <w:rsid w:val="003F5ACD"/>
    <w:rsid w:val="003F69CD"/>
    <w:rsid w:val="003F6DAE"/>
    <w:rsid w:val="003F729C"/>
    <w:rsid w:val="00400148"/>
    <w:rsid w:val="00401BEB"/>
    <w:rsid w:val="00402362"/>
    <w:rsid w:val="00402BDA"/>
    <w:rsid w:val="00404E21"/>
    <w:rsid w:val="0041104A"/>
    <w:rsid w:val="00411FC9"/>
    <w:rsid w:val="004129DF"/>
    <w:rsid w:val="00412CF4"/>
    <w:rsid w:val="0041625B"/>
    <w:rsid w:val="0042086B"/>
    <w:rsid w:val="00425462"/>
    <w:rsid w:val="0042713F"/>
    <w:rsid w:val="00427174"/>
    <w:rsid w:val="00436A9C"/>
    <w:rsid w:val="00442D38"/>
    <w:rsid w:val="00444C5A"/>
    <w:rsid w:val="00445C23"/>
    <w:rsid w:val="00450687"/>
    <w:rsid w:val="00452E65"/>
    <w:rsid w:val="004542FC"/>
    <w:rsid w:val="00454CDE"/>
    <w:rsid w:val="004575D5"/>
    <w:rsid w:val="00461291"/>
    <w:rsid w:val="00462710"/>
    <w:rsid w:val="00464534"/>
    <w:rsid w:val="004647AB"/>
    <w:rsid w:val="00466711"/>
    <w:rsid w:val="0046690B"/>
    <w:rsid w:val="00475B76"/>
    <w:rsid w:val="00484396"/>
    <w:rsid w:val="00494B0D"/>
    <w:rsid w:val="004979C7"/>
    <w:rsid w:val="004A11DE"/>
    <w:rsid w:val="004A1E03"/>
    <w:rsid w:val="004A2BD4"/>
    <w:rsid w:val="004A5BB1"/>
    <w:rsid w:val="004A6F3D"/>
    <w:rsid w:val="004B0E22"/>
    <w:rsid w:val="004B41F4"/>
    <w:rsid w:val="004B6078"/>
    <w:rsid w:val="004B68F2"/>
    <w:rsid w:val="004C371B"/>
    <w:rsid w:val="004C3F15"/>
    <w:rsid w:val="004C593F"/>
    <w:rsid w:val="004C5A1B"/>
    <w:rsid w:val="004D15D2"/>
    <w:rsid w:val="004E0210"/>
    <w:rsid w:val="004E0D53"/>
    <w:rsid w:val="004E4FEE"/>
    <w:rsid w:val="004E5269"/>
    <w:rsid w:val="004E5412"/>
    <w:rsid w:val="004F23FF"/>
    <w:rsid w:val="004F4C1A"/>
    <w:rsid w:val="004F506B"/>
    <w:rsid w:val="0050012C"/>
    <w:rsid w:val="00504C6E"/>
    <w:rsid w:val="00504E38"/>
    <w:rsid w:val="00506481"/>
    <w:rsid w:val="00511A6C"/>
    <w:rsid w:val="00511AE6"/>
    <w:rsid w:val="005120B8"/>
    <w:rsid w:val="00521F14"/>
    <w:rsid w:val="005255B9"/>
    <w:rsid w:val="00532EEE"/>
    <w:rsid w:val="00533A4B"/>
    <w:rsid w:val="00544D19"/>
    <w:rsid w:val="00545D93"/>
    <w:rsid w:val="00547FD6"/>
    <w:rsid w:val="00550744"/>
    <w:rsid w:val="00551696"/>
    <w:rsid w:val="005526ED"/>
    <w:rsid w:val="00557981"/>
    <w:rsid w:val="00563189"/>
    <w:rsid w:val="00567CDA"/>
    <w:rsid w:val="005750D3"/>
    <w:rsid w:val="00575308"/>
    <w:rsid w:val="00576119"/>
    <w:rsid w:val="005804AE"/>
    <w:rsid w:val="00580BAA"/>
    <w:rsid w:val="005819C6"/>
    <w:rsid w:val="0058315A"/>
    <w:rsid w:val="005858F4"/>
    <w:rsid w:val="00591CDC"/>
    <w:rsid w:val="005A0BED"/>
    <w:rsid w:val="005A7127"/>
    <w:rsid w:val="005B01EC"/>
    <w:rsid w:val="005B110D"/>
    <w:rsid w:val="005B1E6F"/>
    <w:rsid w:val="005B2EEF"/>
    <w:rsid w:val="005B3B40"/>
    <w:rsid w:val="005C1A93"/>
    <w:rsid w:val="005C3937"/>
    <w:rsid w:val="005C3D0D"/>
    <w:rsid w:val="005C4372"/>
    <w:rsid w:val="005C4F13"/>
    <w:rsid w:val="005C6144"/>
    <w:rsid w:val="005C6A45"/>
    <w:rsid w:val="005C721D"/>
    <w:rsid w:val="005C7CE9"/>
    <w:rsid w:val="005D0793"/>
    <w:rsid w:val="005D70D1"/>
    <w:rsid w:val="005E78C4"/>
    <w:rsid w:val="005F0460"/>
    <w:rsid w:val="005F245B"/>
    <w:rsid w:val="005F2C1D"/>
    <w:rsid w:val="005F2F38"/>
    <w:rsid w:val="005F32F0"/>
    <w:rsid w:val="005F4D72"/>
    <w:rsid w:val="005F4EFC"/>
    <w:rsid w:val="005F720A"/>
    <w:rsid w:val="00600640"/>
    <w:rsid w:val="00600B8F"/>
    <w:rsid w:val="0060157F"/>
    <w:rsid w:val="00604B33"/>
    <w:rsid w:val="006116C9"/>
    <w:rsid w:val="0061486F"/>
    <w:rsid w:val="006155D6"/>
    <w:rsid w:val="0061734B"/>
    <w:rsid w:val="00625231"/>
    <w:rsid w:val="006256FD"/>
    <w:rsid w:val="00625D4C"/>
    <w:rsid w:val="006333E9"/>
    <w:rsid w:val="00633737"/>
    <w:rsid w:val="006339DD"/>
    <w:rsid w:val="0063528A"/>
    <w:rsid w:val="00636B85"/>
    <w:rsid w:val="006377C3"/>
    <w:rsid w:val="00640C21"/>
    <w:rsid w:val="006417FF"/>
    <w:rsid w:val="00643660"/>
    <w:rsid w:val="00644D81"/>
    <w:rsid w:val="006548FD"/>
    <w:rsid w:val="00654DFF"/>
    <w:rsid w:val="0066280A"/>
    <w:rsid w:val="0066594C"/>
    <w:rsid w:val="00667542"/>
    <w:rsid w:val="00670F23"/>
    <w:rsid w:val="00671198"/>
    <w:rsid w:val="00675F63"/>
    <w:rsid w:val="00684C05"/>
    <w:rsid w:val="00686DFE"/>
    <w:rsid w:val="00690B76"/>
    <w:rsid w:val="00695C4C"/>
    <w:rsid w:val="00696358"/>
    <w:rsid w:val="006A1595"/>
    <w:rsid w:val="006A21EE"/>
    <w:rsid w:val="006A2C82"/>
    <w:rsid w:val="006A4382"/>
    <w:rsid w:val="006B0895"/>
    <w:rsid w:val="006B2F2F"/>
    <w:rsid w:val="006B7519"/>
    <w:rsid w:val="006C48AC"/>
    <w:rsid w:val="006D3497"/>
    <w:rsid w:val="006D56F0"/>
    <w:rsid w:val="006E03E2"/>
    <w:rsid w:val="006E4BE3"/>
    <w:rsid w:val="006F01E0"/>
    <w:rsid w:val="006F63D7"/>
    <w:rsid w:val="007000AA"/>
    <w:rsid w:val="007008BF"/>
    <w:rsid w:val="00701900"/>
    <w:rsid w:val="0070319C"/>
    <w:rsid w:val="007043D6"/>
    <w:rsid w:val="00711AB4"/>
    <w:rsid w:val="0071435E"/>
    <w:rsid w:val="00722115"/>
    <w:rsid w:val="00727050"/>
    <w:rsid w:val="00732E86"/>
    <w:rsid w:val="00733FBF"/>
    <w:rsid w:val="0074069C"/>
    <w:rsid w:val="00741DF7"/>
    <w:rsid w:val="00747D9B"/>
    <w:rsid w:val="00751A82"/>
    <w:rsid w:val="0075210D"/>
    <w:rsid w:val="00753244"/>
    <w:rsid w:val="007535B5"/>
    <w:rsid w:val="00755297"/>
    <w:rsid w:val="007555C8"/>
    <w:rsid w:val="00755B1B"/>
    <w:rsid w:val="00760955"/>
    <w:rsid w:val="00760E36"/>
    <w:rsid w:val="00764BEE"/>
    <w:rsid w:val="00765A11"/>
    <w:rsid w:val="00774E89"/>
    <w:rsid w:val="007804E6"/>
    <w:rsid w:val="00781750"/>
    <w:rsid w:val="00782172"/>
    <w:rsid w:val="00783779"/>
    <w:rsid w:val="00784A8F"/>
    <w:rsid w:val="007855EF"/>
    <w:rsid w:val="00785A06"/>
    <w:rsid w:val="00792516"/>
    <w:rsid w:val="00796A7D"/>
    <w:rsid w:val="007A19FE"/>
    <w:rsid w:val="007A313B"/>
    <w:rsid w:val="007A3E8B"/>
    <w:rsid w:val="007B324A"/>
    <w:rsid w:val="007B68A3"/>
    <w:rsid w:val="007B7D16"/>
    <w:rsid w:val="007C41DE"/>
    <w:rsid w:val="007C4ECF"/>
    <w:rsid w:val="007D2A0E"/>
    <w:rsid w:val="007D2AE8"/>
    <w:rsid w:val="007D7382"/>
    <w:rsid w:val="007D7A54"/>
    <w:rsid w:val="007E3B23"/>
    <w:rsid w:val="007E43BE"/>
    <w:rsid w:val="007E5CA5"/>
    <w:rsid w:val="007E6007"/>
    <w:rsid w:val="007F18A2"/>
    <w:rsid w:val="007F1A00"/>
    <w:rsid w:val="007F29C6"/>
    <w:rsid w:val="007F2EA9"/>
    <w:rsid w:val="007F40F4"/>
    <w:rsid w:val="007F4A4F"/>
    <w:rsid w:val="007F6F0A"/>
    <w:rsid w:val="00802182"/>
    <w:rsid w:val="00803EDA"/>
    <w:rsid w:val="00804B85"/>
    <w:rsid w:val="00807C8C"/>
    <w:rsid w:val="00811151"/>
    <w:rsid w:val="008144C7"/>
    <w:rsid w:val="00816638"/>
    <w:rsid w:val="00817AE5"/>
    <w:rsid w:val="00824A8E"/>
    <w:rsid w:val="0082678C"/>
    <w:rsid w:val="00826CF0"/>
    <w:rsid w:val="00827164"/>
    <w:rsid w:val="00827E68"/>
    <w:rsid w:val="00827F49"/>
    <w:rsid w:val="00830009"/>
    <w:rsid w:val="00830881"/>
    <w:rsid w:val="00830918"/>
    <w:rsid w:val="00831785"/>
    <w:rsid w:val="008340DB"/>
    <w:rsid w:val="00840438"/>
    <w:rsid w:val="008405A9"/>
    <w:rsid w:val="00842273"/>
    <w:rsid w:val="00845DC5"/>
    <w:rsid w:val="008503A2"/>
    <w:rsid w:val="008503AA"/>
    <w:rsid w:val="00851210"/>
    <w:rsid w:val="00851268"/>
    <w:rsid w:val="00851AAB"/>
    <w:rsid w:val="00855523"/>
    <w:rsid w:val="0085592B"/>
    <w:rsid w:val="008602F3"/>
    <w:rsid w:val="00872729"/>
    <w:rsid w:val="00876E2A"/>
    <w:rsid w:val="008805B1"/>
    <w:rsid w:val="00883A04"/>
    <w:rsid w:val="00893413"/>
    <w:rsid w:val="0089709C"/>
    <w:rsid w:val="008A771D"/>
    <w:rsid w:val="008B0D7E"/>
    <w:rsid w:val="008B1CCD"/>
    <w:rsid w:val="008B2DE5"/>
    <w:rsid w:val="008B2EAF"/>
    <w:rsid w:val="008C7822"/>
    <w:rsid w:val="008D516D"/>
    <w:rsid w:val="008D7797"/>
    <w:rsid w:val="008E010E"/>
    <w:rsid w:val="008E394C"/>
    <w:rsid w:val="008E4655"/>
    <w:rsid w:val="008E6014"/>
    <w:rsid w:val="008F1F28"/>
    <w:rsid w:val="008F6A9A"/>
    <w:rsid w:val="00900CA9"/>
    <w:rsid w:val="00900E93"/>
    <w:rsid w:val="009109A7"/>
    <w:rsid w:val="00913274"/>
    <w:rsid w:val="00913D7C"/>
    <w:rsid w:val="00914F3D"/>
    <w:rsid w:val="00920EC9"/>
    <w:rsid w:val="00927BAE"/>
    <w:rsid w:val="009322D0"/>
    <w:rsid w:val="0093534D"/>
    <w:rsid w:val="00936D4C"/>
    <w:rsid w:val="00946265"/>
    <w:rsid w:val="009519A1"/>
    <w:rsid w:val="0095361E"/>
    <w:rsid w:val="009537F4"/>
    <w:rsid w:val="00954955"/>
    <w:rsid w:val="00956384"/>
    <w:rsid w:val="009567FD"/>
    <w:rsid w:val="00957EFD"/>
    <w:rsid w:val="00962A0C"/>
    <w:rsid w:val="009671D8"/>
    <w:rsid w:val="00970EF5"/>
    <w:rsid w:val="00971266"/>
    <w:rsid w:val="00974A85"/>
    <w:rsid w:val="00980F95"/>
    <w:rsid w:val="00982EBC"/>
    <w:rsid w:val="00983D0D"/>
    <w:rsid w:val="00984448"/>
    <w:rsid w:val="00985E99"/>
    <w:rsid w:val="009929B2"/>
    <w:rsid w:val="00993644"/>
    <w:rsid w:val="00996C53"/>
    <w:rsid w:val="00997A24"/>
    <w:rsid w:val="009A06B7"/>
    <w:rsid w:val="009B3089"/>
    <w:rsid w:val="009B37D8"/>
    <w:rsid w:val="009B6AF2"/>
    <w:rsid w:val="009C2067"/>
    <w:rsid w:val="009C2644"/>
    <w:rsid w:val="009C3787"/>
    <w:rsid w:val="009D00AE"/>
    <w:rsid w:val="009D5BF5"/>
    <w:rsid w:val="009E1B9A"/>
    <w:rsid w:val="009F1F46"/>
    <w:rsid w:val="009F59E2"/>
    <w:rsid w:val="009F72F8"/>
    <w:rsid w:val="00A00217"/>
    <w:rsid w:val="00A03B38"/>
    <w:rsid w:val="00A03BC7"/>
    <w:rsid w:val="00A10A0B"/>
    <w:rsid w:val="00A13486"/>
    <w:rsid w:val="00A14365"/>
    <w:rsid w:val="00A16192"/>
    <w:rsid w:val="00A17A79"/>
    <w:rsid w:val="00A203B0"/>
    <w:rsid w:val="00A24CA0"/>
    <w:rsid w:val="00A30E1D"/>
    <w:rsid w:val="00A319E4"/>
    <w:rsid w:val="00A31C9C"/>
    <w:rsid w:val="00A3201D"/>
    <w:rsid w:val="00A3221B"/>
    <w:rsid w:val="00A33A71"/>
    <w:rsid w:val="00A33FFC"/>
    <w:rsid w:val="00A35915"/>
    <w:rsid w:val="00A35A20"/>
    <w:rsid w:val="00A44120"/>
    <w:rsid w:val="00A44543"/>
    <w:rsid w:val="00A509A0"/>
    <w:rsid w:val="00A50BAC"/>
    <w:rsid w:val="00A5148B"/>
    <w:rsid w:val="00A55EF2"/>
    <w:rsid w:val="00A65AEF"/>
    <w:rsid w:val="00A670E0"/>
    <w:rsid w:val="00A71900"/>
    <w:rsid w:val="00A736BB"/>
    <w:rsid w:val="00A73A44"/>
    <w:rsid w:val="00A75E9B"/>
    <w:rsid w:val="00A77437"/>
    <w:rsid w:val="00A81F76"/>
    <w:rsid w:val="00A82306"/>
    <w:rsid w:val="00A84238"/>
    <w:rsid w:val="00A905D8"/>
    <w:rsid w:val="00A92C43"/>
    <w:rsid w:val="00A95AD6"/>
    <w:rsid w:val="00A9742F"/>
    <w:rsid w:val="00AA21E3"/>
    <w:rsid w:val="00AA38C6"/>
    <w:rsid w:val="00AA69FC"/>
    <w:rsid w:val="00AA6EB3"/>
    <w:rsid w:val="00AB4D8C"/>
    <w:rsid w:val="00AB6AAA"/>
    <w:rsid w:val="00AD0602"/>
    <w:rsid w:val="00AD7096"/>
    <w:rsid w:val="00AE0B24"/>
    <w:rsid w:val="00AE0C43"/>
    <w:rsid w:val="00AE1202"/>
    <w:rsid w:val="00AE6BC7"/>
    <w:rsid w:val="00AF349B"/>
    <w:rsid w:val="00AF54E7"/>
    <w:rsid w:val="00B0009B"/>
    <w:rsid w:val="00B03EB9"/>
    <w:rsid w:val="00B043D4"/>
    <w:rsid w:val="00B05BA0"/>
    <w:rsid w:val="00B070D6"/>
    <w:rsid w:val="00B13742"/>
    <w:rsid w:val="00B14227"/>
    <w:rsid w:val="00B15B86"/>
    <w:rsid w:val="00B16A46"/>
    <w:rsid w:val="00B21029"/>
    <w:rsid w:val="00B22853"/>
    <w:rsid w:val="00B23560"/>
    <w:rsid w:val="00B303C2"/>
    <w:rsid w:val="00B34DEF"/>
    <w:rsid w:val="00B350CA"/>
    <w:rsid w:val="00B35DB5"/>
    <w:rsid w:val="00B37A1F"/>
    <w:rsid w:val="00B37F79"/>
    <w:rsid w:val="00B37FDF"/>
    <w:rsid w:val="00B4106B"/>
    <w:rsid w:val="00B4158B"/>
    <w:rsid w:val="00B430B3"/>
    <w:rsid w:val="00B4354C"/>
    <w:rsid w:val="00B458B3"/>
    <w:rsid w:val="00B45BEC"/>
    <w:rsid w:val="00B47403"/>
    <w:rsid w:val="00B4793E"/>
    <w:rsid w:val="00B501DF"/>
    <w:rsid w:val="00B52CA8"/>
    <w:rsid w:val="00B54CE2"/>
    <w:rsid w:val="00B576E2"/>
    <w:rsid w:val="00B57A1E"/>
    <w:rsid w:val="00B632AE"/>
    <w:rsid w:val="00B637A9"/>
    <w:rsid w:val="00B66AB1"/>
    <w:rsid w:val="00B70C72"/>
    <w:rsid w:val="00B73F36"/>
    <w:rsid w:val="00B76046"/>
    <w:rsid w:val="00B76E4C"/>
    <w:rsid w:val="00B81AE2"/>
    <w:rsid w:val="00B81D6F"/>
    <w:rsid w:val="00B85AD6"/>
    <w:rsid w:val="00B91404"/>
    <w:rsid w:val="00B925EF"/>
    <w:rsid w:val="00B95DAC"/>
    <w:rsid w:val="00BA07A9"/>
    <w:rsid w:val="00BA0D8A"/>
    <w:rsid w:val="00BA15DD"/>
    <w:rsid w:val="00BA294B"/>
    <w:rsid w:val="00BA5B0B"/>
    <w:rsid w:val="00BA6B4C"/>
    <w:rsid w:val="00BB22E6"/>
    <w:rsid w:val="00BB2477"/>
    <w:rsid w:val="00BB3848"/>
    <w:rsid w:val="00BB539F"/>
    <w:rsid w:val="00BB7DBF"/>
    <w:rsid w:val="00BC1CD5"/>
    <w:rsid w:val="00BC23DB"/>
    <w:rsid w:val="00BC7B94"/>
    <w:rsid w:val="00BC7F22"/>
    <w:rsid w:val="00BD0B78"/>
    <w:rsid w:val="00BD0F0A"/>
    <w:rsid w:val="00BD1D11"/>
    <w:rsid w:val="00BD207A"/>
    <w:rsid w:val="00BD6011"/>
    <w:rsid w:val="00BE204F"/>
    <w:rsid w:val="00BE217E"/>
    <w:rsid w:val="00BE6407"/>
    <w:rsid w:val="00BE766B"/>
    <w:rsid w:val="00BE7745"/>
    <w:rsid w:val="00BF4D1C"/>
    <w:rsid w:val="00C04AAE"/>
    <w:rsid w:val="00C05A70"/>
    <w:rsid w:val="00C064ED"/>
    <w:rsid w:val="00C06AC8"/>
    <w:rsid w:val="00C14441"/>
    <w:rsid w:val="00C15315"/>
    <w:rsid w:val="00C17D73"/>
    <w:rsid w:val="00C20589"/>
    <w:rsid w:val="00C21863"/>
    <w:rsid w:val="00C25B37"/>
    <w:rsid w:val="00C274D4"/>
    <w:rsid w:val="00C35A0A"/>
    <w:rsid w:val="00C3700B"/>
    <w:rsid w:val="00C44595"/>
    <w:rsid w:val="00C50A22"/>
    <w:rsid w:val="00C64375"/>
    <w:rsid w:val="00C80732"/>
    <w:rsid w:val="00C816F6"/>
    <w:rsid w:val="00C84BC8"/>
    <w:rsid w:val="00C84DF3"/>
    <w:rsid w:val="00C85C7D"/>
    <w:rsid w:val="00CA03B7"/>
    <w:rsid w:val="00CA0C7B"/>
    <w:rsid w:val="00CA2CF6"/>
    <w:rsid w:val="00CA3F0B"/>
    <w:rsid w:val="00CB0367"/>
    <w:rsid w:val="00CB1A01"/>
    <w:rsid w:val="00CB1B40"/>
    <w:rsid w:val="00CB5181"/>
    <w:rsid w:val="00CC326C"/>
    <w:rsid w:val="00CC36E1"/>
    <w:rsid w:val="00CC4AB1"/>
    <w:rsid w:val="00CC4E99"/>
    <w:rsid w:val="00CC55F7"/>
    <w:rsid w:val="00CD1365"/>
    <w:rsid w:val="00CD2078"/>
    <w:rsid w:val="00CD35A1"/>
    <w:rsid w:val="00CD6DC3"/>
    <w:rsid w:val="00CE3EAC"/>
    <w:rsid w:val="00CE5D9A"/>
    <w:rsid w:val="00CE6C75"/>
    <w:rsid w:val="00CF1C4A"/>
    <w:rsid w:val="00CF25F2"/>
    <w:rsid w:val="00CF7BE8"/>
    <w:rsid w:val="00D013B4"/>
    <w:rsid w:val="00D026A8"/>
    <w:rsid w:val="00D119F2"/>
    <w:rsid w:val="00D11C3E"/>
    <w:rsid w:val="00D14B74"/>
    <w:rsid w:val="00D14E5E"/>
    <w:rsid w:val="00D1782D"/>
    <w:rsid w:val="00D255F0"/>
    <w:rsid w:val="00D26A09"/>
    <w:rsid w:val="00D2779D"/>
    <w:rsid w:val="00D33ED7"/>
    <w:rsid w:val="00D350A1"/>
    <w:rsid w:val="00D36602"/>
    <w:rsid w:val="00D429EB"/>
    <w:rsid w:val="00D44D97"/>
    <w:rsid w:val="00D47E0B"/>
    <w:rsid w:val="00D55385"/>
    <w:rsid w:val="00D56B1D"/>
    <w:rsid w:val="00D610D1"/>
    <w:rsid w:val="00D6263B"/>
    <w:rsid w:val="00D64EA3"/>
    <w:rsid w:val="00D657DC"/>
    <w:rsid w:val="00D666F2"/>
    <w:rsid w:val="00D66C8D"/>
    <w:rsid w:val="00D707DD"/>
    <w:rsid w:val="00D72E9A"/>
    <w:rsid w:val="00D7426E"/>
    <w:rsid w:val="00D80C23"/>
    <w:rsid w:val="00D81B68"/>
    <w:rsid w:val="00D85E85"/>
    <w:rsid w:val="00D86C96"/>
    <w:rsid w:val="00D87739"/>
    <w:rsid w:val="00D92BDE"/>
    <w:rsid w:val="00D96ACB"/>
    <w:rsid w:val="00DA1E5F"/>
    <w:rsid w:val="00DA62E0"/>
    <w:rsid w:val="00DB3DD0"/>
    <w:rsid w:val="00DB66D6"/>
    <w:rsid w:val="00DB7444"/>
    <w:rsid w:val="00DB7626"/>
    <w:rsid w:val="00DC18BB"/>
    <w:rsid w:val="00DC20B2"/>
    <w:rsid w:val="00DC4285"/>
    <w:rsid w:val="00DC4F22"/>
    <w:rsid w:val="00DD02D0"/>
    <w:rsid w:val="00DD2C35"/>
    <w:rsid w:val="00DD504E"/>
    <w:rsid w:val="00DD5B99"/>
    <w:rsid w:val="00DD6456"/>
    <w:rsid w:val="00DE0A14"/>
    <w:rsid w:val="00DE4375"/>
    <w:rsid w:val="00DE615C"/>
    <w:rsid w:val="00DF2E92"/>
    <w:rsid w:val="00DF3F45"/>
    <w:rsid w:val="00DF4301"/>
    <w:rsid w:val="00E00DFB"/>
    <w:rsid w:val="00E0128A"/>
    <w:rsid w:val="00E014B9"/>
    <w:rsid w:val="00E03332"/>
    <w:rsid w:val="00E075E2"/>
    <w:rsid w:val="00E07820"/>
    <w:rsid w:val="00E10F5C"/>
    <w:rsid w:val="00E1400E"/>
    <w:rsid w:val="00E16A58"/>
    <w:rsid w:val="00E20270"/>
    <w:rsid w:val="00E236DA"/>
    <w:rsid w:val="00E255FF"/>
    <w:rsid w:val="00E26584"/>
    <w:rsid w:val="00E268AB"/>
    <w:rsid w:val="00E2727A"/>
    <w:rsid w:val="00E27753"/>
    <w:rsid w:val="00E30484"/>
    <w:rsid w:val="00E31C0B"/>
    <w:rsid w:val="00E40535"/>
    <w:rsid w:val="00E45EDD"/>
    <w:rsid w:val="00E478EF"/>
    <w:rsid w:val="00E50961"/>
    <w:rsid w:val="00E51548"/>
    <w:rsid w:val="00E525CF"/>
    <w:rsid w:val="00E54351"/>
    <w:rsid w:val="00E5443A"/>
    <w:rsid w:val="00E55407"/>
    <w:rsid w:val="00E555B5"/>
    <w:rsid w:val="00E60D17"/>
    <w:rsid w:val="00E653BD"/>
    <w:rsid w:val="00E709A2"/>
    <w:rsid w:val="00E74F9A"/>
    <w:rsid w:val="00E75655"/>
    <w:rsid w:val="00E776BC"/>
    <w:rsid w:val="00E801A6"/>
    <w:rsid w:val="00E827FE"/>
    <w:rsid w:val="00E90F2E"/>
    <w:rsid w:val="00E91BE7"/>
    <w:rsid w:val="00E938CB"/>
    <w:rsid w:val="00E93FDA"/>
    <w:rsid w:val="00E96045"/>
    <w:rsid w:val="00EA04A2"/>
    <w:rsid w:val="00EA485F"/>
    <w:rsid w:val="00EB1A76"/>
    <w:rsid w:val="00EB527D"/>
    <w:rsid w:val="00EB5559"/>
    <w:rsid w:val="00EB622A"/>
    <w:rsid w:val="00EB66C4"/>
    <w:rsid w:val="00EC0FFF"/>
    <w:rsid w:val="00EC1FF5"/>
    <w:rsid w:val="00EC20B8"/>
    <w:rsid w:val="00EC27C0"/>
    <w:rsid w:val="00EC48B9"/>
    <w:rsid w:val="00ED131B"/>
    <w:rsid w:val="00ED18B9"/>
    <w:rsid w:val="00ED1D99"/>
    <w:rsid w:val="00ED6C99"/>
    <w:rsid w:val="00ED7CC1"/>
    <w:rsid w:val="00EE7AEB"/>
    <w:rsid w:val="00EF1A33"/>
    <w:rsid w:val="00F03728"/>
    <w:rsid w:val="00F03AF2"/>
    <w:rsid w:val="00F0621A"/>
    <w:rsid w:val="00F10DD5"/>
    <w:rsid w:val="00F11D5C"/>
    <w:rsid w:val="00F12128"/>
    <w:rsid w:val="00F13BE7"/>
    <w:rsid w:val="00F14B33"/>
    <w:rsid w:val="00F15652"/>
    <w:rsid w:val="00F21FBA"/>
    <w:rsid w:val="00F2266F"/>
    <w:rsid w:val="00F24D7B"/>
    <w:rsid w:val="00F24E20"/>
    <w:rsid w:val="00F27971"/>
    <w:rsid w:val="00F34820"/>
    <w:rsid w:val="00F41E7A"/>
    <w:rsid w:val="00F41EB1"/>
    <w:rsid w:val="00F43124"/>
    <w:rsid w:val="00F44253"/>
    <w:rsid w:val="00F4534F"/>
    <w:rsid w:val="00F477E7"/>
    <w:rsid w:val="00F47A74"/>
    <w:rsid w:val="00F53CF3"/>
    <w:rsid w:val="00F62874"/>
    <w:rsid w:val="00F64488"/>
    <w:rsid w:val="00F64A15"/>
    <w:rsid w:val="00F64AA3"/>
    <w:rsid w:val="00F64B58"/>
    <w:rsid w:val="00F6637B"/>
    <w:rsid w:val="00F67103"/>
    <w:rsid w:val="00F70DF1"/>
    <w:rsid w:val="00F72C94"/>
    <w:rsid w:val="00F72FFB"/>
    <w:rsid w:val="00F84747"/>
    <w:rsid w:val="00F857A4"/>
    <w:rsid w:val="00F91A0C"/>
    <w:rsid w:val="00F958B2"/>
    <w:rsid w:val="00F96A2C"/>
    <w:rsid w:val="00FA20B4"/>
    <w:rsid w:val="00FA38C8"/>
    <w:rsid w:val="00FA7FE7"/>
    <w:rsid w:val="00FB0955"/>
    <w:rsid w:val="00FB305A"/>
    <w:rsid w:val="00FB4BA0"/>
    <w:rsid w:val="00FB4F8A"/>
    <w:rsid w:val="00FB55A5"/>
    <w:rsid w:val="00FB6FE9"/>
    <w:rsid w:val="00FB76D2"/>
    <w:rsid w:val="00FC2546"/>
    <w:rsid w:val="00FC3D80"/>
    <w:rsid w:val="00FC4657"/>
    <w:rsid w:val="00FC7E9E"/>
    <w:rsid w:val="00FD0A02"/>
    <w:rsid w:val="00FD1426"/>
    <w:rsid w:val="00FD1F9E"/>
    <w:rsid w:val="00FD3057"/>
    <w:rsid w:val="00FD7B30"/>
    <w:rsid w:val="00FE179C"/>
    <w:rsid w:val="00FE39CF"/>
    <w:rsid w:val="00FE656E"/>
    <w:rsid w:val="00FE7060"/>
    <w:rsid w:val="00FF086B"/>
    <w:rsid w:val="00FF6FFB"/>
    <w:rsid w:val="00FF73A6"/>
    <w:rsid w:val="4AC023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fillcolor="white">
      <v:fill color="white"/>
    </o:shapedefaults>
    <o:shapelayout v:ext="edit">
      <o:idmap v:ext="edit" data="1"/>
    </o:shapelayout>
  </w:shapeDefaults>
  <w:decimalSymbol w:val=","/>
  <w:listSeparator w:val=";"/>
  <w14:docId w14:val="737FAD4C"/>
  <w15:docId w15:val="{6FA9AE0F-55D5-42D5-AD26-0AC5741E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4F22"/>
    <w:pPr>
      <w:spacing w:after="160" w:line="259" w:lineRule="auto"/>
    </w:pPr>
    <w:rPr>
      <w:sz w:val="22"/>
      <w:szCs w:val="22"/>
      <w:lang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eastAsia="DengXian Light" w:hAnsi="Calibri Light"/>
      <w:color w:val="2F5496"/>
      <w:sz w:val="32"/>
      <w:szCs w:val="32"/>
    </w:rPr>
  </w:style>
  <w:style w:type="paragraph" w:styleId="Nagwek2">
    <w:name w:val="heading 2"/>
    <w:basedOn w:val="Normalny"/>
    <w:next w:val="Normalny"/>
    <w:link w:val="Nagwek2Znak"/>
    <w:uiPriority w:val="9"/>
    <w:qFormat/>
    <w:pPr>
      <w:keepNext/>
      <w:keepLines/>
      <w:spacing w:before="40" w:after="0"/>
      <w:outlineLvl w:val="1"/>
    </w:pPr>
    <w:rPr>
      <w:rFonts w:ascii="Calibri Light" w:eastAsia="DengXian Light" w:hAnsi="Calibri Light"/>
      <w:color w:val="2F5496"/>
      <w:sz w:val="26"/>
      <w:szCs w:val="26"/>
    </w:rPr>
  </w:style>
  <w:style w:type="paragraph" w:styleId="Nagwek4">
    <w:name w:val="heading 4"/>
    <w:basedOn w:val="Normalny"/>
    <w:next w:val="Normalny"/>
    <w:link w:val="Nagwek4Znak"/>
    <w:uiPriority w:val="9"/>
    <w:qFormat/>
    <w:pPr>
      <w:keepNext/>
      <w:keepLines/>
      <w:spacing w:before="40" w:after="0"/>
      <w:outlineLvl w:val="3"/>
    </w:pPr>
    <w:rPr>
      <w:rFonts w:ascii="Calibri Light" w:eastAsia="DengXian Light" w:hAnsi="Calibri Light"/>
      <w:i/>
      <w:iCs/>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Pr>
      <w:rFonts w:ascii="Calibri Light" w:eastAsia="DengXian Light" w:hAnsi="Calibri Light" w:cs="Times New Roman"/>
      <w:color w:val="2F5496"/>
      <w:sz w:val="32"/>
      <w:szCs w:val="32"/>
    </w:rPr>
  </w:style>
  <w:style w:type="character" w:customStyle="1" w:styleId="Nagwek2Znak">
    <w:name w:val="Nagłówek 2 Znak"/>
    <w:link w:val="Nagwek2"/>
    <w:uiPriority w:val="9"/>
    <w:qFormat/>
    <w:rPr>
      <w:rFonts w:ascii="Calibri Light" w:eastAsia="DengXian Light" w:hAnsi="Calibri Light" w:cs="Times New Roman"/>
      <w:color w:val="2F5496"/>
      <w:sz w:val="26"/>
      <w:szCs w:val="26"/>
    </w:rPr>
  </w:style>
  <w:style w:type="character" w:customStyle="1" w:styleId="Nagwek4Znak">
    <w:name w:val="Nagłówek 4 Znak"/>
    <w:link w:val="Nagwek4"/>
    <w:uiPriority w:val="9"/>
    <w:semiHidden/>
    <w:qFormat/>
    <w:rPr>
      <w:rFonts w:ascii="Calibri Light" w:eastAsia="DengXian Light" w:hAnsi="Calibri Light" w:cs="Times New Roman"/>
      <w:i/>
      <w:iCs/>
      <w:color w:val="2F5496"/>
    </w:rPr>
  </w:style>
  <w:style w:type="paragraph" w:styleId="Tekstdymka">
    <w:name w:val="Balloon Text"/>
    <w:basedOn w:val="Normalny"/>
    <w:link w:val="TekstdymkaZnak"/>
    <w:uiPriority w:val="99"/>
    <w:unhideWhenUsed/>
    <w:qFormat/>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Pr>
      <w:rFonts w:ascii="Segoe UI" w:hAnsi="Segoe UI" w:cs="Segoe UI"/>
      <w:sz w:val="18"/>
      <w:szCs w:val="18"/>
    </w:rPr>
  </w:style>
  <w:style w:type="paragraph" w:styleId="Tekstpodstawowy">
    <w:name w:val="Body Text"/>
    <w:basedOn w:val="Normalny"/>
    <w:link w:val="TekstpodstawowyZnak"/>
    <w:uiPriority w:val="99"/>
    <w:unhideWhenUsed/>
    <w:qFormat/>
    <w:pPr>
      <w:spacing w:after="120"/>
    </w:pPr>
  </w:style>
  <w:style w:type="character" w:customStyle="1" w:styleId="TekstpodstawowyZnak">
    <w:name w:val="Tekst podstawowy Znak"/>
    <w:link w:val="Tekstpodstawowy"/>
    <w:uiPriority w:val="99"/>
    <w:semiHidden/>
    <w:qFormat/>
  </w:style>
  <w:style w:type="paragraph" w:styleId="Legenda">
    <w:name w:val="caption"/>
    <w:basedOn w:val="Normalny"/>
    <w:next w:val="Normalny"/>
    <w:uiPriority w:val="35"/>
    <w:qFormat/>
    <w:pPr>
      <w:spacing w:after="200" w:line="240" w:lineRule="auto"/>
    </w:pPr>
    <w:rPr>
      <w:i/>
      <w:iCs/>
      <w:color w:val="44546A"/>
      <w:sz w:val="18"/>
      <w:szCs w:val="18"/>
    </w:rPr>
  </w:style>
  <w:style w:type="character" w:styleId="Odwoaniedokomentarza">
    <w:name w:val="annotation reference"/>
    <w:uiPriority w:val="99"/>
    <w:unhideWhenUsed/>
    <w:qFormat/>
    <w:rPr>
      <w:sz w:val="16"/>
      <w:szCs w:val="16"/>
    </w:rPr>
  </w:style>
  <w:style w:type="paragraph" w:styleId="Tekstkomentarza">
    <w:name w:val="annotation text"/>
    <w:basedOn w:val="Normalny"/>
    <w:link w:val="TekstkomentarzaZnak"/>
    <w:uiPriority w:val="99"/>
    <w:unhideWhenUsed/>
    <w:pPr>
      <w:spacing w:line="240" w:lineRule="auto"/>
    </w:pPr>
    <w:rPr>
      <w:rFonts w:ascii="Times New Roman" w:hAnsi="Times New Roman"/>
      <w:sz w:val="20"/>
      <w:szCs w:val="20"/>
    </w:rPr>
  </w:style>
  <w:style w:type="character" w:customStyle="1" w:styleId="TekstkomentarzaZnak">
    <w:name w:val="Tekst komentarza Znak"/>
    <w:link w:val="Tekstkomentarza"/>
    <w:uiPriority w:val="99"/>
    <w:rPr>
      <w:rFonts w:ascii="Times New Roman" w:eastAsia="Calibri" w:hAnsi="Times New Roman" w:cs="Times New Roman"/>
      <w:sz w:val="20"/>
      <w:szCs w:val="20"/>
    </w:rPr>
  </w:style>
  <w:style w:type="paragraph" w:styleId="Tematkomentarza">
    <w:name w:val="annotation subject"/>
    <w:basedOn w:val="Tekstkomentarza"/>
    <w:next w:val="Tekstkomentarza"/>
    <w:link w:val="TematkomentarzaZnak"/>
    <w:uiPriority w:val="99"/>
    <w:unhideWhenUsed/>
    <w:qFormat/>
    <w:rPr>
      <w:rFonts w:ascii="Calibri" w:hAnsi="Calibri"/>
      <w:b/>
      <w:bCs/>
    </w:rPr>
  </w:style>
  <w:style w:type="character" w:customStyle="1" w:styleId="TematkomentarzaZnak">
    <w:name w:val="Temat komentarza Znak"/>
    <w:link w:val="Tematkomentarza"/>
    <w:uiPriority w:val="99"/>
    <w:semiHidden/>
    <w:qFormat/>
    <w:rPr>
      <w:rFonts w:ascii="Times New Roman" w:eastAsia="Calibri" w:hAnsi="Times New Roman" w:cs="Times New Roman"/>
      <w:b/>
      <w:bCs/>
      <w:sz w:val="20"/>
      <w:szCs w:val="20"/>
    </w:rPr>
  </w:style>
  <w:style w:type="character" w:styleId="Odwoanieprzypisukocowego">
    <w:name w:val="endnote reference"/>
    <w:uiPriority w:val="99"/>
    <w:unhideWhenUsed/>
    <w:qFormat/>
    <w:rPr>
      <w:vertAlign w:val="superscript"/>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character" w:customStyle="1" w:styleId="TekstprzypisukocowegoZnak">
    <w:name w:val="Tekst przypisu końcowego Znak"/>
    <w:link w:val="Tekstprzypisukocowego"/>
    <w:uiPriority w:val="99"/>
    <w:semiHidden/>
    <w:qFormat/>
    <w:rPr>
      <w:sz w:val="20"/>
      <w:szCs w:val="20"/>
    </w:rPr>
  </w:style>
  <w:style w:type="character" w:styleId="UyteHipercze">
    <w:name w:val="FollowedHyperlink"/>
    <w:uiPriority w:val="99"/>
    <w:unhideWhenUsed/>
    <w:qFormat/>
    <w:rPr>
      <w:color w:val="954F72"/>
      <w:u w:val="single"/>
    </w:r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character" w:customStyle="1" w:styleId="StopkaZnak">
    <w:name w:val="Stopka Znak"/>
    <w:link w:val="Stopka"/>
    <w:uiPriority w:val="99"/>
    <w:qFormat/>
  </w:style>
  <w:style w:type="character" w:styleId="Odwoanieprzypisudolnego">
    <w:name w:val="footnote reference"/>
    <w:uiPriority w:val="99"/>
    <w:unhideWhenUsed/>
    <w:qFormat/>
    <w:rPr>
      <w:vertAlign w:val="superscript"/>
    </w:rPr>
  </w:style>
  <w:style w:type="paragraph" w:styleId="Tekstprzypisudolnego">
    <w:name w:val="footnote text"/>
    <w:basedOn w:val="Normalny"/>
    <w:link w:val="TekstprzypisudolnegoZnak"/>
    <w:uiPriority w:val="99"/>
    <w:unhideWhenUsed/>
    <w:qFormat/>
    <w:pPr>
      <w:spacing w:after="0" w:line="240" w:lineRule="auto"/>
    </w:pPr>
    <w:rPr>
      <w:sz w:val="20"/>
      <w:szCs w:val="20"/>
    </w:rPr>
  </w:style>
  <w:style w:type="character" w:customStyle="1" w:styleId="TekstprzypisudolnegoZnak">
    <w:name w:val="Tekst przypisu dolnego Znak"/>
    <w:link w:val="Tekstprzypisudolnego"/>
    <w:uiPriority w:val="99"/>
    <w:rPr>
      <w:sz w:val="20"/>
      <w:szCs w:val="20"/>
    </w:rPr>
  </w:style>
  <w:style w:type="paragraph" w:styleId="Nagwek">
    <w:name w:val="header"/>
    <w:basedOn w:val="Normalny"/>
    <w:link w:val="NagwekZnak"/>
    <w:uiPriority w:val="99"/>
    <w:unhideWhenUsed/>
    <w:qFormat/>
    <w:pPr>
      <w:tabs>
        <w:tab w:val="center" w:pos="4536"/>
        <w:tab w:val="right" w:pos="9072"/>
      </w:tabs>
      <w:spacing w:after="0" w:line="240" w:lineRule="auto"/>
    </w:pPr>
  </w:style>
  <w:style w:type="character" w:customStyle="1" w:styleId="NagwekZnak">
    <w:name w:val="Nagłówek Znak"/>
    <w:link w:val="Nagwek"/>
    <w:uiPriority w:val="99"/>
  </w:style>
  <w:style w:type="character" w:styleId="Hipercze">
    <w:name w:val="Hyperlink"/>
    <w:uiPriority w:val="99"/>
    <w:unhideWhenUsed/>
    <w:rPr>
      <w:color w:val="0563C1"/>
      <w:u w:val="single"/>
    </w:rPr>
  </w:style>
  <w:style w:type="paragraph" w:styleId="NormalnyWeb">
    <w:name w:val="Normal (Web)"/>
    <w:basedOn w:val="Normalny"/>
    <w:uiPriority w:val="99"/>
    <w:unhideWhenUsed/>
    <w:rPr>
      <w:rFonts w:ascii="Times New Roman" w:hAnsi="Times New Roman"/>
      <w:sz w:val="24"/>
      <w:szCs w:val="24"/>
    </w:rPr>
  </w:style>
  <w:style w:type="character" w:styleId="Pogrubienie">
    <w:name w:val="Strong"/>
    <w:uiPriority w:val="22"/>
    <w:qFormat/>
    <w:rPr>
      <w:b/>
      <w:bCs/>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pPr>
      <w:spacing w:after="0"/>
    </w:pPr>
  </w:style>
  <w:style w:type="paragraph" w:styleId="Spistreci1">
    <w:name w:val="toc 1"/>
    <w:basedOn w:val="Normalny"/>
    <w:next w:val="Normalny"/>
    <w:uiPriority w:val="39"/>
    <w:unhideWhenUsed/>
    <w:pPr>
      <w:tabs>
        <w:tab w:val="left" w:pos="426"/>
        <w:tab w:val="left" w:pos="567"/>
        <w:tab w:val="right" w:leader="dot" w:pos="10194"/>
      </w:tabs>
      <w:spacing w:after="100" w:line="276" w:lineRule="auto"/>
      <w:jc w:val="both"/>
    </w:pPr>
  </w:style>
  <w:style w:type="paragraph" w:styleId="Spistreci2">
    <w:name w:val="toc 2"/>
    <w:basedOn w:val="Normalny"/>
    <w:next w:val="Normalny"/>
    <w:uiPriority w:val="39"/>
    <w:unhideWhenUsed/>
    <w:pPr>
      <w:tabs>
        <w:tab w:val="left" w:pos="567"/>
        <w:tab w:val="right" w:leader="dot" w:pos="10194"/>
      </w:tabs>
      <w:spacing w:after="100" w:line="276" w:lineRule="auto"/>
      <w:ind w:left="220"/>
      <w:jc w:val="both"/>
    </w:pPr>
  </w:style>
  <w:style w:type="paragraph" w:styleId="Spistreci3">
    <w:name w:val="toc 3"/>
    <w:basedOn w:val="Normalny"/>
    <w:next w:val="Normalny"/>
    <w:uiPriority w:val="39"/>
    <w:unhideWhenUsed/>
    <w:qFormat/>
    <w:pPr>
      <w:spacing w:after="100"/>
      <w:ind w:left="440"/>
    </w:pPr>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pPr>
      <w:ind w:left="720"/>
      <w:contextualSpacing/>
    </w:p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link w:val="Akapitzlist"/>
    <w:uiPriority w:val="34"/>
    <w:qFormat/>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Default">
    <w:name w:val="Default"/>
    <w:qFormat/>
    <w:pPr>
      <w:autoSpaceDE w:val="0"/>
      <w:autoSpaceDN w:val="0"/>
      <w:adjustRightInd w:val="0"/>
    </w:pPr>
    <w:rPr>
      <w:rFonts w:ascii="Times New Roman" w:hAnsi="Times New Roman"/>
      <w:color w:val="000000"/>
      <w:sz w:val="24"/>
      <w:szCs w:val="24"/>
      <w:lang w:eastAsia="en-US"/>
    </w:rPr>
  </w:style>
  <w:style w:type="paragraph" w:customStyle="1" w:styleId="Nagwek10">
    <w:name w:val="Nagłówek1"/>
    <w:basedOn w:val="Normalny"/>
    <w:next w:val="Tekstpodstawowy"/>
    <w:qFormat/>
    <w:pPr>
      <w:keepNext/>
      <w:tabs>
        <w:tab w:val="center" w:pos="4536"/>
        <w:tab w:val="right" w:pos="9072"/>
      </w:tabs>
      <w:suppressAutoHyphens/>
      <w:spacing w:before="240" w:after="120" w:line="100" w:lineRule="atLeast"/>
      <w:jc w:val="both"/>
    </w:pPr>
    <w:rPr>
      <w:rFonts w:ascii="Arial" w:eastAsia="Lucida Sans Unicode" w:hAnsi="Arial" w:cs="Mangal"/>
      <w:kern w:val="1"/>
      <w:sz w:val="28"/>
      <w:szCs w:val="20"/>
      <w:lang w:eastAsia="ar-SA"/>
    </w:rPr>
  </w:style>
  <w:style w:type="character" w:styleId="Tekstzastpczy">
    <w:name w:val="Placeholder Text"/>
    <w:uiPriority w:val="99"/>
    <w:semiHidden/>
    <w:rPr>
      <w:color w:val="808080"/>
    </w:rPr>
  </w:style>
  <w:style w:type="character" w:customStyle="1" w:styleId="Nierozpoznanawzmianka1">
    <w:name w:val="Nierozpoznana wzmianka1"/>
    <w:uiPriority w:val="99"/>
    <w:unhideWhenUsed/>
    <w:qFormat/>
    <w:rPr>
      <w:color w:val="605E5C"/>
      <w:shd w:val="clear" w:color="auto" w:fill="E1DFDD"/>
    </w:rPr>
  </w:style>
  <w:style w:type="character" w:customStyle="1" w:styleId="markedcontent">
    <w:name w:val="markedcontent"/>
  </w:style>
  <w:style w:type="paragraph" w:customStyle="1" w:styleId="Poprawka1">
    <w:name w:val="Poprawka1"/>
    <w:uiPriority w:val="99"/>
    <w:semiHidden/>
    <w:qFormat/>
    <w:rPr>
      <w:sz w:val="22"/>
      <w:szCs w:val="22"/>
      <w:lang w:eastAsia="en-US"/>
    </w:rPr>
  </w:style>
  <w:style w:type="paragraph" w:customStyle="1" w:styleId="podnagowek">
    <w:name w:val="podnagłowek"/>
    <w:qFormat/>
    <w:pPr>
      <w:numPr>
        <w:numId w:val="1"/>
      </w:numPr>
      <w:spacing w:after="160" w:line="259" w:lineRule="auto"/>
      <w:jc w:val="both"/>
      <w:outlineLvl w:val="1"/>
    </w:pPr>
    <w:rPr>
      <w:rFonts w:ascii="Times New Roman" w:hAnsi="Times New Roman"/>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0078">
      <w:bodyDiv w:val="1"/>
      <w:marLeft w:val="0"/>
      <w:marRight w:val="0"/>
      <w:marTop w:val="0"/>
      <w:marBottom w:val="0"/>
      <w:divBdr>
        <w:top w:val="none" w:sz="0" w:space="0" w:color="auto"/>
        <w:left w:val="none" w:sz="0" w:space="0" w:color="auto"/>
        <w:bottom w:val="none" w:sz="0" w:space="0" w:color="auto"/>
        <w:right w:val="none" w:sz="0" w:space="0" w:color="auto"/>
      </w:divBdr>
    </w:div>
    <w:div w:id="201014130">
      <w:bodyDiv w:val="1"/>
      <w:marLeft w:val="0"/>
      <w:marRight w:val="0"/>
      <w:marTop w:val="0"/>
      <w:marBottom w:val="0"/>
      <w:divBdr>
        <w:top w:val="none" w:sz="0" w:space="0" w:color="auto"/>
        <w:left w:val="none" w:sz="0" w:space="0" w:color="auto"/>
        <w:bottom w:val="none" w:sz="0" w:space="0" w:color="auto"/>
        <w:right w:val="none" w:sz="0" w:space="0" w:color="auto"/>
      </w:divBdr>
      <w:divsChild>
        <w:div w:id="1034504988">
          <w:marLeft w:val="0"/>
          <w:marRight w:val="0"/>
          <w:marTop w:val="0"/>
          <w:marBottom w:val="0"/>
          <w:divBdr>
            <w:top w:val="none" w:sz="0" w:space="0" w:color="auto"/>
            <w:left w:val="none" w:sz="0" w:space="0" w:color="auto"/>
            <w:bottom w:val="none" w:sz="0" w:space="0" w:color="auto"/>
            <w:right w:val="none" w:sz="0" w:space="0" w:color="auto"/>
          </w:divBdr>
        </w:div>
      </w:divsChild>
    </w:div>
    <w:div w:id="252394098">
      <w:bodyDiv w:val="1"/>
      <w:marLeft w:val="0"/>
      <w:marRight w:val="0"/>
      <w:marTop w:val="0"/>
      <w:marBottom w:val="0"/>
      <w:divBdr>
        <w:top w:val="none" w:sz="0" w:space="0" w:color="auto"/>
        <w:left w:val="none" w:sz="0" w:space="0" w:color="auto"/>
        <w:bottom w:val="none" w:sz="0" w:space="0" w:color="auto"/>
        <w:right w:val="none" w:sz="0" w:space="0" w:color="auto"/>
      </w:divBdr>
    </w:div>
    <w:div w:id="322858837">
      <w:bodyDiv w:val="1"/>
      <w:marLeft w:val="0"/>
      <w:marRight w:val="0"/>
      <w:marTop w:val="0"/>
      <w:marBottom w:val="0"/>
      <w:divBdr>
        <w:top w:val="none" w:sz="0" w:space="0" w:color="auto"/>
        <w:left w:val="none" w:sz="0" w:space="0" w:color="auto"/>
        <w:bottom w:val="none" w:sz="0" w:space="0" w:color="auto"/>
        <w:right w:val="none" w:sz="0" w:space="0" w:color="auto"/>
      </w:divBdr>
    </w:div>
    <w:div w:id="343560762">
      <w:bodyDiv w:val="1"/>
      <w:marLeft w:val="0"/>
      <w:marRight w:val="0"/>
      <w:marTop w:val="0"/>
      <w:marBottom w:val="0"/>
      <w:divBdr>
        <w:top w:val="none" w:sz="0" w:space="0" w:color="auto"/>
        <w:left w:val="none" w:sz="0" w:space="0" w:color="auto"/>
        <w:bottom w:val="none" w:sz="0" w:space="0" w:color="auto"/>
        <w:right w:val="none" w:sz="0" w:space="0" w:color="auto"/>
      </w:divBdr>
      <w:divsChild>
        <w:div w:id="255291872">
          <w:marLeft w:val="0"/>
          <w:marRight w:val="0"/>
          <w:marTop w:val="0"/>
          <w:marBottom w:val="0"/>
          <w:divBdr>
            <w:top w:val="none" w:sz="0" w:space="0" w:color="auto"/>
            <w:left w:val="none" w:sz="0" w:space="0" w:color="auto"/>
            <w:bottom w:val="none" w:sz="0" w:space="0" w:color="auto"/>
            <w:right w:val="none" w:sz="0" w:space="0" w:color="auto"/>
          </w:divBdr>
        </w:div>
        <w:div w:id="839388327">
          <w:marLeft w:val="0"/>
          <w:marRight w:val="0"/>
          <w:marTop w:val="0"/>
          <w:marBottom w:val="0"/>
          <w:divBdr>
            <w:top w:val="none" w:sz="0" w:space="0" w:color="auto"/>
            <w:left w:val="none" w:sz="0" w:space="0" w:color="auto"/>
            <w:bottom w:val="none" w:sz="0" w:space="0" w:color="auto"/>
            <w:right w:val="none" w:sz="0" w:space="0" w:color="auto"/>
          </w:divBdr>
        </w:div>
        <w:div w:id="1008095036">
          <w:marLeft w:val="0"/>
          <w:marRight w:val="0"/>
          <w:marTop w:val="0"/>
          <w:marBottom w:val="0"/>
          <w:divBdr>
            <w:top w:val="none" w:sz="0" w:space="0" w:color="auto"/>
            <w:left w:val="none" w:sz="0" w:space="0" w:color="auto"/>
            <w:bottom w:val="none" w:sz="0" w:space="0" w:color="auto"/>
            <w:right w:val="none" w:sz="0" w:space="0" w:color="auto"/>
          </w:divBdr>
        </w:div>
        <w:div w:id="1993831679">
          <w:marLeft w:val="0"/>
          <w:marRight w:val="0"/>
          <w:marTop w:val="0"/>
          <w:marBottom w:val="0"/>
          <w:divBdr>
            <w:top w:val="none" w:sz="0" w:space="0" w:color="auto"/>
            <w:left w:val="none" w:sz="0" w:space="0" w:color="auto"/>
            <w:bottom w:val="none" w:sz="0" w:space="0" w:color="auto"/>
            <w:right w:val="none" w:sz="0" w:space="0" w:color="auto"/>
          </w:divBdr>
        </w:div>
      </w:divsChild>
    </w:div>
    <w:div w:id="435684806">
      <w:bodyDiv w:val="1"/>
      <w:marLeft w:val="0"/>
      <w:marRight w:val="0"/>
      <w:marTop w:val="0"/>
      <w:marBottom w:val="0"/>
      <w:divBdr>
        <w:top w:val="none" w:sz="0" w:space="0" w:color="auto"/>
        <w:left w:val="none" w:sz="0" w:space="0" w:color="auto"/>
        <w:bottom w:val="none" w:sz="0" w:space="0" w:color="auto"/>
        <w:right w:val="none" w:sz="0" w:space="0" w:color="auto"/>
      </w:divBdr>
    </w:div>
    <w:div w:id="451482322">
      <w:bodyDiv w:val="1"/>
      <w:marLeft w:val="0"/>
      <w:marRight w:val="0"/>
      <w:marTop w:val="0"/>
      <w:marBottom w:val="0"/>
      <w:divBdr>
        <w:top w:val="none" w:sz="0" w:space="0" w:color="auto"/>
        <w:left w:val="none" w:sz="0" w:space="0" w:color="auto"/>
        <w:bottom w:val="none" w:sz="0" w:space="0" w:color="auto"/>
        <w:right w:val="none" w:sz="0" w:space="0" w:color="auto"/>
      </w:divBdr>
    </w:div>
    <w:div w:id="459150351">
      <w:bodyDiv w:val="1"/>
      <w:marLeft w:val="0"/>
      <w:marRight w:val="0"/>
      <w:marTop w:val="0"/>
      <w:marBottom w:val="0"/>
      <w:divBdr>
        <w:top w:val="none" w:sz="0" w:space="0" w:color="auto"/>
        <w:left w:val="none" w:sz="0" w:space="0" w:color="auto"/>
        <w:bottom w:val="none" w:sz="0" w:space="0" w:color="auto"/>
        <w:right w:val="none" w:sz="0" w:space="0" w:color="auto"/>
      </w:divBdr>
    </w:div>
    <w:div w:id="519398481">
      <w:bodyDiv w:val="1"/>
      <w:marLeft w:val="0"/>
      <w:marRight w:val="0"/>
      <w:marTop w:val="0"/>
      <w:marBottom w:val="0"/>
      <w:divBdr>
        <w:top w:val="none" w:sz="0" w:space="0" w:color="auto"/>
        <w:left w:val="none" w:sz="0" w:space="0" w:color="auto"/>
        <w:bottom w:val="none" w:sz="0" w:space="0" w:color="auto"/>
        <w:right w:val="none" w:sz="0" w:space="0" w:color="auto"/>
      </w:divBdr>
    </w:div>
    <w:div w:id="661587167">
      <w:bodyDiv w:val="1"/>
      <w:marLeft w:val="0"/>
      <w:marRight w:val="0"/>
      <w:marTop w:val="0"/>
      <w:marBottom w:val="0"/>
      <w:divBdr>
        <w:top w:val="none" w:sz="0" w:space="0" w:color="auto"/>
        <w:left w:val="none" w:sz="0" w:space="0" w:color="auto"/>
        <w:bottom w:val="none" w:sz="0" w:space="0" w:color="auto"/>
        <w:right w:val="none" w:sz="0" w:space="0" w:color="auto"/>
      </w:divBdr>
    </w:div>
    <w:div w:id="851987793">
      <w:bodyDiv w:val="1"/>
      <w:marLeft w:val="0"/>
      <w:marRight w:val="0"/>
      <w:marTop w:val="0"/>
      <w:marBottom w:val="0"/>
      <w:divBdr>
        <w:top w:val="none" w:sz="0" w:space="0" w:color="auto"/>
        <w:left w:val="none" w:sz="0" w:space="0" w:color="auto"/>
        <w:bottom w:val="none" w:sz="0" w:space="0" w:color="auto"/>
        <w:right w:val="none" w:sz="0" w:space="0" w:color="auto"/>
      </w:divBdr>
    </w:div>
    <w:div w:id="901334303">
      <w:bodyDiv w:val="1"/>
      <w:marLeft w:val="0"/>
      <w:marRight w:val="0"/>
      <w:marTop w:val="0"/>
      <w:marBottom w:val="0"/>
      <w:divBdr>
        <w:top w:val="none" w:sz="0" w:space="0" w:color="auto"/>
        <w:left w:val="none" w:sz="0" w:space="0" w:color="auto"/>
        <w:bottom w:val="none" w:sz="0" w:space="0" w:color="auto"/>
        <w:right w:val="none" w:sz="0" w:space="0" w:color="auto"/>
      </w:divBdr>
    </w:div>
    <w:div w:id="909341764">
      <w:bodyDiv w:val="1"/>
      <w:marLeft w:val="0"/>
      <w:marRight w:val="0"/>
      <w:marTop w:val="0"/>
      <w:marBottom w:val="0"/>
      <w:divBdr>
        <w:top w:val="none" w:sz="0" w:space="0" w:color="auto"/>
        <w:left w:val="none" w:sz="0" w:space="0" w:color="auto"/>
        <w:bottom w:val="none" w:sz="0" w:space="0" w:color="auto"/>
        <w:right w:val="none" w:sz="0" w:space="0" w:color="auto"/>
      </w:divBdr>
    </w:div>
    <w:div w:id="1001813554">
      <w:bodyDiv w:val="1"/>
      <w:marLeft w:val="0"/>
      <w:marRight w:val="0"/>
      <w:marTop w:val="0"/>
      <w:marBottom w:val="0"/>
      <w:divBdr>
        <w:top w:val="none" w:sz="0" w:space="0" w:color="auto"/>
        <w:left w:val="none" w:sz="0" w:space="0" w:color="auto"/>
        <w:bottom w:val="none" w:sz="0" w:space="0" w:color="auto"/>
        <w:right w:val="none" w:sz="0" w:space="0" w:color="auto"/>
      </w:divBdr>
    </w:div>
    <w:div w:id="1037583886">
      <w:bodyDiv w:val="1"/>
      <w:marLeft w:val="0"/>
      <w:marRight w:val="0"/>
      <w:marTop w:val="0"/>
      <w:marBottom w:val="0"/>
      <w:divBdr>
        <w:top w:val="none" w:sz="0" w:space="0" w:color="auto"/>
        <w:left w:val="none" w:sz="0" w:space="0" w:color="auto"/>
        <w:bottom w:val="none" w:sz="0" w:space="0" w:color="auto"/>
        <w:right w:val="none" w:sz="0" w:space="0" w:color="auto"/>
      </w:divBdr>
    </w:div>
    <w:div w:id="1244729125">
      <w:bodyDiv w:val="1"/>
      <w:marLeft w:val="0"/>
      <w:marRight w:val="0"/>
      <w:marTop w:val="0"/>
      <w:marBottom w:val="0"/>
      <w:divBdr>
        <w:top w:val="none" w:sz="0" w:space="0" w:color="auto"/>
        <w:left w:val="none" w:sz="0" w:space="0" w:color="auto"/>
        <w:bottom w:val="none" w:sz="0" w:space="0" w:color="auto"/>
        <w:right w:val="none" w:sz="0" w:space="0" w:color="auto"/>
      </w:divBdr>
    </w:div>
    <w:div w:id="1353337792">
      <w:bodyDiv w:val="1"/>
      <w:marLeft w:val="0"/>
      <w:marRight w:val="0"/>
      <w:marTop w:val="0"/>
      <w:marBottom w:val="0"/>
      <w:divBdr>
        <w:top w:val="none" w:sz="0" w:space="0" w:color="auto"/>
        <w:left w:val="none" w:sz="0" w:space="0" w:color="auto"/>
        <w:bottom w:val="none" w:sz="0" w:space="0" w:color="auto"/>
        <w:right w:val="none" w:sz="0" w:space="0" w:color="auto"/>
      </w:divBdr>
    </w:div>
    <w:div w:id="1463962525">
      <w:bodyDiv w:val="1"/>
      <w:marLeft w:val="0"/>
      <w:marRight w:val="0"/>
      <w:marTop w:val="0"/>
      <w:marBottom w:val="0"/>
      <w:divBdr>
        <w:top w:val="none" w:sz="0" w:space="0" w:color="auto"/>
        <w:left w:val="none" w:sz="0" w:space="0" w:color="auto"/>
        <w:bottom w:val="none" w:sz="0" w:space="0" w:color="auto"/>
        <w:right w:val="none" w:sz="0" w:space="0" w:color="auto"/>
      </w:divBdr>
    </w:div>
    <w:div w:id="1538934249">
      <w:bodyDiv w:val="1"/>
      <w:marLeft w:val="0"/>
      <w:marRight w:val="0"/>
      <w:marTop w:val="0"/>
      <w:marBottom w:val="0"/>
      <w:divBdr>
        <w:top w:val="none" w:sz="0" w:space="0" w:color="auto"/>
        <w:left w:val="none" w:sz="0" w:space="0" w:color="auto"/>
        <w:bottom w:val="none" w:sz="0" w:space="0" w:color="auto"/>
        <w:right w:val="none" w:sz="0" w:space="0" w:color="auto"/>
      </w:divBdr>
    </w:div>
    <w:div w:id="1596093659">
      <w:bodyDiv w:val="1"/>
      <w:marLeft w:val="0"/>
      <w:marRight w:val="0"/>
      <w:marTop w:val="0"/>
      <w:marBottom w:val="0"/>
      <w:divBdr>
        <w:top w:val="none" w:sz="0" w:space="0" w:color="auto"/>
        <w:left w:val="none" w:sz="0" w:space="0" w:color="auto"/>
        <w:bottom w:val="none" w:sz="0" w:space="0" w:color="auto"/>
        <w:right w:val="none" w:sz="0" w:space="0" w:color="auto"/>
      </w:divBdr>
    </w:div>
    <w:div w:id="1639917863">
      <w:bodyDiv w:val="1"/>
      <w:marLeft w:val="0"/>
      <w:marRight w:val="0"/>
      <w:marTop w:val="0"/>
      <w:marBottom w:val="0"/>
      <w:divBdr>
        <w:top w:val="none" w:sz="0" w:space="0" w:color="auto"/>
        <w:left w:val="none" w:sz="0" w:space="0" w:color="auto"/>
        <w:bottom w:val="none" w:sz="0" w:space="0" w:color="auto"/>
        <w:right w:val="none" w:sz="0" w:space="0" w:color="auto"/>
      </w:divBdr>
    </w:div>
    <w:div w:id="1868133726">
      <w:bodyDiv w:val="1"/>
      <w:marLeft w:val="0"/>
      <w:marRight w:val="0"/>
      <w:marTop w:val="0"/>
      <w:marBottom w:val="0"/>
      <w:divBdr>
        <w:top w:val="none" w:sz="0" w:space="0" w:color="auto"/>
        <w:left w:val="none" w:sz="0" w:space="0" w:color="auto"/>
        <w:bottom w:val="none" w:sz="0" w:space="0" w:color="auto"/>
        <w:right w:val="none" w:sz="0" w:space="0" w:color="auto"/>
      </w:divBdr>
    </w:div>
    <w:div w:id="1978216765">
      <w:bodyDiv w:val="1"/>
      <w:marLeft w:val="0"/>
      <w:marRight w:val="0"/>
      <w:marTop w:val="0"/>
      <w:marBottom w:val="0"/>
      <w:divBdr>
        <w:top w:val="none" w:sz="0" w:space="0" w:color="auto"/>
        <w:left w:val="none" w:sz="0" w:space="0" w:color="auto"/>
        <w:bottom w:val="none" w:sz="0" w:space="0" w:color="auto"/>
        <w:right w:val="none" w:sz="0" w:space="0" w:color="auto"/>
      </w:divBdr>
    </w:div>
    <w:div w:id="2120759209">
      <w:bodyDiv w:val="1"/>
      <w:marLeft w:val="0"/>
      <w:marRight w:val="0"/>
      <w:marTop w:val="0"/>
      <w:marBottom w:val="0"/>
      <w:divBdr>
        <w:top w:val="none" w:sz="0" w:space="0" w:color="auto"/>
        <w:left w:val="none" w:sz="0" w:space="0" w:color="auto"/>
        <w:bottom w:val="none" w:sz="0" w:space="0" w:color="auto"/>
        <w:right w:val="none" w:sz="0" w:space="0" w:color="auto"/>
      </w:divBdr>
    </w:div>
    <w:div w:id="212966501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LSR_dan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Desktop\LSR_dan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demografia!$H$3:$M$3</c:f>
              <c:numCache>
                <c:formatCode>General</c:formatCode>
                <c:ptCount val="6"/>
                <c:pt idx="0">
                  <c:v>2016</c:v>
                </c:pt>
                <c:pt idx="1">
                  <c:v>2017</c:v>
                </c:pt>
                <c:pt idx="2">
                  <c:v>2018</c:v>
                </c:pt>
                <c:pt idx="3">
                  <c:v>2019</c:v>
                </c:pt>
                <c:pt idx="4">
                  <c:v>2020</c:v>
                </c:pt>
                <c:pt idx="5">
                  <c:v>2021</c:v>
                </c:pt>
              </c:numCache>
            </c:numRef>
          </c:cat>
          <c:val>
            <c:numRef>
              <c:f>demografia!$H$12:$M$12</c:f>
              <c:numCache>
                <c:formatCode>#,##0</c:formatCode>
                <c:ptCount val="6"/>
                <c:pt idx="0">
                  <c:v>110450</c:v>
                </c:pt>
                <c:pt idx="1">
                  <c:v>111112</c:v>
                </c:pt>
                <c:pt idx="2">
                  <c:v>111756</c:v>
                </c:pt>
                <c:pt idx="3">
                  <c:v>112279</c:v>
                </c:pt>
                <c:pt idx="4">
                  <c:v>113626</c:v>
                </c:pt>
                <c:pt idx="5">
                  <c:v>113899</c:v>
                </c:pt>
              </c:numCache>
            </c:numRef>
          </c:val>
          <c:smooth val="0"/>
          <c:extLst>
            <c:ext xmlns:c16="http://schemas.microsoft.com/office/drawing/2014/chart" uri="{C3380CC4-5D6E-409C-BE32-E72D297353CC}">
              <c16:uniqueId val="{00000000-04C6-47C6-ACBE-13A963377F1F}"/>
            </c:ext>
          </c:extLst>
        </c:ser>
        <c:dLbls>
          <c:showLegendKey val="0"/>
          <c:showVal val="0"/>
          <c:showCatName val="0"/>
          <c:showSerName val="0"/>
          <c:showPercent val="0"/>
          <c:showBubbleSize val="0"/>
        </c:dLbls>
        <c:marker val="1"/>
        <c:smooth val="0"/>
        <c:axId val="187912576"/>
        <c:axId val="187914112"/>
      </c:lineChart>
      <c:catAx>
        <c:axId val="1879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914112"/>
        <c:crosses val="autoZero"/>
        <c:auto val="1"/>
        <c:lblAlgn val="ctr"/>
        <c:lblOffset val="100"/>
        <c:noMultiLvlLbl val="0"/>
      </c:catAx>
      <c:valAx>
        <c:axId val="187914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91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'pomoc społeczna'!$R$3:$V$3</c:f>
              <c:strCache>
                <c:ptCount val="5"/>
                <c:pt idx="0">
                  <c:v>2016</c:v>
                </c:pt>
                <c:pt idx="1">
                  <c:v>2017</c:v>
                </c:pt>
                <c:pt idx="2">
                  <c:v>2018</c:v>
                </c:pt>
                <c:pt idx="3">
                  <c:v>2019</c:v>
                </c:pt>
                <c:pt idx="4">
                  <c:v>2020</c:v>
                </c:pt>
              </c:strCache>
            </c:strRef>
          </c:cat>
          <c:val>
            <c:numRef>
              <c:f>'pomoc społeczna'!$R$12:$V$12</c:f>
              <c:numCache>
                <c:formatCode>#,##0.0</c:formatCode>
                <c:ptCount val="5"/>
                <c:pt idx="0">
                  <c:v>5.8</c:v>
                </c:pt>
                <c:pt idx="1">
                  <c:v>4.7</c:v>
                </c:pt>
                <c:pt idx="2">
                  <c:v>4.0999999999999996</c:v>
                </c:pt>
                <c:pt idx="3">
                  <c:v>3.8</c:v>
                </c:pt>
                <c:pt idx="4">
                  <c:v>3.2</c:v>
                </c:pt>
              </c:numCache>
            </c:numRef>
          </c:val>
          <c:extLst>
            <c:ext xmlns:c16="http://schemas.microsoft.com/office/drawing/2014/chart" uri="{C3380CC4-5D6E-409C-BE32-E72D297353CC}">
              <c16:uniqueId val="{00000000-07BA-4872-919C-3F7F8465B7A4}"/>
            </c:ext>
          </c:extLst>
        </c:ser>
        <c:dLbls>
          <c:showLegendKey val="0"/>
          <c:showVal val="0"/>
          <c:showCatName val="0"/>
          <c:showSerName val="0"/>
          <c:showPercent val="0"/>
          <c:showBubbleSize val="0"/>
        </c:dLbls>
        <c:gapWidth val="219"/>
        <c:overlap val="-27"/>
        <c:axId val="215733760"/>
        <c:axId val="215735296"/>
      </c:barChart>
      <c:catAx>
        <c:axId val="21573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735296"/>
        <c:crosses val="autoZero"/>
        <c:auto val="1"/>
        <c:lblAlgn val="ctr"/>
        <c:lblOffset val="100"/>
        <c:noMultiLvlLbl val="0"/>
      </c:catAx>
      <c:valAx>
        <c:axId val="21573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73376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BB35-443F-A5D3-6316ED5076BC}"/>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2-BB35-443F-A5D3-6316ED5076BC}"/>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3-BB35-443F-A5D3-6316ED5076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społeczna'!$B$12:$B$14</c:f>
              <c:strCache>
                <c:ptCount val="3"/>
                <c:pt idx="0">
                  <c:v>LGD</c:v>
                </c:pt>
                <c:pt idx="1">
                  <c:v>województwo małopolskie</c:v>
                </c:pt>
                <c:pt idx="2">
                  <c:v>Polska</c:v>
                </c:pt>
              </c:strCache>
            </c:strRef>
          </c:cat>
          <c:val>
            <c:numRef>
              <c:f>'pomoc społeczna'!$V$12:$V$14</c:f>
              <c:numCache>
                <c:formatCode>0.0</c:formatCode>
                <c:ptCount val="3"/>
                <c:pt idx="0" formatCode="#,##0.0">
                  <c:v>3.2</c:v>
                </c:pt>
                <c:pt idx="1">
                  <c:v>3.7</c:v>
                </c:pt>
                <c:pt idx="2">
                  <c:v>4.2</c:v>
                </c:pt>
              </c:numCache>
            </c:numRef>
          </c:val>
          <c:extLst>
            <c:ext xmlns:c16="http://schemas.microsoft.com/office/drawing/2014/chart" uri="{C3380CC4-5D6E-409C-BE32-E72D297353CC}">
              <c16:uniqueId val="{00000000-BB35-443F-A5D3-6316ED5076BC}"/>
            </c:ext>
          </c:extLst>
        </c:ser>
        <c:dLbls>
          <c:showLegendKey val="0"/>
          <c:showVal val="0"/>
          <c:showCatName val="0"/>
          <c:showSerName val="0"/>
          <c:showPercent val="0"/>
          <c:showBubbleSize val="0"/>
        </c:dLbls>
        <c:gapWidth val="219"/>
        <c:overlap val="-27"/>
        <c:axId val="215587072"/>
        <c:axId val="215588864"/>
      </c:barChart>
      <c:catAx>
        <c:axId val="2155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588864"/>
        <c:crosses val="autoZero"/>
        <c:auto val="1"/>
        <c:lblAlgn val="ctr"/>
        <c:lblOffset val="100"/>
        <c:noMultiLvlLbl val="0"/>
      </c:catAx>
      <c:valAx>
        <c:axId val="215588864"/>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58707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środowisko!$G$36</c:f>
              <c:strCache>
                <c:ptCount val="1"/>
                <c:pt idx="0">
                  <c:v>wodociągi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środowisko!$F$37:$F$39</c:f>
              <c:strCache>
                <c:ptCount val="3"/>
                <c:pt idx="0">
                  <c:v>LGD</c:v>
                </c:pt>
                <c:pt idx="1">
                  <c:v>województwo małopolskie</c:v>
                </c:pt>
                <c:pt idx="2">
                  <c:v>Polska</c:v>
                </c:pt>
              </c:strCache>
            </c:strRef>
          </c:cat>
          <c:val>
            <c:numRef>
              <c:f>środowisko!$G$37:$G$39</c:f>
              <c:numCache>
                <c:formatCode>0.0</c:formatCode>
                <c:ptCount val="3"/>
                <c:pt idx="0">
                  <c:v>47.5</c:v>
                </c:pt>
                <c:pt idx="1">
                  <c:v>81.900000000000006</c:v>
                </c:pt>
                <c:pt idx="2">
                  <c:v>92.2</c:v>
                </c:pt>
              </c:numCache>
            </c:numRef>
          </c:val>
          <c:extLst>
            <c:ext xmlns:c16="http://schemas.microsoft.com/office/drawing/2014/chart" uri="{C3380CC4-5D6E-409C-BE32-E72D297353CC}">
              <c16:uniqueId val="{00000000-CC07-4963-AD49-031CAA23B2BB}"/>
            </c:ext>
          </c:extLst>
        </c:ser>
        <c:ser>
          <c:idx val="1"/>
          <c:order val="1"/>
          <c:tx>
            <c:strRef>
              <c:f>środowisko!$H$36</c:f>
              <c:strCache>
                <c:ptCount val="1"/>
                <c:pt idx="0">
                  <c:v>kanalizacja</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środowisko!$F$37:$F$39</c:f>
              <c:strCache>
                <c:ptCount val="3"/>
                <c:pt idx="0">
                  <c:v>LGD</c:v>
                </c:pt>
                <c:pt idx="1">
                  <c:v>województwo małopolskie</c:v>
                </c:pt>
                <c:pt idx="2">
                  <c:v>Polska</c:v>
                </c:pt>
              </c:strCache>
            </c:strRef>
          </c:cat>
          <c:val>
            <c:numRef>
              <c:f>środowisko!$H$37:$H$39</c:f>
              <c:numCache>
                <c:formatCode>0.0</c:formatCode>
                <c:ptCount val="3"/>
                <c:pt idx="0">
                  <c:v>44.199999999999996</c:v>
                </c:pt>
                <c:pt idx="1">
                  <c:v>64.599999999999994</c:v>
                </c:pt>
                <c:pt idx="2">
                  <c:v>71.5</c:v>
                </c:pt>
              </c:numCache>
            </c:numRef>
          </c:val>
          <c:extLst>
            <c:ext xmlns:c16="http://schemas.microsoft.com/office/drawing/2014/chart" uri="{C3380CC4-5D6E-409C-BE32-E72D297353CC}">
              <c16:uniqueId val="{00000001-CC07-4963-AD49-031CAA23B2BB}"/>
            </c:ext>
          </c:extLst>
        </c:ser>
        <c:ser>
          <c:idx val="2"/>
          <c:order val="2"/>
          <c:tx>
            <c:strRef>
              <c:f>środowisko!$I$36</c:f>
              <c:strCache>
                <c:ptCount val="1"/>
                <c:pt idx="0">
                  <c:v>gaz</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środowisko!$F$37:$F$39</c:f>
              <c:strCache>
                <c:ptCount val="3"/>
                <c:pt idx="0">
                  <c:v>LGD</c:v>
                </c:pt>
                <c:pt idx="1">
                  <c:v>województwo małopolskie</c:v>
                </c:pt>
                <c:pt idx="2">
                  <c:v>Polska</c:v>
                </c:pt>
              </c:strCache>
            </c:strRef>
          </c:cat>
          <c:val>
            <c:numRef>
              <c:f>środowisko!$I$37:$I$39</c:f>
              <c:numCache>
                <c:formatCode>0.0</c:formatCode>
                <c:ptCount val="3"/>
                <c:pt idx="0">
                  <c:v>50.4</c:v>
                </c:pt>
                <c:pt idx="1">
                  <c:v>65.3</c:v>
                </c:pt>
                <c:pt idx="2">
                  <c:v>54.8</c:v>
                </c:pt>
              </c:numCache>
            </c:numRef>
          </c:val>
          <c:extLst>
            <c:ext xmlns:c16="http://schemas.microsoft.com/office/drawing/2014/chart" uri="{C3380CC4-5D6E-409C-BE32-E72D297353CC}">
              <c16:uniqueId val="{00000002-CC07-4963-AD49-031CAA23B2BB}"/>
            </c:ext>
          </c:extLst>
        </c:ser>
        <c:dLbls>
          <c:showLegendKey val="0"/>
          <c:showVal val="0"/>
          <c:showCatName val="0"/>
          <c:showSerName val="0"/>
          <c:showPercent val="0"/>
          <c:showBubbleSize val="0"/>
        </c:dLbls>
        <c:gapWidth val="219"/>
        <c:overlap val="-27"/>
        <c:axId val="215842816"/>
        <c:axId val="215844352"/>
      </c:barChart>
      <c:catAx>
        <c:axId val="2158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844352"/>
        <c:crosses val="autoZero"/>
        <c:auto val="1"/>
        <c:lblAlgn val="ctr"/>
        <c:lblOffset val="100"/>
        <c:noMultiLvlLbl val="0"/>
      </c:catAx>
      <c:valAx>
        <c:axId val="21584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84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F-E5FE-4902-BBFF-A17FDE9199AF}"/>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11-E5FE-4902-BBFF-A17FDE9199AF}"/>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13-E5FE-4902-BBFF-A17FDE9199A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społeczna'!$B$4:$B$14</c:f>
              <c:strCache>
                <c:ptCount val="3"/>
                <c:pt idx="0">
                  <c:v>LGD</c:v>
                </c:pt>
                <c:pt idx="1">
                  <c:v>województwo małopolskie</c:v>
                </c:pt>
                <c:pt idx="2">
                  <c:v>Polska</c:v>
                </c:pt>
              </c:strCache>
              <c:extLst/>
            </c:strRef>
          </c:cat>
          <c:val>
            <c:numRef>
              <c:f>NIEPEŁNOSPRAWNI!$W$11:$W$21</c:f>
              <c:numCache>
                <c:formatCode>0</c:formatCode>
                <c:ptCount val="3"/>
                <c:pt idx="0">
                  <c:v>24.319792096506553</c:v>
                </c:pt>
                <c:pt idx="1">
                  <c:v>20.493416162104964</c:v>
                </c:pt>
                <c:pt idx="2">
                  <c:v>27.172576846120776</c:v>
                </c:pt>
              </c:numCache>
              <c:extLst/>
            </c:numRef>
          </c:val>
          <c:extLst>
            <c:ext xmlns:c16="http://schemas.microsoft.com/office/drawing/2014/chart" uri="{C3380CC4-5D6E-409C-BE32-E72D297353CC}">
              <c16:uniqueId val="{00000014-E5FE-4902-BBFF-A17FDE9199AF}"/>
            </c:ext>
          </c:extLst>
        </c:ser>
        <c:dLbls>
          <c:dLblPos val="outEnd"/>
          <c:showLegendKey val="0"/>
          <c:showVal val="1"/>
          <c:showCatName val="0"/>
          <c:showSerName val="0"/>
          <c:showPercent val="0"/>
          <c:showBubbleSize val="0"/>
        </c:dLbls>
        <c:gapWidth val="219"/>
        <c:overlap val="-27"/>
        <c:axId val="215865984"/>
        <c:axId val="215882368"/>
      </c:barChart>
      <c:catAx>
        <c:axId val="2158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882368"/>
        <c:crosses val="autoZero"/>
        <c:auto val="1"/>
        <c:lblAlgn val="ctr"/>
        <c:lblOffset val="100"/>
        <c:noMultiLvlLbl val="0"/>
      </c:catAx>
      <c:valAx>
        <c:axId val="21588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586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demografia!$B$16</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2016</c:v>
              </c:pt>
              <c:pt idx="1">
                <c:v>2017</c:v>
              </c:pt>
              <c:pt idx="2">
                <c:v>2018</c:v>
              </c:pt>
              <c:pt idx="3">
                <c:v>2019</c:v>
              </c:pt>
              <c:pt idx="4">
                <c:v>2020</c:v>
              </c:pt>
              <c:pt idx="5">
                <c:v>2021</c:v>
              </c:pt>
            </c:numLit>
          </c:cat>
          <c:val>
            <c:numRef>
              <c:f>demografia!$T$26:$Y$26</c:f>
              <c:numCache>
                <c:formatCode>#,##0.0</c:formatCode>
                <c:ptCount val="6"/>
                <c:pt idx="0">
                  <c:v>21.6</c:v>
                </c:pt>
                <c:pt idx="1">
                  <c:v>21.6</c:v>
                </c:pt>
                <c:pt idx="2">
                  <c:v>21.5</c:v>
                </c:pt>
                <c:pt idx="3">
                  <c:v>21.5</c:v>
                </c:pt>
                <c:pt idx="4">
                  <c:v>22.2</c:v>
                </c:pt>
                <c:pt idx="5">
                  <c:v>22.2</c:v>
                </c:pt>
              </c:numCache>
            </c:numRef>
          </c:val>
          <c:extLst>
            <c:ext xmlns:c16="http://schemas.microsoft.com/office/drawing/2014/chart" uri="{C3380CC4-5D6E-409C-BE32-E72D297353CC}">
              <c16:uniqueId val="{00000000-F5DD-4A0B-AEA7-0CF69EB82777}"/>
            </c:ext>
          </c:extLst>
        </c:ser>
        <c:ser>
          <c:idx val="1"/>
          <c:order val="1"/>
          <c:tx>
            <c:strRef>
              <c:f>demografia!$Z$16</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2016</c:v>
              </c:pt>
              <c:pt idx="1">
                <c:v>2017</c:v>
              </c:pt>
              <c:pt idx="2">
                <c:v>2018</c:v>
              </c:pt>
              <c:pt idx="3">
                <c:v>2019</c:v>
              </c:pt>
              <c:pt idx="4">
                <c:v>2020</c:v>
              </c:pt>
              <c:pt idx="5">
                <c:v>2021</c:v>
              </c:pt>
            </c:numLit>
          </c:cat>
          <c:val>
            <c:numRef>
              <c:f>demografia!$Z$26:$AE$26</c:f>
              <c:numCache>
                <c:formatCode>#,##0.0</c:formatCode>
                <c:ptCount val="6"/>
                <c:pt idx="0">
                  <c:v>62.7</c:v>
                </c:pt>
                <c:pt idx="1">
                  <c:v>62.3</c:v>
                </c:pt>
                <c:pt idx="2">
                  <c:v>61.9</c:v>
                </c:pt>
                <c:pt idx="3">
                  <c:v>61.5</c:v>
                </c:pt>
                <c:pt idx="4">
                  <c:v>60.3</c:v>
                </c:pt>
                <c:pt idx="5">
                  <c:v>59.9</c:v>
                </c:pt>
              </c:numCache>
            </c:numRef>
          </c:val>
          <c:extLst>
            <c:ext xmlns:c16="http://schemas.microsoft.com/office/drawing/2014/chart" uri="{C3380CC4-5D6E-409C-BE32-E72D297353CC}">
              <c16:uniqueId val="{00000001-F5DD-4A0B-AEA7-0CF69EB82777}"/>
            </c:ext>
          </c:extLst>
        </c:ser>
        <c:ser>
          <c:idx val="2"/>
          <c:order val="2"/>
          <c:tx>
            <c:strRef>
              <c:f>demografia!$AF$16</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2016</c:v>
              </c:pt>
              <c:pt idx="1">
                <c:v>2017</c:v>
              </c:pt>
              <c:pt idx="2">
                <c:v>2018</c:v>
              </c:pt>
              <c:pt idx="3">
                <c:v>2019</c:v>
              </c:pt>
              <c:pt idx="4">
                <c:v>2020</c:v>
              </c:pt>
              <c:pt idx="5">
                <c:v>2021</c:v>
              </c:pt>
            </c:numLit>
          </c:cat>
          <c:val>
            <c:numRef>
              <c:f>demografia!$AF$26:$AK$26</c:f>
              <c:numCache>
                <c:formatCode>#,##0.0</c:formatCode>
                <c:ptCount val="6"/>
                <c:pt idx="0">
                  <c:v>15.67949298325034</c:v>
                </c:pt>
                <c:pt idx="1">
                  <c:v>16.086471308229534</c:v>
                </c:pt>
                <c:pt idx="2">
                  <c:v>16.7</c:v>
                </c:pt>
                <c:pt idx="3">
                  <c:v>16.986257447964444</c:v>
                </c:pt>
                <c:pt idx="4">
                  <c:v>17.7</c:v>
                </c:pt>
                <c:pt idx="5">
                  <c:v>17.855292847171615</c:v>
                </c:pt>
              </c:numCache>
            </c:numRef>
          </c:val>
          <c:extLst>
            <c:ext xmlns:c16="http://schemas.microsoft.com/office/drawing/2014/chart" uri="{C3380CC4-5D6E-409C-BE32-E72D297353CC}">
              <c16:uniqueId val="{00000002-F5DD-4A0B-AEA7-0CF69EB82777}"/>
            </c:ext>
          </c:extLst>
        </c:ser>
        <c:dLbls>
          <c:dLblPos val="ctr"/>
          <c:showLegendKey val="0"/>
          <c:showVal val="1"/>
          <c:showCatName val="0"/>
          <c:showSerName val="0"/>
          <c:showPercent val="0"/>
          <c:showBubbleSize val="0"/>
        </c:dLbls>
        <c:gapWidth val="150"/>
        <c:overlap val="100"/>
        <c:axId val="187955072"/>
        <c:axId val="187956608"/>
      </c:barChart>
      <c:catAx>
        <c:axId val="1879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7956608"/>
        <c:crosses val="autoZero"/>
        <c:auto val="1"/>
        <c:lblAlgn val="ctr"/>
        <c:lblOffset val="100"/>
        <c:noMultiLvlLbl val="0"/>
      </c:catAx>
      <c:valAx>
        <c:axId val="1879566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795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demografia!$T$16</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demografia!$A$26:$A$28</c:f>
              <c:strCache>
                <c:ptCount val="3"/>
                <c:pt idx="0">
                  <c:v>LGD</c:v>
                </c:pt>
                <c:pt idx="1">
                  <c:v>województwo małopolskie</c:v>
                </c:pt>
                <c:pt idx="2">
                  <c:v>Polska</c:v>
                </c:pt>
              </c:strCache>
            </c:strRef>
          </c:cat>
          <c:val>
            <c:numRef>
              <c:f>demografia!$Y$26:$Y$28</c:f>
              <c:numCache>
                <c:formatCode>0.0</c:formatCode>
                <c:ptCount val="3"/>
                <c:pt idx="0" formatCode="#,##0.0">
                  <c:v>22.2</c:v>
                </c:pt>
                <c:pt idx="1">
                  <c:v>19.3</c:v>
                </c:pt>
                <c:pt idx="2">
                  <c:v>18.399999999999999</c:v>
                </c:pt>
              </c:numCache>
            </c:numRef>
          </c:val>
          <c:extLst>
            <c:ext xmlns:c16="http://schemas.microsoft.com/office/drawing/2014/chart" uri="{C3380CC4-5D6E-409C-BE32-E72D297353CC}">
              <c16:uniqueId val="{00000000-D9C0-4476-9D53-3F677DE71D17}"/>
            </c:ext>
          </c:extLst>
        </c:ser>
        <c:ser>
          <c:idx val="1"/>
          <c:order val="1"/>
          <c:tx>
            <c:strRef>
              <c:f>demografia!$Z$16</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demografia!$A$26:$A$28</c:f>
              <c:strCache>
                <c:ptCount val="3"/>
                <c:pt idx="0">
                  <c:v>LGD</c:v>
                </c:pt>
                <c:pt idx="1">
                  <c:v>województwo małopolskie</c:v>
                </c:pt>
                <c:pt idx="2">
                  <c:v>Polska</c:v>
                </c:pt>
              </c:strCache>
            </c:strRef>
          </c:cat>
          <c:val>
            <c:numRef>
              <c:f>demografia!$AE$26:$AE$28</c:f>
              <c:numCache>
                <c:formatCode>0.0</c:formatCode>
                <c:ptCount val="3"/>
                <c:pt idx="0" formatCode="#,##0.0">
                  <c:v>59.9</c:v>
                </c:pt>
                <c:pt idx="1">
                  <c:v>60</c:v>
                </c:pt>
                <c:pt idx="2">
                  <c:v>59.1</c:v>
                </c:pt>
              </c:numCache>
            </c:numRef>
          </c:val>
          <c:extLst>
            <c:ext xmlns:c16="http://schemas.microsoft.com/office/drawing/2014/chart" uri="{C3380CC4-5D6E-409C-BE32-E72D297353CC}">
              <c16:uniqueId val="{00000001-D9C0-4476-9D53-3F677DE71D17}"/>
            </c:ext>
          </c:extLst>
        </c:ser>
        <c:ser>
          <c:idx val="2"/>
          <c:order val="2"/>
          <c:tx>
            <c:strRef>
              <c:f>demografia!$AF$16</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demografia!$A$26:$A$28</c:f>
              <c:strCache>
                <c:ptCount val="3"/>
                <c:pt idx="0">
                  <c:v>LGD</c:v>
                </c:pt>
                <c:pt idx="1">
                  <c:v>województwo małopolskie</c:v>
                </c:pt>
                <c:pt idx="2">
                  <c:v>Polska</c:v>
                </c:pt>
              </c:strCache>
            </c:strRef>
          </c:cat>
          <c:val>
            <c:numRef>
              <c:f>demografia!$AK$26:$AK$28</c:f>
              <c:numCache>
                <c:formatCode>0.0</c:formatCode>
                <c:ptCount val="3"/>
                <c:pt idx="0" formatCode="#,##0.0">
                  <c:v>17.855292847171615</c:v>
                </c:pt>
                <c:pt idx="1">
                  <c:v>20.690945874643258</c:v>
                </c:pt>
                <c:pt idx="2">
                  <c:v>22.501133278871229</c:v>
                </c:pt>
              </c:numCache>
            </c:numRef>
          </c:val>
          <c:extLst>
            <c:ext xmlns:c16="http://schemas.microsoft.com/office/drawing/2014/chart" uri="{C3380CC4-5D6E-409C-BE32-E72D297353CC}">
              <c16:uniqueId val="{00000002-D9C0-4476-9D53-3F677DE71D17}"/>
            </c:ext>
          </c:extLst>
        </c:ser>
        <c:dLbls>
          <c:dLblPos val="ctr"/>
          <c:showLegendKey val="0"/>
          <c:showVal val="1"/>
          <c:showCatName val="0"/>
          <c:showSerName val="0"/>
          <c:showPercent val="0"/>
          <c:showBubbleSize val="0"/>
        </c:dLbls>
        <c:gapWidth val="219"/>
        <c:overlap val="100"/>
        <c:axId val="187593088"/>
        <c:axId val="187594624"/>
      </c:barChart>
      <c:catAx>
        <c:axId val="18759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594624"/>
        <c:crosses val="autoZero"/>
        <c:auto val="1"/>
        <c:lblAlgn val="ctr"/>
        <c:lblOffset val="100"/>
        <c:noMultiLvlLbl val="0"/>
      </c:catAx>
      <c:valAx>
        <c:axId val="187594624"/>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759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demografia!$H$30</c:f>
              <c:strCache>
                <c:ptCount val="1"/>
                <c:pt idx="0">
                  <c:v>Przyrost naturalny na 1 000 ludności </c:v>
                </c:pt>
              </c:strCache>
            </c:strRef>
          </c:tx>
          <c:spPr>
            <a:solidFill>
              <a:srgbClr val="FFC000">
                <a:lumMod val="40000"/>
                <a:lumOff val="60000"/>
              </a:srgb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demografia!$H$31:$M$31</c:f>
              <c:numCache>
                <c:formatCode>@</c:formatCode>
                <c:ptCount val="6"/>
                <c:pt idx="0">
                  <c:v>2016</c:v>
                </c:pt>
                <c:pt idx="1">
                  <c:v>2017</c:v>
                </c:pt>
                <c:pt idx="2">
                  <c:v>2018</c:v>
                </c:pt>
                <c:pt idx="3">
                  <c:v>2019</c:v>
                </c:pt>
                <c:pt idx="4">
                  <c:v>2020</c:v>
                </c:pt>
                <c:pt idx="5">
                  <c:v>2021</c:v>
                </c:pt>
              </c:numCache>
            </c:numRef>
          </c:cat>
          <c:val>
            <c:numRef>
              <c:f>demografia!$H$40:$M$40</c:f>
              <c:numCache>
                <c:formatCode>0.0</c:formatCode>
                <c:ptCount val="6"/>
                <c:pt idx="0">
                  <c:v>4.0999999999999996</c:v>
                </c:pt>
                <c:pt idx="1">
                  <c:v>4.2</c:v>
                </c:pt>
                <c:pt idx="2">
                  <c:v>4.2</c:v>
                </c:pt>
                <c:pt idx="3">
                  <c:v>2.7</c:v>
                </c:pt>
                <c:pt idx="4">
                  <c:v>1.1000000000000001</c:v>
                </c:pt>
                <c:pt idx="5">
                  <c:v>0</c:v>
                </c:pt>
              </c:numCache>
            </c:numRef>
          </c:val>
          <c:extLst>
            <c:ext xmlns:c16="http://schemas.microsoft.com/office/drawing/2014/chart" uri="{C3380CC4-5D6E-409C-BE32-E72D297353CC}">
              <c16:uniqueId val="{00000001-4CE4-4FB8-A174-ACDF6BD31688}"/>
            </c:ext>
          </c:extLst>
        </c:ser>
        <c:dLbls>
          <c:showLegendKey val="0"/>
          <c:showVal val="0"/>
          <c:showCatName val="0"/>
          <c:showSerName val="0"/>
          <c:showPercent val="0"/>
          <c:showBubbleSize val="0"/>
        </c:dLbls>
        <c:gapWidth val="150"/>
        <c:overlap val="-27"/>
        <c:axId val="187625472"/>
        <c:axId val="187627008"/>
      </c:barChart>
      <c:catAx>
        <c:axId val="18762547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627008"/>
        <c:crosses val="autoZero"/>
        <c:auto val="1"/>
        <c:lblAlgn val="ctr"/>
        <c:lblOffset val="100"/>
        <c:noMultiLvlLbl val="0"/>
      </c:catAx>
      <c:valAx>
        <c:axId val="18762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62547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demografia!$H$45</c:f>
              <c:strCache>
                <c:ptCount val="1"/>
                <c:pt idx="0">
                  <c:v>Saldo migracji na 1 000 ludności</c:v>
                </c:pt>
              </c:strCache>
            </c:strRef>
          </c:tx>
          <c:spPr>
            <a:solidFill>
              <a:srgbClr val="FFC000">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demografia!$H$46:$M$46</c:f>
              <c:numCache>
                <c:formatCode>@</c:formatCode>
                <c:ptCount val="6"/>
                <c:pt idx="0">
                  <c:v>2016</c:v>
                </c:pt>
                <c:pt idx="1">
                  <c:v>2017</c:v>
                </c:pt>
                <c:pt idx="2">
                  <c:v>2018</c:v>
                </c:pt>
                <c:pt idx="3">
                  <c:v>2019</c:v>
                </c:pt>
                <c:pt idx="4">
                  <c:v>2020</c:v>
                </c:pt>
                <c:pt idx="5">
                  <c:v>2021</c:v>
                </c:pt>
              </c:numCache>
            </c:numRef>
          </c:cat>
          <c:val>
            <c:numRef>
              <c:f>demografia!$H$55:$M$55</c:f>
              <c:numCache>
                <c:formatCode>0.0</c:formatCode>
                <c:ptCount val="6"/>
                <c:pt idx="0">
                  <c:v>1.5</c:v>
                </c:pt>
                <c:pt idx="1">
                  <c:v>1.6</c:v>
                </c:pt>
                <c:pt idx="2">
                  <c:v>1.9</c:v>
                </c:pt>
                <c:pt idx="3">
                  <c:v>2.2999999999999998</c:v>
                </c:pt>
                <c:pt idx="4">
                  <c:v>1.6</c:v>
                </c:pt>
                <c:pt idx="5">
                  <c:v>1.7</c:v>
                </c:pt>
              </c:numCache>
            </c:numRef>
          </c:val>
          <c:extLst>
            <c:ext xmlns:c16="http://schemas.microsoft.com/office/drawing/2014/chart" uri="{C3380CC4-5D6E-409C-BE32-E72D297353CC}">
              <c16:uniqueId val="{00000001-5028-4B32-9F3A-74B145B112F2}"/>
            </c:ext>
          </c:extLst>
        </c:ser>
        <c:dLbls>
          <c:dLblPos val="outEnd"/>
          <c:showLegendKey val="0"/>
          <c:showVal val="1"/>
          <c:showCatName val="0"/>
          <c:showSerName val="0"/>
          <c:showPercent val="0"/>
          <c:showBubbleSize val="0"/>
        </c:dLbls>
        <c:gapWidth val="150"/>
        <c:overlap val="-27"/>
        <c:axId val="187806848"/>
        <c:axId val="187808384"/>
      </c:barChart>
      <c:catAx>
        <c:axId val="187806848"/>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808384"/>
        <c:crosses val="autoZero"/>
        <c:auto val="1"/>
        <c:lblAlgn val="ctr"/>
        <c:lblOffset val="300"/>
        <c:noMultiLvlLbl val="0"/>
      </c:catAx>
      <c:valAx>
        <c:axId val="187808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87806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demografia!$H$45</c:f>
              <c:strCache>
                <c:ptCount val="1"/>
                <c:pt idx="0">
                  <c:v>Saldo migracji na 1 000 ludności</c:v>
                </c:pt>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7-0096-43FF-8A56-BDABBC01589C}"/>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0096-43FF-8A56-BDABBC01589C}"/>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3-0096-43FF-8A56-BDABBC0158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demografia!$A$55:$A$57</c:f>
              <c:strCache>
                <c:ptCount val="3"/>
                <c:pt idx="0">
                  <c:v>LGD</c:v>
                </c:pt>
                <c:pt idx="1">
                  <c:v>województwo małopolskie</c:v>
                </c:pt>
                <c:pt idx="2">
                  <c:v>Polska</c:v>
                </c:pt>
              </c:strCache>
            </c:strRef>
          </c:cat>
          <c:val>
            <c:numRef>
              <c:f>demografia!$M$55:$M$57</c:f>
              <c:numCache>
                <c:formatCode>0.0</c:formatCode>
                <c:ptCount val="3"/>
                <c:pt idx="0">
                  <c:v>1.7</c:v>
                </c:pt>
                <c:pt idx="1">
                  <c:v>1.4</c:v>
                </c:pt>
                <c:pt idx="2">
                  <c:v>0.1</c:v>
                </c:pt>
              </c:numCache>
            </c:numRef>
          </c:val>
          <c:extLst>
            <c:ext xmlns:c16="http://schemas.microsoft.com/office/drawing/2014/chart" uri="{C3380CC4-5D6E-409C-BE32-E72D297353CC}">
              <c16:uniqueId val="{00000006-0096-43FF-8A56-BDABBC01589C}"/>
            </c:ext>
          </c:extLst>
        </c:ser>
        <c:dLbls>
          <c:dLblPos val="outEnd"/>
          <c:showLegendKey val="0"/>
          <c:showVal val="1"/>
          <c:showCatName val="0"/>
          <c:showSerName val="0"/>
          <c:showPercent val="0"/>
          <c:showBubbleSize val="0"/>
        </c:dLbls>
        <c:gapWidth val="150"/>
        <c:overlap val="-27"/>
        <c:axId val="187994112"/>
        <c:axId val="188006400"/>
      </c:barChart>
      <c:catAx>
        <c:axId val="18799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8006400"/>
        <c:crosses val="autoZero"/>
        <c:auto val="1"/>
        <c:lblAlgn val="ctr"/>
        <c:lblOffset val="100"/>
        <c:noMultiLvlLbl val="0"/>
      </c:catAx>
      <c:valAx>
        <c:axId val="188006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7994112"/>
        <c:crosses val="autoZero"/>
        <c:crossBetween val="between"/>
        <c:majorUnit val="0.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gospodarka!$A$41</c:f>
              <c:strCache>
                <c:ptCount val="1"/>
                <c:pt idx="0">
                  <c:v>LGD</c:v>
                </c:pt>
              </c:strCache>
            </c:strRef>
          </c:tx>
          <c:spPr>
            <a:solidFill>
              <a:schemeClr val="accent4">
                <a:lumMod val="40000"/>
                <a:lumOff val="60000"/>
              </a:schemeClr>
            </a:solidFill>
            <a:ln>
              <a:noFill/>
            </a:ln>
            <a:effectLst/>
          </c:spPr>
          <c:invertIfNegative val="0"/>
          <c:dPt>
            <c:idx val="0"/>
            <c:invertIfNegative val="0"/>
            <c:bubble3D val="0"/>
            <c:extLst>
              <c:ext xmlns:c16="http://schemas.microsoft.com/office/drawing/2014/chart" uri="{C3380CC4-5D6E-409C-BE32-E72D297353CC}">
                <c16:uniqueId val="{00000000-14D3-4D6E-82E7-5654E7ACD771}"/>
              </c:ext>
            </c:extLst>
          </c:dPt>
          <c:dPt>
            <c:idx val="1"/>
            <c:invertIfNegative val="0"/>
            <c:bubble3D val="0"/>
            <c:extLst>
              <c:ext xmlns:c16="http://schemas.microsoft.com/office/drawing/2014/chart" uri="{C3380CC4-5D6E-409C-BE32-E72D297353CC}">
                <c16:uniqueId val="{00000002-ADF6-48B3-851C-581C1BC802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(gospodarka!$B$17,gospodarka!$H$17)</c:f>
              <c:strCache>
                <c:ptCount val="2"/>
                <c:pt idx="0">
                  <c:v>Podmioty wpisane do rejestru REGON na 10 tys. mieszkańców ogółem</c:v>
                </c:pt>
                <c:pt idx="1">
                  <c:v>Nowo zarejestrowane podmioty w rejestrze REGON na 10 tys. mieszkańców w wieku produkcyjnym</c:v>
                </c:pt>
              </c:strCache>
            </c:strRef>
          </c:cat>
          <c:val>
            <c:numRef>
              <c:f>gospodarka!$B$41:$C$41</c:f>
              <c:numCache>
                <c:formatCode>0.0</c:formatCode>
                <c:ptCount val="2"/>
                <c:pt idx="0">
                  <c:v>19.2</c:v>
                </c:pt>
                <c:pt idx="1">
                  <c:v>16.279069767441861</c:v>
                </c:pt>
              </c:numCache>
            </c:numRef>
          </c:val>
          <c:extLst>
            <c:ext xmlns:c16="http://schemas.microsoft.com/office/drawing/2014/chart" uri="{C3380CC4-5D6E-409C-BE32-E72D297353CC}">
              <c16:uniqueId val="{00000000-DCB0-4CAE-BBD9-3157E0A3ECCC}"/>
            </c:ext>
          </c:extLst>
        </c:ser>
        <c:ser>
          <c:idx val="1"/>
          <c:order val="1"/>
          <c:tx>
            <c:strRef>
              <c:f>gospodarka!$A$42</c:f>
              <c:strCache>
                <c:ptCount val="1"/>
                <c:pt idx="0">
                  <c:v>województwo małopolskie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(gospodarka!$B$17,gospodarka!$H$17)</c:f>
              <c:strCache>
                <c:ptCount val="2"/>
                <c:pt idx="0">
                  <c:v>Podmioty wpisane do rejestru REGON na 10 tys. mieszkańców ogółem</c:v>
                </c:pt>
                <c:pt idx="1">
                  <c:v>Nowo zarejestrowane podmioty w rejestrze REGON na 10 tys. mieszkańców w wieku produkcyjnym</c:v>
                </c:pt>
              </c:strCache>
            </c:strRef>
          </c:cat>
          <c:val>
            <c:numRef>
              <c:f>gospodarka!$B$42:$C$42</c:f>
              <c:numCache>
                <c:formatCode>0.0</c:formatCode>
                <c:ptCount val="2"/>
                <c:pt idx="0">
                  <c:v>18.3</c:v>
                </c:pt>
                <c:pt idx="1">
                  <c:v>12.3</c:v>
                </c:pt>
              </c:numCache>
            </c:numRef>
          </c:val>
          <c:extLst>
            <c:ext xmlns:c16="http://schemas.microsoft.com/office/drawing/2014/chart" uri="{C3380CC4-5D6E-409C-BE32-E72D297353CC}">
              <c16:uniqueId val="{00000001-DCB0-4CAE-BBD9-3157E0A3ECCC}"/>
            </c:ext>
          </c:extLst>
        </c:ser>
        <c:ser>
          <c:idx val="3"/>
          <c:order val="3"/>
          <c:tx>
            <c:strRef>
              <c:f>gospodarka!$A$43</c:f>
              <c:strCache>
                <c:ptCount val="1"/>
                <c:pt idx="0">
                  <c:v>Polska</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(gospodarka!$B$17,gospodarka!$H$17)</c:f>
              <c:strCache>
                <c:ptCount val="2"/>
                <c:pt idx="0">
                  <c:v>Podmioty wpisane do rejestru REGON na 10 tys. mieszkańców ogółem</c:v>
                </c:pt>
                <c:pt idx="1">
                  <c:v>Nowo zarejestrowane podmioty w rejestrze REGON na 10 tys. mieszkańców w wieku produkcyjnym</c:v>
                </c:pt>
              </c:strCache>
            </c:strRef>
          </c:cat>
          <c:val>
            <c:numRef>
              <c:f>gospodarka!$B$43:$C$43</c:f>
              <c:numCache>
                <c:formatCode>0.0</c:formatCode>
                <c:ptCount val="2"/>
                <c:pt idx="0">
                  <c:v>15.7</c:v>
                </c:pt>
                <c:pt idx="1">
                  <c:v>12.244897959183673</c:v>
                </c:pt>
              </c:numCache>
            </c:numRef>
          </c:val>
          <c:extLst>
            <c:ext xmlns:c16="http://schemas.microsoft.com/office/drawing/2014/chart" uri="{C3380CC4-5D6E-409C-BE32-E72D297353CC}">
              <c16:uniqueId val="{00000003-DCB0-4CAE-BBD9-3157E0A3ECCC}"/>
            </c:ext>
          </c:extLst>
        </c:ser>
        <c:dLbls>
          <c:dLblPos val="outEnd"/>
          <c:showLegendKey val="0"/>
          <c:showVal val="1"/>
          <c:showCatName val="0"/>
          <c:showSerName val="0"/>
          <c:showPercent val="0"/>
          <c:showBubbleSize val="0"/>
        </c:dLbls>
        <c:gapWidth val="150"/>
        <c:overlap val="-27"/>
        <c:axId val="215520384"/>
        <c:axId val="215521920"/>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(gospodarka!$B$17,gospodarka!$H$17)</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extLst>
                  <c:ext xmlns:c16="http://schemas.microsoft.com/office/drawing/2014/chart" uri="{C3380CC4-5D6E-409C-BE32-E72D297353CC}">
                    <c16:uniqueId val="{00000002-DCB0-4CAE-BBD9-3157E0A3ECCC}"/>
                  </c:ext>
                </c:extLst>
              </c15:ser>
            </c15:filteredBarSeries>
          </c:ext>
        </c:extLst>
      </c:barChart>
      <c:catAx>
        <c:axId val="2155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521920"/>
        <c:crosses val="autoZero"/>
        <c:auto val="1"/>
        <c:lblAlgn val="ctr"/>
        <c:lblOffset val="100"/>
        <c:noMultiLvlLbl val="0"/>
      </c:catAx>
      <c:valAx>
        <c:axId val="21552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5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gospodarka!$T$59</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F9E7-45B3-9668-BCA0DF2B0CFA}"/>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F9E7-45B3-9668-BCA0DF2B0CFA}"/>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F9E7-45B3-9668-BCA0DF2B0C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gospodarka!$A$69:$A$71</c:f>
              <c:strCache>
                <c:ptCount val="3"/>
                <c:pt idx="0">
                  <c:v>LGD</c:v>
                </c:pt>
                <c:pt idx="1">
                  <c:v>województwo małopolskie</c:v>
                </c:pt>
                <c:pt idx="2">
                  <c:v>Polska</c:v>
                </c:pt>
              </c:strCache>
            </c:strRef>
          </c:cat>
          <c:val>
            <c:numRef>
              <c:f>gospodarka!$Y$69:$Y$71</c:f>
              <c:numCache>
                <c:formatCode>#,##0</c:formatCode>
                <c:ptCount val="3"/>
                <c:pt idx="0">
                  <c:v>30.72897918331153</c:v>
                </c:pt>
                <c:pt idx="1">
                  <c:v>40.823584627897276</c:v>
                </c:pt>
                <c:pt idx="2">
                  <c:v>40.863461421984304</c:v>
                </c:pt>
              </c:numCache>
            </c:numRef>
          </c:val>
          <c:extLst>
            <c:ext xmlns:c16="http://schemas.microsoft.com/office/drawing/2014/chart" uri="{C3380CC4-5D6E-409C-BE32-E72D297353CC}">
              <c16:uniqueId val="{00000008-F9E7-45B3-9668-BCA0DF2B0CFA}"/>
            </c:ext>
          </c:extLst>
        </c:ser>
        <c:dLbls>
          <c:dLblPos val="outEnd"/>
          <c:showLegendKey val="0"/>
          <c:showVal val="1"/>
          <c:showCatName val="0"/>
          <c:showSerName val="0"/>
          <c:showPercent val="0"/>
          <c:showBubbleSize val="0"/>
        </c:dLbls>
        <c:gapWidth val="150"/>
        <c:overlap val="-27"/>
        <c:axId val="215421312"/>
        <c:axId val="215441792"/>
      </c:barChart>
      <c:catAx>
        <c:axId val="215421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441792"/>
        <c:crosses val="autoZero"/>
        <c:auto val="1"/>
        <c:lblAlgn val="ctr"/>
        <c:lblOffset val="100"/>
        <c:noMultiLvlLbl val="0"/>
      </c:catAx>
      <c:valAx>
        <c:axId val="21544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421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bezrobocie!$B$27</c:f>
              <c:strCache>
                <c:ptCount val="1"/>
                <c:pt idx="0">
                  <c:v>LGD</c:v>
                </c:pt>
              </c:strCache>
            </c:strRef>
          </c:tx>
          <c:spPr>
            <a:solidFill>
              <a:schemeClr val="accent4">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(bezrobocie!$O$17,bezrobocie!$U$17)</c:f>
              <c:strCache>
                <c:ptCount val="2"/>
                <c:pt idx="0">
                  <c:v>Udział bezrobotnych kobiet </c:v>
                </c:pt>
                <c:pt idx="1">
                  <c:v>Udział bezrobotnych mężczyzn </c:v>
                </c:pt>
              </c:strCache>
            </c:strRef>
          </c:cat>
          <c:val>
            <c:numRef>
              <c:f>(bezrobocie!$T$27,bezrobocie!$Z$27)</c:f>
              <c:numCache>
                <c:formatCode>0.0</c:formatCode>
                <c:ptCount val="2"/>
                <c:pt idx="0">
                  <c:v>51.327433628318587</c:v>
                </c:pt>
                <c:pt idx="1">
                  <c:v>48.672566371681413</c:v>
                </c:pt>
              </c:numCache>
            </c:numRef>
          </c:val>
          <c:extLst>
            <c:ext xmlns:c16="http://schemas.microsoft.com/office/drawing/2014/chart" uri="{C3380CC4-5D6E-409C-BE32-E72D297353CC}">
              <c16:uniqueId val="{00000000-5AFE-4B8B-A77E-15E996714E42}"/>
            </c:ext>
          </c:extLst>
        </c:ser>
        <c:ser>
          <c:idx val="1"/>
          <c:order val="1"/>
          <c:tx>
            <c:strRef>
              <c:f>bezrobocie!$B$28</c:f>
              <c:strCache>
                <c:ptCount val="1"/>
                <c:pt idx="0">
                  <c:v>województwo małopolskie</c:v>
                </c:pt>
              </c:strCache>
            </c:strRef>
          </c:tx>
          <c:spPr>
            <a:solidFill>
              <a:schemeClr val="accent6">
                <a:lumMod val="40000"/>
                <a:lumOff val="60000"/>
              </a:schemeClr>
            </a:solidFill>
            <a:ln>
              <a:noFill/>
            </a:ln>
            <a:effectLst/>
          </c:spPr>
          <c:invertIfNegative val="0"/>
          <c:dPt>
            <c:idx val="0"/>
            <c:invertIfNegative val="0"/>
            <c:bubble3D val="0"/>
            <c:extLst>
              <c:ext xmlns:c16="http://schemas.microsoft.com/office/drawing/2014/chart" uri="{C3380CC4-5D6E-409C-BE32-E72D297353CC}">
                <c16:uniqueId val="{00000001-6C14-4E51-A3C0-94B9BF2271EA}"/>
              </c:ext>
            </c:extLst>
          </c:dPt>
          <c:dPt>
            <c:idx val="1"/>
            <c:invertIfNegative val="0"/>
            <c:bubble3D val="0"/>
            <c:extLst>
              <c:ext xmlns:c16="http://schemas.microsoft.com/office/drawing/2014/chart" uri="{C3380CC4-5D6E-409C-BE32-E72D297353CC}">
                <c16:uniqueId val="{00000002-6C14-4E51-A3C0-94B9BF2271EA}"/>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(bezrobocie!$O$17,bezrobocie!$U$17)</c:f>
              <c:strCache>
                <c:ptCount val="2"/>
                <c:pt idx="0">
                  <c:v>Udział bezrobotnych kobiet </c:v>
                </c:pt>
                <c:pt idx="1">
                  <c:v>Udział bezrobotnych mężczyzn </c:v>
                </c:pt>
              </c:strCache>
            </c:strRef>
          </c:cat>
          <c:val>
            <c:numRef>
              <c:f>(bezrobocie!$T$28,bezrobocie!$Z$28)</c:f>
              <c:numCache>
                <c:formatCode>0.0</c:formatCode>
                <c:ptCount val="2"/>
                <c:pt idx="0">
                  <c:v>54.424715502945041</c:v>
                </c:pt>
                <c:pt idx="1">
                  <c:v>45.575284497054959</c:v>
                </c:pt>
              </c:numCache>
            </c:numRef>
          </c:val>
          <c:extLst>
            <c:ext xmlns:c16="http://schemas.microsoft.com/office/drawing/2014/chart" uri="{C3380CC4-5D6E-409C-BE32-E72D297353CC}">
              <c16:uniqueId val="{00000001-5AFE-4B8B-A77E-15E996714E42}"/>
            </c:ext>
          </c:extLst>
        </c:ser>
        <c:ser>
          <c:idx val="3"/>
          <c:order val="3"/>
          <c:tx>
            <c:strRef>
              <c:f>bezrobocie!$B$29</c:f>
              <c:strCache>
                <c:ptCount val="1"/>
                <c:pt idx="0">
                  <c:v>Polska</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(bezrobocie!$O$17,bezrobocie!$U$17)</c:f>
              <c:strCache>
                <c:ptCount val="2"/>
                <c:pt idx="0">
                  <c:v>Udział bezrobotnych kobiet </c:v>
                </c:pt>
                <c:pt idx="1">
                  <c:v>Udział bezrobotnych mężczyzn </c:v>
                </c:pt>
              </c:strCache>
            </c:strRef>
          </c:cat>
          <c:val>
            <c:numRef>
              <c:f>(bezrobocie!$T$29,bezrobocie!$Z$29)</c:f>
              <c:numCache>
                <c:formatCode>0.0</c:formatCode>
                <c:ptCount val="2"/>
                <c:pt idx="0">
                  <c:v>53.835275350953914</c:v>
                </c:pt>
                <c:pt idx="1">
                  <c:v>46.164724649046086</c:v>
                </c:pt>
              </c:numCache>
            </c:numRef>
          </c:val>
          <c:extLst>
            <c:ext xmlns:c16="http://schemas.microsoft.com/office/drawing/2014/chart" uri="{C3380CC4-5D6E-409C-BE32-E72D297353CC}">
              <c16:uniqueId val="{00000003-5AFE-4B8B-A77E-15E996714E42}"/>
            </c:ext>
          </c:extLst>
        </c:ser>
        <c:dLbls>
          <c:dLblPos val="outEnd"/>
          <c:showLegendKey val="0"/>
          <c:showVal val="1"/>
          <c:showCatName val="0"/>
          <c:showSerName val="0"/>
          <c:showPercent val="0"/>
          <c:showBubbleSize val="0"/>
        </c:dLbls>
        <c:gapWidth val="150"/>
        <c:overlap val="-27"/>
        <c:axId val="215696896"/>
        <c:axId val="215698432"/>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(bezrobocie!$O$17,bezrobocie!$U$17)</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extLst>
                  <c:ext xmlns:c16="http://schemas.microsoft.com/office/drawing/2014/chart" uri="{C3380CC4-5D6E-409C-BE32-E72D297353CC}">
                    <c16:uniqueId val="{00000002-5AFE-4B8B-A77E-15E996714E42}"/>
                  </c:ext>
                </c:extLst>
              </c15:ser>
            </c15:filteredBarSeries>
          </c:ext>
        </c:extLst>
      </c:barChart>
      <c:catAx>
        <c:axId val="2156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698432"/>
        <c:crosses val="autoZero"/>
        <c:auto val="1"/>
        <c:lblAlgn val="ctr"/>
        <c:lblOffset val="100"/>
        <c:noMultiLvlLbl val="0"/>
      </c:catAx>
      <c:valAx>
        <c:axId val="215698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156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D272-2BF6-451B-9769-F8E2D714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102</Pages>
  <Words>47201</Words>
  <Characters>283206</Characters>
  <Application>Microsoft Office Word</Application>
  <DocSecurity>0</DocSecurity>
  <Lines>2360</Lines>
  <Paragraphs>659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329748</CharactersWithSpaces>
  <SharedDoc>false</SharedDoc>
  <HLinks>
    <vt:vector size="402" baseType="variant">
      <vt:variant>
        <vt:i4>1441847</vt:i4>
      </vt:variant>
      <vt:variant>
        <vt:i4>530</vt:i4>
      </vt:variant>
      <vt:variant>
        <vt:i4>0</vt:i4>
      </vt:variant>
      <vt:variant>
        <vt:i4>5</vt:i4>
      </vt:variant>
      <vt:variant>
        <vt:lpwstr/>
      </vt:variant>
      <vt:variant>
        <vt:lpwstr>_Toc136241410</vt:lpwstr>
      </vt:variant>
      <vt:variant>
        <vt:i4>1507383</vt:i4>
      </vt:variant>
      <vt:variant>
        <vt:i4>524</vt:i4>
      </vt:variant>
      <vt:variant>
        <vt:i4>0</vt:i4>
      </vt:variant>
      <vt:variant>
        <vt:i4>5</vt:i4>
      </vt:variant>
      <vt:variant>
        <vt:lpwstr/>
      </vt:variant>
      <vt:variant>
        <vt:lpwstr>_Toc136241409</vt:lpwstr>
      </vt:variant>
      <vt:variant>
        <vt:i4>1507383</vt:i4>
      </vt:variant>
      <vt:variant>
        <vt:i4>518</vt:i4>
      </vt:variant>
      <vt:variant>
        <vt:i4>0</vt:i4>
      </vt:variant>
      <vt:variant>
        <vt:i4>5</vt:i4>
      </vt:variant>
      <vt:variant>
        <vt:lpwstr/>
      </vt:variant>
      <vt:variant>
        <vt:lpwstr>_Toc136241408</vt:lpwstr>
      </vt:variant>
      <vt:variant>
        <vt:i4>1507383</vt:i4>
      </vt:variant>
      <vt:variant>
        <vt:i4>512</vt:i4>
      </vt:variant>
      <vt:variant>
        <vt:i4>0</vt:i4>
      </vt:variant>
      <vt:variant>
        <vt:i4>5</vt:i4>
      </vt:variant>
      <vt:variant>
        <vt:lpwstr/>
      </vt:variant>
      <vt:variant>
        <vt:lpwstr>_Toc136241407</vt:lpwstr>
      </vt:variant>
      <vt:variant>
        <vt:i4>1507383</vt:i4>
      </vt:variant>
      <vt:variant>
        <vt:i4>506</vt:i4>
      </vt:variant>
      <vt:variant>
        <vt:i4>0</vt:i4>
      </vt:variant>
      <vt:variant>
        <vt:i4>5</vt:i4>
      </vt:variant>
      <vt:variant>
        <vt:lpwstr/>
      </vt:variant>
      <vt:variant>
        <vt:lpwstr>_Toc136241406</vt:lpwstr>
      </vt:variant>
      <vt:variant>
        <vt:i4>1507383</vt:i4>
      </vt:variant>
      <vt:variant>
        <vt:i4>500</vt:i4>
      </vt:variant>
      <vt:variant>
        <vt:i4>0</vt:i4>
      </vt:variant>
      <vt:variant>
        <vt:i4>5</vt:i4>
      </vt:variant>
      <vt:variant>
        <vt:lpwstr/>
      </vt:variant>
      <vt:variant>
        <vt:lpwstr>_Toc136241405</vt:lpwstr>
      </vt:variant>
      <vt:variant>
        <vt:i4>1507383</vt:i4>
      </vt:variant>
      <vt:variant>
        <vt:i4>494</vt:i4>
      </vt:variant>
      <vt:variant>
        <vt:i4>0</vt:i4>
      </vt:variant>
      <vt:variant>
        <vt:i4>5</vt:i4>
      </vt:variant>
      <vt:variant>
        <vt:lpwstr/>
      </vt:variant>
      <vt:variant>
        <vt:lpwstr>_Toc136241404</vt:lpwstr>
      </vt:variant>
      <vt:variant>
        <vt:i4>1507383</vt:i4>
      </vt:variant>
      <vt:variant>
        <vt:i4>488</vt:i4>
      </vt:variant>
      <vt:variant>
        <vt:i4>0</vt:i4>
      </vt:variant>
      <vt:variant>
        <vt:i4>5</vt:i4>
      </vt:variant>
      <vt:variant>
        <vt:lpwstr/>
      </vt:variant>
      <vt:variant>
        <vt:lpwstr>_Toc136241403</vt:lpwstr>
      </vt:variant>
      <vt:variant>
        <vt:i4>1507383</vt:i4>
      </vt:variant>
      <vt:variant>
        <vt:i4>482</vt:i4>
      </vt:variant>
      <vt:variant>
        <vt:i4>0</vt:i4>
      </vt:variant>
      <vt:variant>
        <vt:i4>5</vt:i4>
      </vt:variant>
      <vt:variant>
        <vt:lpwstr/>
      </vt:variant>
      <vt:variant>
        <vt:lpwstr>_Toc136241402</vt:lpwstr>
      </vt:variant>
      <vt:variant>
        <vt:i4>1507383</vt:i4>
      </vt:variant>
      <vt:variant>
        <vt:i4>476</vt:i4>
      </vt:variant>
      <vt:variant>
        <vt:i4>0</vt:i4>
      </vt:variant>
      <vt:variant>
        <vt:i4>5</vt:i4>
      </vt:variant>
      <vt:variant>
        <vt:lpwstr/>
      </vt:variant>
      <vt:variant>
        <vt:lpwstr>_Toc136241401</vt:lpwstr>
      </vt:variant>
      <vt:variant>
        <vt:i4>1507383</vt:i4>
      </vt:variant>
      <vt:variant>
        <vt:i4>470</vt:i4>
      </vt:variant>
      <vt:variant>
        <vt:i4>0</vt:i4>
      </vt:variant>
      <vt:variant>
        <vt:i4>5</vt:i4>
      </vt:variant>
      <vt:variant>
        <vt:lpwstr/>
      </vt:variant>
      <vt:variant>
        <vt:lpwstr>_Toc136241400</vt:lpwstr>
      </vt:variant>
      <vt:variant>
        <vt:i4>1966128</vt:i4>
      </vt:variant>
      <vt:variant>
        <vt:i4>464</vt:i4>
      </vt:variant>
      <vt:variant>
        <vt:i4>0</vt:i4>
      </vt:variant>
      <vt:variant>
        <vt:i4>5</vt:i4>
      </vt:variant>
      <vt:variant>
        <vt:lpwstr/>
      </vt:variant>
      <vt:variant>
        <vt:lpwstr>_Toc136241399</vt:lpwstr>
      </vt:variant>
      <vt:variant>
        <vt:i4>1966128</vt:i4>
      </vt:variant>
      <vt:variant>
        <vt:i4>458</vt:i4>
      </vt:variant>
      <vt:variant>
        <vt:i4>0</vt:i4>
      </vt:variant>
      <vt:variant>
        <vt:i4>5</vt:i4>
      </vt:variant>
      <vt:variant>
        <vt:lpwstr/>
      </vt:variant>
      <vt:variant>
        <vt:lpwstr>_Toc136241398</vt:lpwstr>
      </vt:variant>
      <vt:variant>
        <vt:i4>1966128</vt:i4>
      </vt:variant>
      <vt:variant>
        <vt:i4>452</vt:i4>
      </vt:variant>
      <vt:variant>
        <vt:i4>0</vt:i4>
      </vt:variant>
      <vt:variant>
        <vt:i4>5</vt:i4>
      </vt:variant>
      <vt:variant>
        <vt:lpwstr/>
      </vt:variant>
      <vt:variant>
        <vt:lpwstr>_Toc136241397</vt:lpwstr>
      </vt:variant>
      <vt:variant>
        <vt:i4>1966128</vt:i4>
      </vt:variant>
      <vt:variant>
        <vt:i4>446</vt:i4>
      </vt:variant>
      <vt:variant>
        <vt:i4>0</vt:i4>
      </vt:variant>
      <vt:variant>
        <vt:i4>5</vt:i4>
      </vt:variant>
      <vt:variant>
        <vt:lpwstr/>
      </vt:variant>
      <vt:variant>
        <vt:lpwstr>_Toc136241396</vt:lpwstr>
      </vt:variant>
      <vt:variant>
        <vt:i4>1966128</vt:i4>
      </vt:variant>
      <vt:variant>
        <vt:i4>440</vt:i4>
      </vt:variant>
      <vt:variant>
        <vt:i4>0</vt:i4>
      </vt:variant>
      <vt:variant>
        <vt:i4>5</vt:i4>
      </vt:variant>
      <vt:variant>
        <vt:lpwstr/>
      </vt:variant>
      <vt:variant>
        <vt:lpwstr>_Toc136241395</vt:lpwstr>
      </vt:variant>
      <vt:variant>
        <vt:i4>1966128</vt:i4>
      </vt:variant>
      <vt:variant>
        <vt:i4>434</vt:i4>
      </vt:variant>
      <vt:variant>
        <vt:i4>0</vt:i4>
      </vt:variant>
      <vt:variant>
        <vt:i4>5</vt:i4>
      </vt:variant>
      <vt:variant>
        <vt:lpwstr/>
      </vt:variant>
      <vt:variant>
        <vt:lpwstr>_Toc136241394</vt:lpwstr>
      </vt:variant>
      <vt:variant>
        <vt:i4>1966128</vt:i4>
      </vt:variant>
      <vt:variant>
        <vt:i4>428</vt:i4>
      </vt:variant>
      <vt:variant>
        <vt:i4>0</vt:i4>
      </vt:variant>
      <vt:variant>
        <vt:i4>5</vt:i4>
      </vt:variant>
      <vt:variant>
        <vt:lpwstr/>
      </vt:variant>
      <vt:variant>
        <vt:lpwstr>_Toc136241393</vt:lpwstr>
      </vt:variant>
      <vt:variant>
        <vt:i4>1966128</vt:i4>
      </vt:variant>
      <vt:variant>
        <vt:i4>422</vt:i4>
      </vt:variant>
      <vt:variant>
        <vt:i4>0</vt:i4>
      </vt:variant>
      <vt:variant>
        <vt:i4>5</vt:i4>
      </vt:variant>
      <vt:variant>
        <vt:lpwstr/>
      </vt:variant>
      <vt:variant>
        <vt:lpwstr>_Toc136241392</vt:lpwstr>
      </vt:variant>
      <vt:variant>
        <vt:i4>1966128</vt:i4>
      </vt:variant>
      <vt:variant>
        <vt:i4>416</vt:i4>
      </vt:variant>
      <vt:variant>
        <vt:i4>0</vt:i4>
      </vt:variant>
      <vt:variant>
        <vt:i4>5</vt:i4>
      </vt:variant>
      <vt:variant>
        <vt:lpwstr/>
      </vt:variant>
      <vt:variant>
        <vt:lpwstr>_Toc136241391</vt:lpwstr>
      </vt:variant>
      <vt:variant>
        <vt:i4>1966128</vt:i4>
      </vt:variant>
      <vt:variant>
        <vt:i4>410</vt:i4>
      </vt:variant>
      <vt:variant>
        <vt:i4>0</vt:i4>
      </vt:variant>
      <vt:variant>
        <vt:i4>5</vt:i4>
      </vt:variant>
      <vt:variant>
        <vt:lpwstr/>
      </vt:variant>
      <vt:variant>
        <vt:lpwstr>_Toc136241390</vt:lpwstr>
      </vt:variant>
      <vt:variant>
        <vt:i4>2031664</vt:i4>
      </vt:variant>
      <vt:variant>
        <vt:i4>404</vt:i4>
      </vt:variant>
      <vt:variant>
        <vt:i4>0</vt:i4>
      </vt:variant>
      <vt:variant>
        <vt:i4>5</vt:i4>
      </vt:variant>
      <vt:variant>
        <vt:lpwstr/>
      </vt:variant>
      <vt:variant>
        <vt:lpwstr>_Toc136241389</vt:lpwstr>
      </vt:variant>
      <vt:variant>
        <vt:i4>1507380</vt:i4>
      </vt:variant>
      <vt:variant>
        <vt:i4>395</vt:i4>
      </vt:variant>
      <vt:variant>
        <vt:i4>0</vt:i4>
      </vt:variant>
      <vt:variant>
        <vt:i4>5</vt:i4>
      </vt:variant>
      <vt:variant>
        <vt:lpwstr/>
      </vt:variant>
      <vt:variant>
        <vt:lpwstr>_Toc136240717</vt:lpwstr>
      </vt:variant>
      <vt:variant>
        <vt:i4>1507380</vt:i4>
      </vt:variant>
      <vt:variant>
        <vt:i4>389</vt:i4>
      </vt:variant>
      <vt:variant>
        <vt:i4>0</vt:i4>
      </vt:variant>
      <vt:variant>
        <vt:i4>5</vt:i4>
      </vt:variant>
      <vt:variant>
        <vt:lpwstr/>
      </vt:variant>
      <vt:variant>
        <vt:lpwstr>_Toc136240716</vt:lpwstr>
      </vt:variant>
      <vt:variant>
        <vt:i4>1507380</vt:i4>
      </vt:variant>
      <vt:variant>
        <vt:i4>383</vt:i4>
      </vt:variant>
      <vt:variant>
        <vt:i4>0</vt:i4>
      </vt:variant>
      <vt:variant>
        <vt:i4>5</vt:i4>
      </vt:variant>
      <vt:variant>
        <vt:lpwstr/>
      </vt:variant>
      <vt:variant>
        <vt:lpwstr>_Toc136240715</vt:lpwstr>
      </vt:variant>
      <vt:variant>
        <vt:i4>1507380</vt:i4>
      </vt:variant>
      <vt:variant>
        <vt:i4>377</vt:i4>
      </vt:variant>
      <vt:variant>
        <vt:i4>0</vt:i4>
      </vt:variant>
      <vt:variant>
        <vt:i4>5</vt:i4>
      </vt:variant>
      <vt:variant>
        <vt:lpwstr/>
      </vt:variant>
      <vt:variant>
        <vt:lpwstr>_Toc136240714</vt:lpwstr>
      </vt:variant>
      <vt:variant>
        <vt:i4>1507380</vt:i4>
      </vt:variant>
      <vt:variant>
        <vt:i4>371</vt:i4>
      </vt:variant>
      <vt:variant>
        <vt:i4>0</vt:i4>
      </vt:variant>
      <vt:variant>
        <vt:i4>5</vt:i4>
      </vt:variant>
      <vt:variant>
        <vt:lpwstr/>
      </vt:variant>
      <vt:variant>
        <vt:lpwstr>_Toc136240713</vt:lpwstr>
      </vt:variant>
      <vt:variant>
        <vt:i4>1507380</vt:i4>
      </vt:variant>
      <vt:variant>
        <vt:i4>365</vt:i4>
      </vt:variant>
      <vt:variant>
        <vt:i4>0</vt:i4>
      </vt:variant>
      <vt:variant>
        <vt:i4>5</vt:i4>
      </vt:variant>
      <vt:variant>
        <vt:lpwstr/>
      </vt:variant>
      <vt:variant>
        <vt:lpwstr>_Toc136240712</vt:lpwstr>
      </vt:variant>
      <vt:variant>
        <vt:i4>1507380</vt:i4>
      </vt:variant>
      <vt:variant>
        <vt:i4>359</vt:i4>
      </vt:variant>
      <vt:variant>
        <vt:i4>0</vt:i4>
      </vt:variant>
      <vt:variant>
        <vt:i4>5</vt:i4>
      </vt:variant>
      <vt:variant>
        <vt:lpwstr/>
      </vt:variant>
      <vt:variant>
        <vt:lpwstr>_Toc136240711</vt:lpwstr>
      </vt:variant>
      <vt:variant>
        <vt:i4>1507380</vt:i4>
      </vt:variant>
      <vt:variant>
        <vt:i4>353</vt:i4>
      </vt:variant>
      <vt:variant>
        <vt:i4>0</vt:i4>
      </vt:variant>
      <vt:variant>
        <vt:i4>5</vt:i4>
      </vt:variant>
      <vt:variant>
        <vt:lpwstr/>
      </vt:variant>
      <vt:variant>
        <vt:lpwstr>_Toc136240710</vt:lpwstr>
      </vt:variant>
      <vt:variant>
        <vt:i4>1441844</vt:i4>
      </vt:variant>
      <vt:variant>
        <vt:i4>347</vt:i4>
      </vt:variant>
      <vt:variant>
        <vt:i4>0</vt:i4>
      </vt:variant>
      <vt:variant>
        <vt:i4>5</vt:i4>
      </vt:variant>
      <vt:variant>
        <vt:lpwstr/>
      </vt:variant>
      <vt:variant>
        <vt:lpwstr>_Toc136240709</vt:lpwstr>
      </vt:variant>
      <vt:variant>
        <vt:i4>1441844</vt:i4>
      </vt:variant>
      <vt:variant>
        <vt:i4>341</vt:i4>
      </vt:variant>
      <vt:variant>
        <vt:i4>0</vt:i4>
      </vt:variant>
      <vt:variant>
        <vt:i4>5</vt:i4>
      </vt:variant>
      <vt:variant>
        <vt:lpwstr/>
      </vt:variant>
      <vt:variant>
        <vt:lpwstr>_Toc136240708</vt:lpwstr>
      </vt:variant>
      <vt:variant>
        <vt:i4>1441844</vt:i4>
      </vt:variant>
      <vt:variant>
        <vt:i4>335</vt:i4>
      </vt:variant>
      <vt:variant>
        <vt:i4>0</vt:i4>
      </vt:variant>
      <vt:variant>
        <vt:i4>5</vt:i4>
      </vt:variant>
      <vt:variant>
        <vt:lpwstr/>
      </vt:variant>
      <vt:variant>
        <vt:lpwstr>_Toc136240707</vt:lpwstr>
      </vt:variant>
      <vt:variant>
        <vt:i4>1441844</vt:i4>
      </vt:variant>
      <vt:variant>
        <vt:i4>329</vt:i4>
      </vt:variant>
      <vt:variant>
        <vt:i4>0</vt:i4>
      </vt:variant>
      <vt:variant>
        <vt:i4>5</vt:i4>
      </vt:variant>
      <vt:variant>
        <vt:lpwstr/>
      </vt:variant>
      <vt:variant>
        <vt:lpwstr>_Toc136240706</vt:lpwstr>
      </vt:variant>
      <vt:variant>
        <vt:i4>1441844</vt:i4>
      </vt:variant>
      <vt:variant>
        <vt:i4>323</vt:i4>
      </vt:variant>
      <vt:variant>
        <vt:i4>0</vt:i4>
      </vt:variant>
      <vt:variant>
        <vt:i4>5</vt:i4>
      </vt:variant>
      <vt:variant>
        <vt:lpwstr/>
      </vt:variant>
      <vt:variant>
        <vt:lpwstr>_Toc136240705</vt:lpwstr>
      </vt:variant>
      <vt:variant>
        <vt:i4>1441840</vt:i4>
      </vt:variant>
      <vt:variant>
        <vt:i4>314</vt:i4>
      </vt:variant>
      <vt:variant>
        <vt:i4>0</vt:i4>
      </vt:variant>
      <vt:variant>
        <vt:i4>5</vt:i4>
      </vt:variant>
      <vt:variant>
        <vt:lpwstr/>
      </vt:variant>
      <vt:variant>
        <vt:lpwstr>_Toc136241312</vt:lpwstr>
      </vt:variant>
      <vt:variant>
        <vt:i4>1441840</vt:i4>
      </vt:variant>
      <vt:variant>
        <vt:i4>308</vt:i4>
      </vt:variant>
      <vt:variant>
        <vt:i4>0</vt:i4>
      </vt:variant>
      <vt:variant>
        <vt:i4>5</vt:i4>
      </vt:variant>
      <vt:variant>
        <vt:lpwstr/>
      </vt:variant>
      <vt:variant>
        <vt:lpwstr>_Toc136241311</vt:lpwstr>
      </vt:variant>
      <vt:variant>
        <vt:i4>2031665</vt:i4>
      </vt:variant>
      <vt:variant>
        <vt:i4>299</vt:i4>
      </vt:variant>
      <vt:variant>
        <vt:i4>0</vt:i4>
      </vt:variant>
      <vt:variant>
        <vt:i4>5</vt:i4>
      </vt:variant>
      <vt:variant>
        <vt:lpwstr/>
      </vt:variant>
      <vt:variant>
        <vt:lpwstr>_Toc136241281</vt:lpwstr>
      </vt:variant>
      <vt:variant>
        <vt:i4>1900597</vt:i4>
      </vt:variant>
      <vt:variant>
        <vt:i4>170</vt:i4>
      </vt:variant>
      <vt:variant>
        <vt:i4>0</vt:i4>
      </vt:variant>
      <vt:variant>
        <vt:i4>5</vt:i4>
      </vt:variant>
      <vt:variant>
        <vt:lpwstr/>
      </vt:variant>
      <vt:variant>
        <vt:lpwstr>_Toc135994848</vt:lpwstr>
      </vt:variant>
      <vt:variant>
        <vt:i4>1900597</vt:i4>
      </vt:variant>
      <vt:variant>
        <vt:i4>164</vt:i4>
      </vt:variant>
      <vt:variant>
        <vt:i4>0</vt:i4>
      </vt:variant>
      <vt:variant>
        <vt:i4>5</vt:i4>
      </vt:variant>
      <vt:variant>
        <vt:lpwstr/>
      </vt:variant>
      <vt:variant>
        <vt:lpwstr>_Toc135994847</vt:lpwstr>
      </vt:variant>
      <vt:variant>
        <vt:i4>1900597</vt:i4>
      </vt:variant>
      <vt:variant>
        <vt:i4>158</vt:i4>
      </vt:variant>
      <vt:variant>
        <vt:i4>0</vt:i4>
      </vt:variant>
      <vt:variant>
        <vt:i4>5</vt:i4>
      </vt:variant>
      <vt:variant>
        <vt:lpwstr/>
      </vt:variant>
      <vt:variant>
        <vt:lpwstr>_Toc135994846</vt:lpwstr>
      </vt:variant>
      <vt:variant>
        <vt:i4>1900597</vt:i4>
      </vt:variant>
      <vt:variant>
        <vt:i4>152</vt:i4>
      </vt:variant>
      <vt:variant>
        <vt:i4>0</vt:i4>
      </vt:variant>
      <vt:variant>
        <vt:i4>5</vt:i4>
      </vt:variant>
      <vt:variant>
        <vt:lpwstr/>
      </vt:variant>
      <vt:variant>
        <vt:lpwstr>_Toc135994845</vt:lpwstr>
      </vt:variant>
      <vt:variant>
        <vt:i4>1900597</vt:i4>
      </vt:variant>
      <vt:variant>
        <vt:i4>146</vt:i4>
      </vt:variant>
      <vt:variant>
        <vt:i4>0</vt:i4>
      </vt:variant>
      <vt:variant>
        <vt:i4>5</vt:i4>
      </vt:variant>
      <vt:variant>
        <vt:lpwstr/>
      </vt:variant>
      <vt:variant>
        <vt:lpwstr>_Toc135994844</vt:lpwstr>
      </vt:variant>
      <vt:variant>
        <vt:i4>1900597</vt:i4>
      </vt:variant>
      <vt:variant>
        <vt:i4>140</vt:i4>
      </vt:variant>
      <vt:variant>
        <vt:i4>0</vt:i4>
      </vt:variant>
      <vt:variant>
        <vt:i4>5</vt:i4>
      </vt:variant>
      <vt:variant>
        <vt:lpwstr/>
      </vt:variant>
      <vt:variant>
        <vt:lpwstr>_Toc135994843</vt:lpwstr>
      </vt:variant>
      <vt:variant>
        <vt:i4>1900597</vt:i4>
      </vt:variant>
      <vt:variant>
        <vt:i4>134</vt:i4>
      </vt:variant>
      <vt:variant>
        <vt:i4>0</vt:i4>
      </vt:variant>
      <vt:variant>
        <vt:i4>5</vt:i4>
      </vt:variant>
      <vt:variant>
        <vt:lpwstr/>
      </vt:variant>
      <vt:variant>
        <vt:lpwstr>_Toc135994842</vt:lpwstr>
      </vt:variant>
      <vt:variant>
        <vt:i4>1900597</vt:i4>
      </vt:variant>
      <vt:variant>
        <vt:i4>128</vt:i4>
      </vt:variant>
      <vt:variant>
        <vt:i4>0</vt:i4>
      </vt:variant>
      <vt:variant>
        <vt:i4>5</vt:i4>
      </vt:variant>
      <vt:variant>
        <vt:lpwstr/>
      </vt:variant>
      <vt:variant>
        <vt:lpwstr>_Toc135994841</vt:lpwstr>
      </vt:variant>
      <vt:variant>
        <vt:i4>1900597</vt:i4>
      </vt:variant>
      <vt:variant>
        <vt:i4>122</vt:i4>
      </vt:variant>
      <vt:variant>
        <vt:i4>0</vt:i4>
      </vt:variant>
      <vt:variant>
        <vt:i4>5</vt:i4>
      </vt:variant>
      <vt:variant>
        <vt:lpwstr/>
      </vt:variant>
      <vt:variant>
        <vt:lpwstr>_Toc135994840</vt:lpwstr>
      </vt:variant>
      <vt:variant>
        <vt:i4>1703989</vt:i4>
      </vt:variant>
      <vt:variant>
        <vt:i4>116</vt:i4>
      </vt:variant>
      <vt:variant>
        <vt:i4>0</vt:i4>
      </vt:variant>
      <vt:variant>
        <vt:i4>5</vt:i4>
      </vt:variant>
      <vt:variant>
        <vt:lpwstr/>
      </vt:variant>
      <vt:variant>
        <vt:lpwstr>_Toc135994839</vt:lpwstr>
      </vt:variant>
      <vt:variant>
        <vt:i4>1703989</vt:i4>
      </vt:variant>
      <vt:variant>
        <vt:i4>110</vt:i4>
      </vt:variant>
      <vt:variant>
        <vt:i4>0</vt:i4>
      </vt:variant>
      <vt:variant>
        <vt:i4>5</vt:i4>
      </vt:variant>
      <vt:variant>
        <vt:lpwstr/>
      </vt:variant>
      <vt:variant>
        <vt:lpwstr>_Toc135994838</vt:lpwstr>
      </vt:variant>
      <vt:variant>
        <vt:i4>1703989</vt:i4>
      </vt:variant>
      <vt:variant>
        <vt:i4>104</vt:i4>
      </vt:variant>
      <vt:variant>
        <vt:i4>0</vt:i4>
      </vt:variant>
      <vt:variant>
        <vt:i4>5</vt:i4>
      </vt:variant>
      <vt:variant>
        <vt:lpwstr/>
      </vt:variant>
      <vt:variant>
        <vt:lpwstr>_Toc135994837</vt:lpwstr>
      </vt:variant>
      <vt:variant>
        <vt:i4>1703989</vt:i4>
      </vt:variant>
      <vt:variant>
        <vt:i4>98</vt:i4>
      </vt:variant>
      <vt:variant>
        <vt:i4>0</vt:i4>
      </vt:variant>
      <vt:variant>
        <vt:i4>5</vt:i4>
      </vt:variant>
      <vt:variant>
        <vt:lpwstr/>
      </vt:variant>
      <vt:variant>
        <vt:lpwstr>_Toc135994836</vt:lpwstr>
      </vt:variant>
      <vt:variant>
        <vt:i4>1703989</vt:i4>
      </vt:variant>
      <vt:variant>
        <vt:i4>92</vt:i4>
      </vt:variant>
      <vt:variant>
        <vt:i4>0</vt:i4>
      </vt:variant>
      <vt:variant>
        <vt:i4>5</vt:i4>
      </vt:variant>
      <vt:variant>
        <vt:lpwstr/>
      </vt:variant>
      <vt:variant>
        <vt:lpwstr>_Toc135994835</vt:lpwstr>
      </vt:variant>
      <vt:variant>
        <vt:i4>1703989</vt:i4>
      </vt:variant>
      <vt:variant>
        <vt:i4>86</vt:i4>
      </vt:variant>
      <vt:variant>
        <vt:i4>0</vt:i4>
      </vt:variant>
      <vt:variant>
        <vt:i4>5</vt:i4>
      </vt:variant>
      <vt:variant>
        <vt:lpwstr/>
      </vt:variant>
      <vt:variant>
        <vt:lpwstr>_Toc135994834</vt:lpwstr>
      </vt:variant>
      <vt:variant>
        <vt:i4>1703989</vt:i4>
      </vt:variant>
      <vt:variant>
        <vt:i4>80</vt:i4>
      </vt:variant>
      <vt:variant>
        <vt:i4>0</vt:i4>
      </vt:variant>
      <vt:variant>
        <vt:i4>5</vt:i4>
      </vt:variant>
      <vt:variant>
        <vt:lpwstr/>
      </vt:variant>
      <vt:variant>
        <vt:lpwstr>_Toc135994833</vt:lpwstr>
      </vt:variant>
      <vt:variant>
        <vt:i4>1703989</vt:i4>
      </vt:variant>
      <vt:variant>
        <vt:i4>74</vt:i4>
      </vt:variant>
      <vt:variant>
        <vt:i4>0</vt:i4>
      </vt:variant>
      <vt:variant>
        <vt:i4>5</vt:i4>
      </vt:variant>
      <vt:variant>
        <vt:lpwstr/>
      </vt:variant>
      <vt:variant>
        <vt:lpwstr>_Toc135994832</vt:lpwstr>
      </vt:variant>
      <vt:variant>
        <vt:i4>1703989</vt:i4>
      </vt:variant>
      <vt:variant>
        <vt:i4>68</vt:i4>
      </vt:variant>
      <vt:variant>
        <vt:i4>0</vt:i4>
      </vt:variant>
      <vt:variant>
        <vt:i4>5</vt:i4>
      </vt:variant>
      <vt:variant>
        <vt:lpwstr/>
      </vt:variant>
      <vt:variant>
        <vt:lpwstr>_Toc135994831</vt:lpwstr>
      </vt:variant>
      <vt:variant>
        <vt:i4>1703989</vt:i4>
      </vt:variant>
      <vt:variant>
        <vt:i4>62</vt:i4>
      </vt:variant>
      <vt:variant>
        <vt:i4>0</vt:i4>
      </vt:variant>
      <vt:variant>
        <vt:i4>5</vt:i4>
      </vt:variant>
      <vt:variant>
        <vt:lpwstr/>
      </vt:variant>
      <vt:variant>
        <vt:lpwstr>_Toc135994830</vt:lpwstr>
      </vt:variant>
      <vt:variant>
        <vt:i4>1769525</vt:i4>
      </vt:variant>
      <vt:variant>
        <vt:i4>56</vt:i4>
      </vt:variant>
      <vt:variant>
        <vt:i4>0</vt:i4>
      </vt:variant>
      <vt:variant>
        <vt:i4>5</vt:i4>
      </vt:variant>
      <vt:variant>
        <vt:lpwstr/>
      </vt:variant>
      <vt:variant>
        <vt:lpwstr>_Toc135994829</vt:lpwstr>
      </vt:variant>
      <vt:variant>
        <vt:i4>1769525</vt:i4>
      </vt:variant>
      <vt:variant>
        <vt:i4>50</vt:i4>
      </vt:variant>
      <vt:variant>
        <vt:i4>0</vt:i4>
      </vt:variant>
      <vt:variant>
        <vt:i4>5</vt:i4>
      </vt:variant>
      <vt:variant>
        <vt:lpwstr/>
      </vt:variant>
      <vt:variant>
        <vt:lpwstr>_Toc135994828</vt:lpwstr>
      </vt:variant>
      <vt:variant>
        <vt:i4>1769525</vt:i4>
      </vt:variant>
      <vt:variant>
        <vt:i4>44</vt:i4>
      </vt:variant>
      <vt:variant>
        <vt:i4>0</vt:i4>
      </vt:variant>
      <vt:variant>
        <vt:i4>5</vt:i4>
      </vt:variant>
      <vt:variant>
        <vt:lpwstr/>
      </vt:variant>
      <vt:variant>
        <vt:lpwstr>_Toc135994827</vt:lpwstr>
      </vt:variant>
      <vt:variant>
        <vt:i4>1769525</vt:i4>
      </vt:variant>
      <vt:variant>
        <vt:i4>38</vt:i4>
      </vt:variant>
      <vt:variant>
        <vt:i4>0</vt:i4>
      </vt:variant>
      <vt:variant>
        <vt:i4>5</vt:i4>
      </vt:variant>
      <vt:variant>
        <vt:lpwstr/>
      </vt:variant>
      <vt:variant>
        <vt:lpwstr>_Toc135994826</vt:lpwstr>
      </vt:variant>
      <vt:variant>
        <vt:i4>1769525</vt:i4>
      </vt:variant>
      <vt:variant>
        <vt:i4>32</vt:i4>
      </vt:variant>
      <vt:variant>
        <vt:i4>0</vt:i4>
      </vt:variant>
      <vt:variant>
        <vt:i4>5</vt:i4>
      </vt:variant>
      <vt:variant>
        <vt:lpwstr/>
      </vt:variant>
      <vt:variant>
        <vt:lpwstr>_Toc135994825</vt:lpwstr>
      </vt:variant>
      <vt:variant>
        <vt:i4>1769525</vt:i4>
      </vt:variant>
      <vt:variant>
        <vt:i4>26</vt:i4>
      </vt:variant>
      <vt:variant>
        <vt:i4>0</vt:i4>
      </vt:variant>
      <vt:variant>
        <vt:i4>5</vt:i4>
      </vt:variant>
      <vt:variant>
        <vt:lpwstr/>
      </vt:variant>
      <vt:variant>
        <vt:lpwstr>_Toc135994824</vt:lpwstr>
      </vt:variant>
      <vt:variant>
        <vt:i4>1769525</vt:i4>
      </vt:variant>
      <vt:variant>
        <vt:i4>20</vt:i4>
      </vt:variant>
      <vt:variant>
        <vt:i4>0</vt:i4>
      </vt:variant>
      <vt:variant>
        <vt:i4>5</vt:i4>
      </vt:variant>
      <vt:variant>
        <vt:lpwstr/>
      </vt:variant>
      <vt:variant>
        <vt:lpwstr>_Toc135994823</vt:lpwstr>
      </vt:variant>
      <vt:variant>
        <vt:i4>1769525</vt:i4>
      </vt:variant>
      <vt:variant>
        <vt:i4>14</vt:i4>
      </vt:variant>
      <vt:variant>
        <vt:i4>0</vt:i4>
      </vt:variant>
      <vt:variant>
        <vt:i4>5</vt:i4>
      </vt:variant>
      <vt:variant>
        <vt:lpwstr/>
      </vt:variant>
      <vt:variant>
        <vt:lpwstr>_Toc135994822</vt:lpwstr>
      </vt:variant>
      <vt:variant>
        <vt:i4>1769525</vt:i4>
      </vt:variant>
      <vt:variant>
        <vt:i4>8</vt:i4>
      </vt:variant>
      <vt:variant>
        <vt:i4>0</vt:i4>
      </vt:variant>
      <vt:variant>
        <vt:i4>5</vt:i4>
      </vt:variant>
      <vt:variant>
        <vt:lpwstr/>
      </vt:variant>
      <vt:variant>
        <vt:lpwstr>_Toc135994821</vt:lpwstr>
      </vt:variant>
      <vt:variant>
        <vt:i4>1769525</vt:i4>
      </vt:variant>
      <vt:variant>
        <vt:i4>2</vt:i4>
      </vt:variant>
      <vt:variant>
        <vt:i4>0</vt:i4>
      </vt:variant>
      <vt:variant>
        <vt:i4>5</vt:i4>
      </vt:variant>
      <vt:variant>
        <vt:lpwstr/>
      </vt:variant>
      <vt:variant>
        <vt:lpwstr>_Toc135994820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Guzy</dc:creator>
  <cp:lastModifiedBy>LGD</cp:lastModifiedBy>
  <cp:revision>42</cp:revision>
  <cp:lastPrinted>2025-04-04T12:25:00Z</cp:lastPrinted>
  <dcterms:created xsi:type="dcterms:W3CDTF">2025-07-30T21:26:00Z</dcterms:created>
  <dcterms:modified xsi:type="dcterms:W3CDTF">2025-08-06T14:20:00Z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1045-12.2.0.19805</vt:lpwstr>
  </property>
  <property fmtid="{D5CDD505-2E9C-101B-9397-08002B2CF9AE}" pid="3" name="ICV">
    <vt:lpwstr>EC6CBE181911425CB4A6F1EE6E34EDD4_13</vt:lpwstr>
  </property>
  <property fmtid="{D5CDD505-2E9C-101B-9397-08002B2CF9AE}" pid="4" name="_AdHocReviewCycleID">
    <vt:i4>1293300023</vt:i4>
  </property>
  <property fmtid="{D5CDD505-2E9C-101B-9397-08002B2CF9AE}" pid="5" name="_NewReviewCycle">
    <vt:lpwstr/>
  </property>
  <property fmtid="{D5CDD505-2E9C-101B-9397-08002B2CF9AE}" pid="6" name="_EmailSubject">
    <vt:lpwstr>LSR - uzupełnienia</vt:lpwstr>
  </property>
  <property fmtid="{D5CDD505-2E9C-101B-9397-08002B2CF9AE}" pid="7" name="_AuthorEmail">
    <vt:lpwstr>marlena@inicjatywalokalna.pl</vt:lpwstr>
  </property>
  <property fmtid="{D5CDD505-2E9C-101B-9397-08002B2CF9AE}" pid="8" name="_AuthorEmailDisplayName">
    <vt:lpwstr>Marlena Borek</vt:lpwstr>
  </property>
  <property fmtid="{D5CDD505-2E9C-101B-9397-08002B2CF9AE}" pid="9" name="_PreviousAdHocReviewCycleID">
    <vt:i4>-1749195780</vt:i4>
  </property>
  <property fmtid="{D5CDD505-2E9C-101B-9397-08002B2CF9AE}" pid="10" name="_ReviewingToolsShownOnce">
    <vt:lpwstr/>
  </property>
</Properties>
</file>