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2DA9C">
      <w:pPr>
        <w:jc w:val="center"/>
        <w:rPr>
          <w:rFonts w:ascii="Times New Roman" w:hAnsi="Times New Roman" w:cs="Times New Roman"/>
          <w:b/>
          <w:bCs/>
          <w:i/>
          <w:iCs/>
          <w:sz w:val="36"/>
          <w:szCs w:val="36"/>
        </w:rPr>
      </w:pPr>
      <w:bookmarkStart w:id="177" w:name="_GoBack"/>
      <w:bookmarkEnd w:id="177"/>
      <w:bookmarkStart w:id="0" w:name="_Hlk134980103"/>
      <w:bookmarkEnd w:id="0"/>
    </w:p>
    <w:p w14:paraId="15795570">
      <w:pPr>
        <w:jc w:val="center"/>
        <w:rPr>
          <w:rFonts w:ascii="Times New Roman" w:hAnsi="Times New Roman" w:cs="Times New Roman"/>
          <w:b/>
          <w:bCs/>
          <w:i/>
          <w:iCs/>
          <w:sz w:val="36"/>
          <w:szCs w:val="36"/>
        </w:rPr>
      </w:pPr>
    </w:p>
    <w:p w14:paraId="2F4D1068">
      <w:pPr>
        <w:jc w:val="center"/>
        <w:rPr>
          <w:rFonts w:ascii="Times New Roman" w:hAnsi="Times New Roman" w:cs="Times New Roman"/>
          <w:b/>
          <w:bCs/>
          <w:i/>
          <w:iCs/>
          <w:sz w:val="36"/>
          <w:szCs w:val="36"/>
        </w:rPr>
      </w:pPr>
      <w:r>
        <w:rPr>
          <w:rFonts w:ascii="Times New Roman" w:hAnsi="Times New Roman" w:cs="Times New Roman"/>
          <w:b/>
          <w:bCs/>
          <w:i/>
          <w:iCs/>
          <w:sz w:val="36"/>
          <w:szCs w:val="36"/>
          <w:lang w:eastAsia="pl-PL"/>
        </w:rPr>
        <w:drawing>
          <wp:inline distT="0" distB="0" distL="0" distR="0">
            <wp:extent cx="4025265" cy="29375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1053" cy="2941911"/>
                    </a:xfrm>
                    <a:prstGeom prst="rect">
                      <a:avLst/>
                    </a:prstGeom>
                  </pic:spPr>
                </pic:pic>
              </a:graphicData>
            </a:graphic>
          </wp:inline>
        </w:drawing>
      </w:r>
    </w:p>
    <w:p w14:paraId="5BA7C92E">
      <w:pPr>
        <w:rPr>
          <w:rFonts w:ascii="Times New Roman" w:hAnsi="Times New Roman" w:cs="Times New Roman"/>
          <w:b/>
          <w:bCs/>
          <w:i/>
          <w:iCs/>
          <w:sz w:val="32"/>
          <w:szCs w:val="32"/>
        </w:rPr>
      </w:pPr>
    </w:p>
    <w:p w14:paraId="2F7B092D">
      <w:pPr>
        <w:jc w:val="center"/>
        <w:rPr>
          <w:rFonts w:ascii="Times New Roman" w:hAnsi="Times New Roman" w:cs="Times New Roman"/>
          <w:b/>
          <w:bCs/>
          <w:i/>
          <w:iCs/>
          <w:sz w:val="32"/>
          <w:szCs w:val="32"/>
        </w:rPr>
      </w:pPr>
    </w:p>
    <w:p w14:paraId="1F3D31AC">
      <w:pPr>
        <w:jc w:val="center"/>
        <w:rPr>
          <w:rFonts w:ascii="Times New Roman" w:hAnsi="Times New Roman" w:cs="Times New Roman"/>
          <w:b/>
          <w:bCs/>
          <w:i/>
          <w:iCs/>
          <w:sz w:val="48"/>
          <w:szCs w:val="48"/>
        </w:rPr>
      </w:pPr>
      <w:r>
        <w:rPr>
          <w:rFonts w:ascii="Times New Roman" w:hAnsi="Times New Roman" w:cs="Times New Roman"/>
          <w:b/>
          <w:bCs/>
          <w:i/>
          <w:iCs/>
          <w:sz w:val="48"/>
          <w:szCs w:val="48"/>
        </w:rPr>
        <w:t>LOKALNA STRATEGIA ROZWOJU</w:t>
      </w:r>
    </w:p>
    <w:p w14:paraId="2239C384">
      <w:pPr>
        <w:jc w:val="center"/>
        <w:rPr>
          <w:rFonts w:ascii="Times New Roman" w:hAnsi="Times New Roman" w:cs="Times New Roman"/>
          <w:b/>
          <w:bCs/>
          <w:i/>
          <w:iCs/>
          <w:sz w:val="44"/>
          <w:szCs w:val="44"/>
        </w:rPr>
      </w:pPr>
      <w:r>
        <w:rPr>
          <w:rFonts w:ascii="Times New Roman" w:hAnsi="Times New Roman" w:cs="Times New Roman"/>
          <w:b/>
          <w:bCs/>
          <w:i/>
          <w:iCs/>
          <w:sz w:val="44"/>
          <w:szCs w:val="44"/>
        </w:rPr>
        <w:t>2023–2027</w:t>
      </w:r>
    </w:p>
    <w:p w14:paraId="66D11CB2">
      <w:pPr>
        <w:jc w:val="center"/>
        <w:rPr>
          <w:rFonts w:ascii="Times New Roman" w:hAnsi="Times New Roman" w:cs="Times New Roman"/>
          <w:b/>
          <w:bCs/>
          <w:i/>
          <w:iCs/>
          <w:sz w:val="44"/>
          <w:szCs w:val="44"/>
        </w:rPr>
      </w:pPr>
      <w:r>
        <w:rPr>
          <w:rFonts w:ascii="Times New Roman" w:hAnsi="Times New Roman" w:cs="Times New Roman"/>
          <w:b/>
          <w:bCs/>
          <w:i/>
          <w:iCs/>
          <w:sz w:val="44"/>
          <w:szCs w:val="44"/>
        </w:rPr>
        <w:t xml:space="preserve">STOWARZYSZENIA </w:t>
      </w:r>
      <w:r>
        <w:rPr>
          <w:rFonts w:ascii="Times New Roman" w:hAnsi="Times New Roman" w:cs="Times New Roman"/>
          <w:b/>
          <w:bCs/>
          <w:i/>
          <w:iCs/>
          <w:sz w:val="44"/>
          <w:szCs w:val="44"/>
        </w:rPr>
        <w:br w:type="textWrapping"/>
      </w:r>
      <w:r>
        <w:rPr>
          <w:rFonts w:ascii="Times New Roman" w:hAnsi="Times New Roman" w:cs="Times New Roman"/>
          <w:b/>
          <w:bCs/>
          <w:i/>
          <w:iCs/>
          <w:sz w:val="44"/>
          <w:szCs w:val="44"/>
        </w:rPr>
        <w:t xml:space="preserve">LOKALNA GRUPA DZIAŁANIA </w:t>
      </w:r>
      <w:r>
        <w:rPr>
          <w:rFonts w:ascii="Times New Roman" w:hAnsi="Times New Roman" w:cs="Times New Roman"/>
          <w:b/>
          <w:bCs/>
          <w:i/>
          <w:iCs/>
          <w:sz w:val="44"/>
          <w:szCs w:val="44"/>
        </w:rPr>
        <w:br w:type="textWrapping"/>
      </w:r>
      <w:r>
        <w:rPr>
          <w:rFonts w:ascii="Times New Roman" w:hAnsi="Times New Roman" w:cs="Times New Roman"/>
          <w:b/>
          <w:bCs/>
          <w:i/>
          <w:iCs/>
          <w:sz w:val="44"/>
          <w:szCs w:val="44"/>
        </w:rPr>
        <w:t>„MIĘDZY DALINEM I GOŚCIBIĄ”</w:t>
      </w:r>
    </w:p>
    <w:p w14:paraId="09A74C35">
      <w:pPr>
        <w:jc w:val="center"/>
        <w:rPr>
          <w:rFonts w:ascii="Times New Roman" w:hAnsi="Times New Roman" w:cs="Times New Roman"/>
          <w:b/>
          <w:bCs/>
          <w:i/>
          <w:iCs/>
          <w:sz w:val="44"/>
          <w:szCs w:val="44"/>
        </w:rPr>
      </w:pPr>
    </w:p>
    <w:p w14:paraId="13B72E23">
      <w:pPr>
        <w:jc w:val="center"/>
        <w:rPr>
          <w:rFonts w:ascii="Times New Roman" w:hAnsi="Times New Roman" w:cs="Times New Roman"/>
          <w:b/>
          <w:bCs/>
          <w:i/>
          <w:iCs/>
          <w:sz w:val="44"/>
          <w:szCs w:val="44"/>
        </w:rPr>
      </w:pPr>
    </w:p>
    <w:p w14:paraId="64085D5F">
      <w:pPr>
        <w:rPr>
          <w:rFonts w:ascii="Times New Roman" w:hAnsi="Times New Roman" w:cs="Times New Roman"/>
        </w:rPr>
      </w:pPr>
    </w:p>
    <w:p w14:paraId="092FFB3D">
      <w:pPr>
        <w:rPr>
          <w:rFonts w:ascii="Times New Roman" w:hAnsi="Times New Roman" w:cs="Times New Roman"/>
        </w:rPr>
      </w:pPr>
    </w:p>
    <w:p w14:paraId="0B710DE5">
      <w:pPr>
        <w:jc w:val="center"/>
        <w:rPr>
          <w:rFonts w:ascii="Times New Roman" w:hAnsi="Times New Roman" w:cs="Times New Roman"/>
          <w:b/>
          <w:bCs/>
        </w:rPr>
      </w:pPr>
      <w:r>
        <w:rPr>
          <w:rFonts w:ascii="Times New Roman" w:hAnsi="Times New Roman" w:cs="Times New Roman"/>
          <w:b/>
          <w:bCs/>
        </w:rPr>
        <w:t>Myślenice, czerwiec 2023 r.</w:t>
      </w:r>
    </w:p>
    <w:p w14:paraId="47899739">
      <w:pPr>
        <w:jc w:val="center"/>
        <w:rPr>
          <w:rFonts w:ascii="Times New Roman" w:hAnsi="Times New Roman" w:cs="Times New Roman"/>
        </w:rPr>
      </w:pPr>
    </w:p>
    <w:p w14:paraId="5F82F3CF">
      <w:pPr>
        <w:jc w:val="center"/>
        <w:rPr>
          <w:rFonts w:ascii="Times New Roman" w:hAnsi="Times New Roman" w:cs="Times New Roman"/>
          <w:b/>
          <w:bCs/>
        </w:rPr>
      </w:pPr>
      <w:r>
        <w:rPr>
          <w:lang w:eastAsia="pl-PL"/>
        </w:rPr>
        <w:drawing>
          <wp:inline distT="0" distB="0" distL="0" distR="0">
            <wp:extent cx="6479540" cy="746760"/>
            <wp:effectExtent l="0" t="0" r="0" b="0"/>
            <wp:docPr id="486416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691"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479540" cy="746760"/>
                    </a:xfrm>
                    <a:prstGeom prst="rect">
                      <a:avLst/>
                    </a:prstGeom>
                    <a:noFill/>
                    <a:ln>
                      <a:noFill/>
                    </a:ln>
                  </pic:spPr>
                </pic:pic>
              </a:graphicData>
            </a:graphic>
          </wp:inline>
        </w:drawing>
      </w:r>
      <w:r>
        <w:rPr>
          <w:rFonts w:ascii="Times New Roman" w:hAnsi="Times New Roman" w:cs="Times New Roman"/>
          <w:b/>
          <w:bCs/>
        </w:rPr>
        <w:br w:type="page"/>
      </w:r>
    </w:p>
    <w:sdt>
      <w:sdtPr>
        <w:rPr>
          <w:rFonts w:ascii="Times New Roman" w:hAnsi="Times New Roman" w:cs="Times New Roman" w:eastAsiaTheme="minorHAnsi"/>
          <w:color w:val="auto"/>
          <w:sz w:val="22"/>
          <w:szCs w:val="22"/>
          <w:lang w:eastAsia="en-US"/>
        </w:rPr>
        <w:id w:val="-465273372"/>
        <w:docPartObj>
          <w:docPartGallery w:val="Table of Contents"/>
          <w:docPartUnique/>
        </w:docPartObj>
      </w:sdtPr>
      <w:sdtEndPr>
        <w:rPr>
          <w:rFonts w:ascii="Times New Roman" w:hAnsi="Times New Roman" w:cs="Times New Roman" w:eastAsiaTheme="minorHAnsi"/>
          <w:color w:val="auto"/>
          <w:sz w:val="22"/>
          <w:szCs w:val="22"/>
          <w:lang w:eastAsia="en-US"/>
        </w:rPr>
      </w:sdtEndPr>
      <w:sdtContent>
        <w:p w14:paraId="3DD0321A">
          <w:pPr>
            <w:pStyle w:val="30"/>
            <w:spacing w:after="240" w:line="276"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Spis treści</w:t>
          </w:r>
        </w:p>
        <w:p w14:paraId="3AF4FBB3">
          <w:pPr>
            <w:pStyle w:val="25"/>
            <w:rPr>
              <w:rFonts w:ascii="Times New Roman" w:hAnsi="Times New Roman" w:cs="Times New Roman" w:eastAsiaTheme="minorEastAsia"/>
              <w:lang w:eastAsia="pl-P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"_Toc135994820" </w:instrText>
          </w:r>
          <w:r>
            <w:fldChar w:fldCharType="separate"/>
          </w:r>
          <w:r>
            <w:rPr>
              <w:rStyle w:val="20"/>
              <w:rFonts w:ascii="Times New Roman" w:hAnsi="Times New Roman" w:cs="Times New Roman"/>
            </w:rPr>
            <w:t>I.</w:t>
          </w:r>
          <w:r>
            <w:rPr>
              <w:rFonts w:ascii="Times New Roman" w:hAnsi="Times New Roman" w:cs="Times New Roman" w:eastAsiaTheme="minorEastAsia"/>
              <w:lang w:eastAsia="pl-PL"/>
            </w:rPr>
            <w:tab/>
          </w:r>
          <w:r>
            <w:rPr>
              <w:rStyle w:val="20"/>
              <w:rFonts w:ascii="Times New Roman" w:hAnsi="Times New Roman" w:cs="Times New Roman"/>
            </w:rPr>
            <w:t>CHARAKTERYSTYKA PARTNERSTWA LOKALNEGO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_Toc135994820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6368CAB5">
          <w:pPr>
            <w:pStyle w:val="26"/>
            <w:rPr>
              <w:rFonts w:ascii="Times New Roman" w:hAnsi="Times New Roman" w:cs="Times New Roman" w:eastAsiaTheme="minorEastAsia"/>
              <w:lang w:eastAsia="pl-PL"/>
            </w:rPr>
          </w:pPr>
          <w:r>
            <w:fldChar w:fldCharType="begin"/>
          </w:r>
          <w:r>
            <w:instrText xml:space="preserve"> HYPERLINK \l "_Toc135994821" </w:instrText>
          </w:r>
          <w:r>
            <w:fldChar w:fldCharType="separate"/>
          </w:r>
          <w:r>
            <w:rPr>
              <w:rStyle w:val="20"/>
              <w:rFonts w:ascii="Times New Roman" w:hAnsi="Times New Roman" w:cs="Times New Roman"/>
            </w:rPr>
            <w:t>1.</w:t>
          </w:r>
          <w:r>
            <w:rPr>
              <w:rFonts w:ascii="Times New Roman" w:hAnsi="Times New Roman" w:cs="Times New Roman" w:eastAsiaTheme="minorEastAsia"/>
              <w:lang w:eastAsia="pl-PL"/>
            </w:rPr>
            <w:tab/>
          </w:r>
          <w:r>
            <w:rPr>
              <w:rStyle w:val="20"/>
              <w:rFonts w:ascii="Times New Roman" w:hAnsi="Times New Roman" w:cs="Times New Roman"/>
            </w:rPr>
            <w:t>Nazwa LGD, forma prawna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_Toc135994821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463562F0">
          <w:pPr>
            <w:pStyle w:val="26"/>
            <w:rPr>
              <w:rFonts w:ascii="Times New Roman" w:hAnsi="Times New Roman" w:cs="Times New Roman" w:eastAsiaTheme="minorEastAsia"/>
              <w:lang w:eastAsia="pl-PL"/>
            </w:rPr>
          </w:pPr>
          <w:r>
            <w:fldChar w:fldCharType="begin"/>
          </w:r>
          <w:r>
            <w:instrText xml:space="preserve"> HYPERLINK \l "_Toc135994822" </w:instrText>
          </w:r>
          <w:r>
            <w:fldChar w:fldCharType="separate"/>
          </w:r>
          <w:r>
            <w:rPr>
              <w:rStyle w:val="20"/>
              <w:rFonts w:ascii="Times New Roman" w:hAnsi="Times New Roman" w:cs="Times New Roman"/>
            </w:rPr>
            <w:t>2.</w:t>
          </w:r>
          <w:r>
            <w:rPr>
              <w:rFonts w:ascii="Times New Roman" w:hAnsi="Times New Roman" w:cs="Times New Roman" w:eastAsiaTheme="minorEastAsia"/>
              <w:lang w:eastAsia="pl-PL"/>
            </w:rPr>
            <w:tab/>
          </w:r>
          <w:r>
            <w:rPr>
              <w:rStyle w:val="20"/>
              <w:rFonts w:ascii="Times New Roman" w:hAnsi="Times New Roman" w:cs="Times New Roman"/>
            </w:rPr>
            <w:t>Proces tworzenia i doświadczenie partnerstwa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_Toc135994822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09215B38">
          <w:pPr>
            <w:pStyle w:val="26"/>
            <w:rPr>
              <w:rFonts w:ascii="Times New Roman" w:hAnsi="Times New Roman" w:cs="Times New Roman" w:eastAsiaTheme="minorEastAsia"/>
              <w:lang w:eastAsia="pl-PL"/>
            </w:rPr>
          </w:pPr>
          <w:r>
            <w:fldChar w:fldCharType="begin"/>
          </w:r>
          <w:r>
            <w:instrText xml:space="preserve"> HYPERLINK \l "_Toc135994823" </w:instrText>
          </w:r>
          <w:r>
            <w:fldChar w:fldCharType="separate"/>
          </w:r>
          <w:r>
            <w:rPr>
              <w:rStyle w:val="20"/>
              <w:rFonts w:ascii="Times New Roman" w:hAnsi="Times New Roman" w:cs="Times New Roman"/>
            </w:rPr>
            <w:t>3.</w:t>
          </w:r>
          <w:r>
            <w:rPr>
              <w:rFonts w:ascii="Times New Roman" w:hAnsi="Times New Roman" w:cs="Times New Roman" w:eastAsiaTheme="minorEastAsia"/>
              <w:lang w:eastAsia="pl-PL"/>
            </w:rPr>
            <w:tab/>
          </w:r>
          <w:r>
            <w:rPr>
              <w:rStyle w:val="20"/>
              <w:rFonts w:ascii="Times New Roman" w:hAnsi="Times New Roman" w:cs="Times New Roman"/>
            </w:rPr>
            <w:t>Struktura LGD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_Toc135994823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14:paraId="5FB53880">
          <w:pPr>
            <w:pStyle w:val="26"/>
            <w:rPr>
              <w:rFonts w:ascii="Times New Roman" w:hAnsi="Times New Roman" w:cs="Times New Roman" w:eastAsiaTheme="minorEastAsia"/>
              <w:lang w:eastAsia="pl-PL"/>
            </w:rPr>
          </w:pPr>
          <w:r>
            <w:fldChar w:fldCharType="begin"/>
          </w:r>
          <w:r>
            <w:instrText xml:space="preserve"> HYPERLINK \l "_Toc135994824" </w:instrText>
          </w:r>
          <w:r>
            <w:fldChar w:fldCharType="separate"/>
          </w:r>
          <w:r>
            <w:rPr>
              <w:rStyle w:val="20"/>
              <w:rFonts w:ascii="Times New Roman" w:hAnsi="Times New Roman" w:cs="Times New Roman"/>
            </w:rPr>
            <w:t>4.</w:t>
          </w:r>
          <w:r>
            <w:rPr>
              <w:rFonts w:ascii="Times New Roman" w:hAnsi="Times New Roman" w:cs="Times New Roman" w:eastAsiaTheme="minorEastAsia"/>
              <w:lang w:eastAsia="pl-PL"/>
            </w:rPr>
            <w:tab/>
          </w:r>
          <w:r>
            <w:rPr>
              <w:rStyle w:val="20"/>
              <w:rFonts w:ascii="Times New Roman" w:hAnsi="Times New Roman" w:cs="Times New Roman"/>
            </w:rPr>
            <w:t>Organ decyzyjny LGD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_Toc135994824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14:paraId="46457971">
          <w:pPr>
            <w:pStyle w:val="26"/>
            <w:rPr>
              <w:rFonts w:ascii="Times New Roman" w:hAnsi="Times New Roman" w:cs="Times New Roman" w:eastAsiaTheme="minorEastAsia"/>
              <w:lang w:eastAsia="pl-PL"/>
            </w:rPr>
          </w:pPr>
          <w:r>
            <w:fldChar w:fldCharType="begin"/>
          </w:r>
          <w:r>
            <w:instrText xml:space="preserve"> HYPERLINK \l "_Toc135994825" </w:instrText>
          </w:r>
          <w:r>
            <w:fldChar w:fldCharType="separate"/>
          </w:r>
          <w:r>
            <w:rPr>
              <w:rStyle w:val="20"/>
              <w:rFonts w:ascii="Times New Roman" w:hAnsi="Times New Roman" w:cs="Times New Roman"/>
            </w:rPr>
            <w:t>5.</w:t>
          </w:r>
          <w:r>
            <w:rPr>
              <w:rFonts w:ascii="Times New Roman" w:hAnsi="Times New Roman" w:cs="Times New Roman" w:eastAsiaTheme="minorEastAsia"/>
              <w:lang w:eastAsia="pl-PL"/>
            </w:rPr>
            <w:tab/>
          </w:r>
          <w:r>
            <w:rPr>
              <w:rStyle w:val="20"/>
              <w:rFonts w:ascii="Times New Roman" w:hAnsi="Times New Roman" w:cs="Times New Roman"/>
            </w:rPr>
            <w:t>Dokumenty regulujące funkcjonowanie LGD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_Toc135994825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14:paraId="7250AFF3">
          <w:pPr>
            <w:pStyle w:val="25"/>
            <w:rPr>
              <w:rFonts w:ascii="Times New Roman" w:hAnsi="Times New Roman" w:cs="Times New Roman" w:eastAsiaTheme="minorEastAsia"/>
              <w:lang w:eastAsia="pl-PL"/>
            </w:rPr>
          </w:pPr>
          <w:r>
            <w:fldChar w:fldCharType="begin"/>
          </w:r>
          <w:r>
            <w:instrText xml:space="preserve"> HYPERLINK \l "_Toc135994826" </w:instrText>
          </w:r>
          <w:r>
            <w:fldChar w:fldCharType="separate"/>
          </w:r>
          <w:r>
            <w:rPr>
              <w:rStyle w:val="20"/>
              <w:rFonts w:ascii="Times New Roman" w:hAnsi="Times New Roman" w:cs="Times New Roman"/>
            </w:rPr>
            <w:t>II.</w:t>
          </w:r>
          <w:r>
            <w:rPr>
              <w:rFonts w:ascii="Times New Roman" w:hAnsi="Times New Roman" w:cs="Times New Roman" w:eastAsiaTheme="minorEastAsia"/>
              <w:lang w:eastAsia="pl-PL"/>
            </w:rPr>
            <w:tab/>
          </w:r>
          <w:r>
            <w:rPr>
              <w:rStyle w:val="20"/>
              <w:rFonts w:ascii="Times New Roman" w:hAnsi="Times New Roman" w:cs="Times New Roman"/>
            </w:rPr>
            <w:t>CHARAKTERYSTYKA OBSZARU I LUDNOŚCI OBJĘTEJ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_Toc135994826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14:paraId="1C7AFD8F">
          <w:pPr>
            <w:pStyle w:val="26"/>
            <w:rPr>
              <w:rFonts w:ascii="Times New Roman" w:hAnsi="Times New Roman" w:cs="Times New Roman" w:eastAsiaTheme="minorEastAsia"/>
              <w:lang w:eastAsia="pl-PL"/>
            </w:rPr>
          </w:pPr>
          <w:r>
            <w:fldChar w:fldCharType="begin"/>
          </w:r>
          <w:r>
            <w:instrText xml:space="preserve"> HYPERLINK \l "_Toc135994827" </w:instrText>
          </w:r>
          <w:r>
            <w:fldChar w:fldCharType="separate"/>
          </w:r>
          <w:r>
            <w:rPr>
              <w:rStyle w:val="20"/>
              <w:rFonts w:ascii="Times New Roman" w:hAnsi="Times New Roman" w:cs="Times New Roman"/>
            </w:rPr>
            <w:t>1.</w:t>
          </w:r>
          <w:r>
            <w:rPr>
              <w:rFonts w:ascii="Times New Roman" w:hAnsi="Times New Roman" w:cs="Times New Roman" w:eastAsiaTheme="minorEastAsia"/>
              <w:lang w:eastAsia="pl-PL"/>
            </w:rPr>
            <w:tab/>
          </w:r>
          <w:r>
            <w:rPr>
              <w:rStyle w:val="20"/>
              <w:rFonts w:ascii="Times New Roman" w:hAnsi="Times New Roman" w:cs="Times New Roman"/>
            </w:rPr>
            <w:t>Opis i mapa obszaru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14:paraId="355E093A">
          <w:pPr>
            <w:pStyle w:val="26"/>
            <w:rPr>
              <w:rFonts w:ascii="Times New Roman" w:hAnsi="Times New Roman" w:cs="Times New Roman" w:eastAsiaTheme="minorEastAsia"/>
              <w:lang w:eastAsia="pl-PL"/>
            </w:rPr>
          </w:pPr>
          <w:r>
            <w:fldChar w:fldCharType="begin"/>
          </w:r>
          <w:r>
            <w:instrText xml:space="preserve"> HYPERLINK \l "_Toc135994828" </w:instrText>
          </w:r>
          <w:r>
            <w:fldChar w:fldCharType="separate"/>
          </w:r>
          <w:r>
            <w:rPr>
              <w:rStyle w:val="20"/>
              <w:rFonts w:ascii="Times New Roman" w:hAnsi="Times New Roman" w:cs="Times New Roman"/>
            </w:rPr>
            <w:t>2.</w:t>
          </w:r>
          <w:r>
            <w:rPr>
              <w:rFonts w:ascii="Times New Roman" w:hAnsi="Times New Roman" w:cs="Times New Roman" w:eastAsiaTheme="minorEastAsia"/>
              <w:lang w:eastAsia="pl-PL"/>
            </w:rPr>
            <w:tab/>
          </w:r>
          <w:r>
            <w:rPr>
              <w:rStyle w:val="20"/>
              <w:rFonts w:ascii="Times New Roman" w:hAnsi="Times New Roman" w:cs="Times New Roman"/>
            </w:rPr>
            <w:t>Wyróżniki, potencjał i spójność obszaru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_Toc135994828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14:paraId="7394CB56">
          <w:pPr>
            <w:pStyle w:val="25"/>
            <w:rPr>
              <w:rFonts w:ascii="Times New Roman" w:hAnsi="Times New Roman" w:cs="Times New Roman" w:eastAsiaTheme="minorEastAsia"/>
              <w:lang w:eastAsia="pl-PL"/>
            </w:rPr>
          </w:pPr>
          <w:r>
            <w:fldChar w:fldCharType="begin"/>
          </w:r>
          <w:r>
            <w:instrText xml:space="preserve"> HYPERLINK \l "_Toc135994829" </w:instrText>
          </w:r>
          <w:r>
            <w:fldChar w:fldCharType="separate"/>
          </w:r>
          <w:r>
            <w:rPr>
              <w:rStyle w:val="20"/>
              <w:rFonts w:ascii="Times New Roman" w:hAnsi="Times New Roman" w:cs="Times New Roman"/>
            </w:rPr>
            <w:t>III.</w:t>
          </w:r>
          <w:r>
            <w:rPr>
              <w:rFonts w:ascii="Times New Roman" w:hAnsi="Times New Roman" w:cs="Times New Roman" w:eastAsiaTheme="minorEastAsia"/>
              <w:lang w:eastAsia="pl-PL"/>
            </w:rPr>
            <w:tab/>
          </w:r>
          <w:r>
            <w:rPr>
              <w:rStyle w:val="20"/>
              <w:rFonts w:ascii="Times New Roman" w:hAnsi="Times New Roman" w:cs="Times New Roman"/>
            </w:rPr>
            <w:t>PARTYCYPACYJNY CHARAKTER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_Toc135994829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2E499735">
          <w:pPr>
            <w:pStyle w:val="26"/>
            <w:rPr>
              <w:rFonts w:ascii="Times New Roman" w:hAnsi="Times New Roman" w:cs="Times New Roman" w:eastAsiaTheme="minorEastAsia"/>
              <w:lang w:eastAsia="pl-PL"/>
            </w:rPr>
          </w:pPr>
          <w:r>
            <w:fldChar w:fldCharType="begin"/>
          </w:r>
          <w:r>
            <w:instrText xml:space="preserve"> HYPERLINK \l "_Toc135994830" </w:instrText>
          </w:r>
          <w:r>
            <w:fldChar w:fldCharType="separate"/>
          </w:r>
          <w:r>
            <w:rPr>
              <w:rStyle w:val="20"/>
              <w:rFonts w:ascii="Times New Roman" w:hAnsi="Times New Roman" w:cs="Times New Roman"/>
            </w:rPr>
            <w:t>1.</w:t>
          </w:r>
          <w:r>
            <w:rPr>
              <w:rFonts w:ascii="Times New Roman" w:hAnsi="Times New Roman" w:cs="Times New Roman" w:eastAsiaTheme="minorEastAsia"/>
              <w:lang w:eastAsia="pl-PL"/>
            </w:rPr>
            <w:tab/>
          </w:r>
          <w:r>
            <w:rPr>
              <w:rStyle w:val="20"/>
              <w:rFonts w:ascii="Times New Roman" w:hAnsi="Times New Roman" w:cs="Times New Roman"/>
            </w:rPr>
            <w:t>Etap opracowania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_Toc135994830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583A948F">
          <w:pPr>
            <w:pStyle w:val="26"/>
            <w:rPr>
              <w:rFonts w:ascii="Times New Roman" w:hAnsi="Times New Roman" w:cs="Times New Roman" w:eastAsiaTheme="minorEastAsia"/>
              <w:lang w:eastAsia="pl-PL"/>
            </w:rPr>
          </w:pPr>
          <w:r>
            <w:fldChar w:fldCharType="begin"/>
          </w:r>
          <w:r>
            <w:instrText xml:space="preserve"> HYPERLINK \l "_Toc135994831" </w:instrText>
          </w:r>
          <w:r>
            <w:fldChar w:fldCharType="separate"/>
          </w:r>
          <w:r>
            <w:rPr>
              <w:rStyle w:val="20"/>
              <w:rFonts w:ascii="Times New Roman" w:hAnsi="Times New Roman" w:cs="Times New Roman"/>
            </w:rPr>
            <w:t>2.</w:t>
          </w:r>
          <w:r>
            <w:rPr>
              <w:rFonts w:ascii="Times New Roman" w:hAnsi="Times New Roman" w:cs="Times New Roman" w:eastAsiaTheme="minorEastAsia"/>
              <w:lang w:eastAsia="pl-PL"/>
            </w:rPr>
            <w:tab/>
          </w:r>
          <w:r>
            <w:rPr>
              <w:rStyle w:val="20"/>
              <w:rFonts w:ascii="Times New Roman" w:hAnsi="Times New Roman" w:cs="Times New Roman"/>
            </w:rPr>
            <w:t>Etap wdrażania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_Toc135994831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14:paraId="5A6216A7">
          <w:pPr>
            <w:pStyle w:val="25"/>
            <w:rPr>
              <w:rFonts w:ascii="Times New Roman" w:hAnsi="Times New Roman" w:cs="Times New Roman" w:eastAsiaTheme="minorEastAsia"/>
              <w:lang w:eastAsia="pl-PL"/>
            </w:rPr>
          </w:pPr>
          <w:r>
            <w:fldChar w:fldCharType="begin"/>
          </w:r>
          <w:r>
            <w:instrText xml:space="preserve"> HYPERLINK \l "_Toc135994832" </w:instrText>
          </w:r>
          <w:r>
            <w:fldChar w:fldCharType="separate"/>
          </w:r>
          <w:r>
            <w:rPr>
              <w:rStyle w:val="20"/>
              <w:rFonts w:ascii="Times New Roman" w:hAnsi="Times New Roman" w:cs="Times New Roman"/>
            </w:rPr>
            <w:t>IV.</w:t>
          </w:r>
          <w:r>
            <w:rPr>
              <w:rFonts w:ascii="Times New Roman" w:hAnsi="Times New Roman" w:cs="Times New Roman" w:eastAsiaTheme="minorEastAsia"/>
              <w:lang w:eastAsia="pl-PL"/>
            </w:rPr>
            <w:tab/>
          </w:r>
          <w:r>
            <w:rPr>
              <w:rStyle w:val="20"/>
              <w:rFonts w:ascii="Times New Roman" w:hAnsi="Times New Roman" w:cs="Times New Roman"/>
            </w:rPr>
            <w:t>ANALIZA POTRZEB I POTENCJAŁU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_Toc135994832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000BE34E">
          <w:pPr>
            <w:pStyle w:val="26"/>
            <w:rPr>
              <w:rFonts w:ascii="Times New Roman" w:hAnsi="Times New Roman" w:cs="Times New Roman" w:eastAsiaTheme="minorEastAsia"/>
              <w:lang w:eastAsia="pl-PL"/>
            </w:rPr>
          </w:pPr>
          <w:r>
            <w:fldChar w:fldCharType="begin"/>
          </w:r>
          <w:r>
            <w:instrText xml:space="preserve"> HYPERLINK \l "_Toc135994833" </w:instrText>
          </w:r>
          <w:r>
            <w:fldChar w:fldCharType="separate"/>
          </w:r>
          <w:r>
            <w:rPr>
              <w:rStyle w:val="20"/>
              <w:rFonts w:ascii="Times New Roman" w:hAnsi="Times New Roman" w:cs="Times New Roman"/>
            </w:rPr>
            <w:t>1.</w:t>
          </w:r>
          <w:r>
            <w:rPr>
              <w:rFonts w:ascii="Times New Roman" w:hAnsi="Times New Roman" w:cs="Times New Roman" w:eastAsiaTheme="minorEastAsia"/>
              <w:lang w:eastAsia="pl-PL"/>
            </w:rPr>
            <w:tab/>
          </w:r>
          <w:r>
            <w:rPr>
              <w:rStyle w:val="20"/>
              <w:rFonts w:ascii="Times New Roman" w:hAnsi="Times New Roman" w:cs="Times New Roman"/>
            </w:rPr>
            <w:t>Potrzeby rozwojowe i potencjały obszaru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_Toc135994833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631BEA9F">
          <w:pPr>
            <w:pStyle w:val="26"/>
            <w:rPr>
              <w:rFonts w:ascii="Times New Roman" w:hAnsi="Times New Roman" w:cs="Times New Roman" w:eastAsiaTheme="minorEastAsia"/>
              <w:lang w:eastAsia="pl-PL"/>
            </w:rPr>
          </w:pPr>
          <w:r>
            <w:fldChar w:fldCharType="begin"/>
          </w:r>
          <w:r>
            <w:instrText xml:space="preserve"> HYPERLINK \l "_Toc135994834" </w:instrText>
          </w:r>
          <w:r>
            <w:fldChar w:fldCharType="separate"/>
          </w:r>
          <w:r>
            <w:rPr>
              <w:rStyle w:val="20"/>
              <w:rFonts w:ascii="Times New Roman" w:hAnsi="Times New Roman" w:cs="Times New Roman"/>
            </w:rPr>
            <w:t>2.</w:t>
          </w:r>
          <w:r>
            <w:rPr>
              <w:rFonts w:ascii="Times New Roman" w:hAnsi="Times New Roman" w:cs="Times New Roman" w:eastAsiaTheme="minorEastAsia"/>
              <w:lang w:eastAsia="pl-PL"/>
            </w:rPr>
            <w:tab/>
          </w:r>
          <w:r>
            <w:rPr>
              <w:rStyle w:val="20"/>
              <w:rFonts w:ascii="Times New Roman" w:hAnsi="Times New Roman" w:cs="Times New Roman"/>
            </w:rPr>
            <w:t>Analiza SWOT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_Toc135994834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4104B3F3">
          <w:pPr>
            <w:pStyle w:val="26"/>
            <w:rPr>
              <w:rFonts w:ascii="Times New Roman" w:hAnsi="Times New Roman" w:cs="Times New Roman" w:eastAsiaTheme="minorEastAsia"/>
              <w:lang w:eastAsia="pl-PL"/>
            </w:rPr>
          </w:pPr>
          <w:r>
            <w:fldChar w:fldCharType="begin"/>
          </w:r>
          <w:r>
            <w:instrText xml:space="preserve"> HYPERLINK \l "_Toc135994835" </w:instrText>
          </w:r>
          <w:r>
            <w:fldChar w:fldCharType="separate"/>
          </w:r>
          <w:r>
            <w:rPr>
              <w:rStyle w:val="20"/>
              <w:rFonts w:ascii="Times New Roman" w:hAnsi="Times New Roman" w:cs="Times New Roman"/>
            </w:rPr>
            <w:t>3.</w:t>
          </w:r>
          <w:r>
            <w:rPr>
              <w:rFonts w:ascii="Times New Roman" w:hAnsi="Times New Roman" w:cs="Times New Roman" w:eastAsiaTheme="minorEastAsia"/>
              <w:lang w:eastAsia="pl-PL"/>
            </w:rPr>
            <w:tab/>
          </w:r>
          <w:r>
            <w:rPr>
              <w:rStyle w:val="20"/>
              <w:rFonts w:ascii="Times New Roman" w:hAnsi="Times New Roman" w:cs="Times New Roman"/>
            </w:rPr>
            <w:t>Wnioski z diagnozy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_Toc135994835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14:paraId="6C783EC0">
          <w:pPr>
            <w:pStyle w:val="26"/>
            <w:rPr>
              <w:rFonts w:ascii="Times New Roman" w:hAnsi="Times New Roman" w:cs="Times New Roman" w:eastAsiaTheme="minorEastAsia"/>
              <w:lang w:eastAsia="pl-PL"/>
            </w:rPr>
          </w:pPr>
          <w:r>
            <w:fldChar w:fldCharType="begin"/>
          </w:r>
          <w:r>
            <w:instrText xml:space="preserve"> HYPERLINK \l "_Toc135994836" </w:instrText>
          </w:r>
          <w:r>
            <w:fldChar w:fldCharType="separate"/>
          </w:r>
          <w:r>
            <w:rPr>
              <w:rStyle w:val="20"/>
              <w:rFonts w:ascii="Times New Roman" w:hAnsi="Times New Roman" w:cs="Times New Roman"/>
            </w:rPr>
            <w:t>4.</w:t>
          </w:r>
          <w:r>
            <w:rPr>
              <w:rFonts w:ascii="Times New Roman" w:hAnsi="Times New Roman" w:cs="Times New Roman" w:eastAsiaTheme="minorEastAsia"/>
              <w:lang w:eastAsia="pl-PL"/>
            </w:rPr>
            <w:tab/>
          </w:r>
          <w:r>
            <w:rPr>
              <w:rStyle w:val="20"/>
              <w:rFonts w:ascii="Times New Roman" w:hAnsi="Times New Roman" w:cs="Times New Roman"/>
            </w:rPr>
            <w:t>Grupy docelowe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_Toc135994836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14:paraId="5C0C44E8">
          <w:pPr>
            <w:pStyle w:val="25"/>
            <w:rPr>
              <w:rFonts w:ascii="Times New Roman" w:hAnsi="Times New Roman" w:cs="Times New Roman" w:eastAsiaTheme="minorEastAsia"/>
              <w:lang w:eastAsia="pl-PL"/>
            </w:rPr>
          </w:pPr>
          <w:r>
            <w:fldChar w:fldCharType="begin"/>
          </w:r>
          <w:r>
            <w:instrText xml:space="preserve"> HYPERLINK \l "_Toc135994837" </w:instrText>
          </w:r>
          <w:r>
            <w:fldChar w:fldCharType="separate"/>
          </w:r>
          <w:r>
            <w:rPr>
              <w:rStyle w:val="20"/>
              <w:rFonts w:ascii="Times New Roman" w:hAnsi="Times New Roman" w:cs="Times New Roman"/>
            </w:rPr>
            <w:t>V.</w:t>
          </w:r>
          <w:r>
            <w:rPr>
              <w:rFonts w:ascii="Times New Roman" w:hAnsi="Times New Roman" w:cs="Times New Roman" w:eastAsiaTheme="minorEastAsia"/>
              <w:lang w:eastAsia="pl-PL"/>
            </w:rPr>
            <w:tab/>
          </w:r>
          <w:r>
            <w:rPr>
              <w:rStyle w:val="20"/>
              <w:rFonts w:ascii="Times New Roman" w:hAnsi="Times New Roman" w:cs="Times New Roman"/>
            </w:rPr>
            <w:t>SPÓJNOŚĆ, KOMPLEMENTARNOŚĆ I SYNERGIA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_Toc135994837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14:paraId="5DBC6D8B">
          <w:pPr>
            <w:pStyle w:val="25"/>
            <w:rPr>
              <w:rFonts w:ascii="Times New Roman" w:hAnsi="Times New Roman" w:cs="Times New Roman" w:eastAsiaTheme="minorEastAsia"/>
              <w:lang w:eastAsia="pl-PL"/>
            </w:rPr>
          </w:pPr>
          <w:r>
            <w:fldChar w:fldCharType="begin"/>
          </w:r>
          <w:r>
            <w:instrText xml:space="preserve"> HYPERLINK \l "_Toc135994838" </w:instrText>
          </w:r>
          <w:r>
            <w:fldChar w:fldCharType="separate"/>
          </w:r>
          <w:r>
            <w:rPr>
              <w:rStyle w:val="20"/>
              <w:rFonts w:ascii="Times New Roman" w:hAnsi="Times New Roman" w:cs="Times New Roman"/>
            </w:rPr>
            <w:t>VI.</w:t>
          </w:r>
          <w:r>
            <w:rPr>
              <w:rFonts w:ascii="Times New Roman" w:hAnsi="Times New Roman" w:cs="Times New Roman" w:eastAsiaTheme="minorEastAsia"/>
              <w:lang w:eastAsia="pl-PL"/>
            </w:rPr>
            <w:tab/>
          </w:r>
          <w:r>
            <w:rPr>
              <w:rStyle w:val="20"/>
              <w:rFonts w:ascii="Times New Roman" w:hAnsi="Times New Roman" w:cs="Times New Roman"/>
            </w:rPr>
            <w:t>CELE I WSKAŹNIKI</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_Toc135994838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14:paraId="20C3519A">
          <w:pPr>
            <w:pStyle w:val="25"/>
            <w:rPr>
              <w:rFonts w:ascii="Times New Roman" w:hAnsi="Times New Roman" w:cs="Times New Roman" w:eastAsiaTheme="minorEastAsia"/>
              <w:lang w:eastAsia="pl-PL"/>
            </w:rPr>
          </w:pPr>
          <w:r>
            <w:fldChar w:fldCharType="begin"/>
          </w:r>
          <w:r>
            <w:instrText xml:space="preserve"> HYPERLINK \l "_Toc135994839" </w:instrText>
          </w:r>
          <w:r>
            <w:fldChar w:fldCharType="separate"/>
          </w:r>
          <w:r>
            <w:rPr>
              <w:rStyle w:val="20"/>
              <w:rFonts w:ascii="Times New Roman" w:hAnsi="Times New Roman" w:cs="Times New Roman"/>
            </w:rPr>
            <w:t>VII.</w:t>
          </w:r>
          <w:r>
            <w:rPr>
              <w:rFonts w:ascii="Times New Roman" w:hAnsi="Times New Roman" w:cs="Times New Roman" w:eastAsiaTheme="minorEastAsia"/>
              <w:lang w:eastAsia="pl-PL"/>
            </w:rPr>
            <w:tab/>
          </w:r>
          <w:r>
            <w:rPr>
              <w:rStyle w:val="20"/>
              <w:rFonts w:ascii="Times New Roman" w:hAnsi="Times New Roman" w:cs="Times New Roman"/>
            </w:rPr>
            <w:t xml:space="preserve">SPOSÓB WYBORU I OCENY OPERACJI ORAZ SPOSÓB USTANAWIANIA KRYTERIÓW </w:t>
          </w:r>
          <w:r>
            <w:rPr>
              <w:rStyle w:val="20"/>
              <w:rFonts w:ascii="Times New Roman" w:hAnsi="Times New Roman" w:cs="Times New Roman"/>
            </w:rPr>
            <w:br w:type="textWrapping"/>
          </w:r>
          <w:r>
            <w:rPr>
              <w:rStyle w:val="20"/>
              <w:rFonts w:ascii="Times New Roman" w:hAnsi="Times New Roman" w:cs="Times New Roman"/>
            </w:rPr>
            <w:t>WYBORU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_Toc135994839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14:paraId="001E4E33">
          <w:pPr>
            <w:pStyle w:val="25"/>
            <w:rPr>
              <w:rFonts w:ascii="Times New Roman" w:hAnsi="Times New Roman" w:cs="Times New Roman" w:eastAsiaTheme="minorEastAsia"/>
              <w:lang w:eastAsia="pl-PL"/>
            </w:rPr>
          </w:pPr>
          <w:r>
            <w:fldChar w:fldCharType="begin"/>
          </w:r>
          <w:r>
            <w:instrText xml:space="preserve"> HYPERLINK \l "_Toc135994840" </w:instrText>
          </w:r>
          <w:r>
            <w:fldChar w:fldCharType="separate"/>
          </w:r>
          <w:r>
            <w:rPr>
              <w:rStyle w:val="20"/>
              <w:rFonts w:ascii="Times New Roman" w:hAnsi="Times New Roman" w:cs="Times New Roman"/>
            </w:rPr>
            <w:t>VIII.</w:t>
          </w:r>
          <w:r>
            <w:rPr>
              <w:rFonts w:ascii="Times New Roman" w:hAnsi="Times New Roman" w:cs="Times New Roman" w:eastAsiaTheme="minorEastAsia"/>
              <w:lang w:eastAsia="pl-PL"/>
            </w:rPr>
            <w:tab/>
          </w:r>
          <w:r>
            <w:rPr>
              <w:rStyle w:val="20"/>
              <w:rFonts w:ascii="Times New Roman" w:hAnsi="Times New Roman" w:cs="Times New Roman"/>
            </w:rPr>
            <w:t>PLAN DZIAŁANIA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_Toc135994840 \h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r>
            <w:rPr>
              <w:rFonts w:ascii="Times New Roman" w:hAnsi="Times New Roman" w:cs="Times New Roman"/>
            </w:rPr>
            <w:fldChar w:fldCharType="end"/>
          </w:r>
        </w:p>
        <w:p w14:paraId="25AAB86C">
          <w:pPr>
            <w:pStyle w:val="25"/>
            <w:rPr>
              <w:rFonts w:ascii="Times New Roman" w:hAnsi="Times New Roman" w:cs="Times New Roman" w:eastAsiaTheme="minorEastAsia"/>
              <w:lang w:eastAsia="pl-PL"/>
            </w:rPr>
          </w:pPr>
          <w:r>
            <w:fldChar w:fldCharType="begin"/>
          </w:r>
          <w:r>
            <w:instrText xml:space="preserve"> HYPERLINK \l "_Toc135994841" </w:instrText>
          </w:r>
          <w:r>
            <w:fldChar w:fldCharType="separate"/>
          </w:r>
          <w:r>
            <w:rPr>
              <w:rStyle w:val="20"/>
              <w:rFonts w:ascii="Times New Roman" w:hAnsi="Times New Roman" w:cs="Times New Roman"/>
            </w:rPr>
            <w:t>IX.</w:t>
          </w:r>
          <w:r>
            <w:rPr>
              <w:rFonts w:ascii="Times New Roman" w:hAnsi="Times New Roman" w:cs="Times New Roman" w:eastAsiaTheme="minorEastAsia"/>
              <w:lang w:eastAsia="pl-PL"/>
            </w:rPr>
            <w:tab/>
          </w:r>
          <w:r>
            <w:rPr>
              <w:rStyle w:val="20"/>
              <w:rFonts w:ascii="Times New Roman" w:hAnsi="Times New Roman" w:cs="Times New Roman"/>
            </w:rPr>
            <w:t>PLAN FINANSOWY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_Toc135994841 \h </w:instrText>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r>
            <w:rPr>
              <w:rFonts w:ascii="Times New Roman" w:hAnsi="Times New Roman" w:cs="Times New Roman"/>
            </w:rPr>
            <w:fldChar w:fldCharType="end"/>
          </w:r>
        </w:p>
        <w:p w14:paraId="2171BC10">
          <w:pPr>
            <w:pStyle w:val="25"/>
            <w:rPr>
              <w:rFonts w:ascii="Times New Roman" w:hAnsi="Times New Roman" w:cs="Times New Roman" w:eastAsiaTheme="minorEastAsia"/>
              <w:lang w:eastAsia="pl-PL"/>
            </w:rPr>
          </w:pPr>
          <w:r>
            <w:fldChar w:fldCharType="begin"/>
          </w:r>
          <w:r>
            <w:instrText xml:space="preserve"> HYPERLINK \l "_Toc135994842" </w:instrText>
          </w:r>
          <w:r>
            <w:fldChar w:fldCharType="separate"/>
          </w:r>
          <w:r>
            <w:rPr>
              <w:rStyle w:val="20"/>
              <w:rFonts w:ascii="Times New Roman" w:hAnsi="Times New Roman" w:cs="Times New Roman"/>
            </w:rPr>
            <w:t>X.</w:t>
          </w:r>
          <w:r>
            <w:rPr>
              <w:rFonts w:ascii="Times New Roman" w:hAnsi="Times New Roman" w:cs="Times New Roman" w:eastAsiaTheme="minorEastAsia"/>
              <w:lang w:eastAsia="pl-PL"/>
            </w:rPr>
            <w:tab/>
          </w:r>
          <w:r>
            <w:rPr>
              <w:rStyle w:val="20"/>
              <w:rFonts w:ascii="Times New Roman" w:hAnsi="Times New Roman" w:cs="Times New Roman"/>
            </w:rPr>
            <w:t>MONITORING I EWALUACJA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_Toc135994842 \h </w:instrText>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r>
            <w:rPr>
              <w:rFonts w:ascii="Times New Roman" w:hAnsi="Times New Roman" w:cs="Times New Roman"/>
            </w:rPr>
            <w:fldChar w:fldCharType="end"/>
          </w:r>
        </w:p>
        <w:p w14:paraId="234875D9">
          <w:pPr>
            <w:pStyle w:val="26"/>
            <w:rPr>
              <w:rFonts w:ascii="Times New Roman" w:hAnsi="Times New Roman" w:cs="Times New Roman" w:eastAsiaTheme="minorEastAsia"/>
              <w:lang w:eastAsia="pl-PL"/>
            </w:rPr>
          </w:pPr>
          <w:r>
            <w:fldChar w:fldCharType="begin"/>
          </w:r>
          <w:r>
            <w:instrText xml:space="preserve"> HYPERLINK \l "_Toc135994843" </w:instrText>
          </w:r>
          <w:r>
            <w:fldChar w:fldCharType="separate"/>
          </w:r>
          <w:r>
            <w:rPr>
              <w:rStyle w:val="20"/>
              <w:rFonts w:ascii="Times New Roman" w:hAnsi="Times New Roman" w:cs="Times New Roman"/>
            </w:rPr>
            <w:t>Spis rysunków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_Toc135994843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14:paraId="2DDDDCFA">
          <w:pPr>
            <w:pStyle w:val="26"/>
            <w:rPr>
              <w:rFonts w:ascii="Times New Roman" w:hAnsi="Times New Roman" w:cs="Times New Roman" w:eastAsiaTheme="minorEastAsia"/>
              <w:lang w:eastAsia="pl-PL"/>
            </w:rPr>
          </w:pPr>
          <w:r>
            <w:fldChar w:fldCharType="begin"/>
          </w:r>
          <w:r>
            <w:instrText xml:space="preserve"> HYPERLINK \l "_Toc135994844" </w:instrText>
          </w:r>
          <w:r>
            <w:fldChar w:fldCharType="separate"/>
          </w:r>
          <w:r>
            <w:rPr>
              <w:rStyle w:val="20"/>
              <w:rFonts w:ascii="Times New Roman" w:hAnsi="Times New Roman" w:cs="Times New Roman"/>
            </w:rPr>
            <w:t>Spis map</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_Toc135994844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14:paraId="33731FD0">
          <w:pPr>
            <w:pStyle w:val="26"/>
            <w:rPr>
              <w:rFonts w:ascii="Times New Roman" w:hAnsi="Times New Roman" w:cs="Times New Roman" w:eastAsiaTheme="minorEastAsia"/>
              <w:lang w:eastAsia="pl-PL"/>
            </w:rPr>
          </w:pPr>
          <w:r>
            <w:fldChar w:fldCharType="begin"/>
          </w:r>
          <w:r>
            <w:instrText xml:space="preserve"> HYPERLINK \l "_Toc135994845" </w:instrText>
          </w:r>
          <w:r>
            <w:fldChar w:fldCharType="separate"/>
          </w:r>
          <w:r>
            <w:rPr>
              <w:rStyle w:val="20"/>
              <w:rFonts w:ascii="Times New Roman" w:hAnsi="Times New Roman" w:cs="Times New Roman"/>
            </w:rPr>
            <w:t>Spis wykresów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_Toc135994845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14:paraId="629842DB">
          <w:pPr>
            <w:pStyle w:val="26"/>
            <w:rPr>
              <w:rFonts w:ascii="Times New Roman" w:hAnsi="Times New Roman" w:cs="Times New Roman" w:eastAsiaTheme="minorEastAsia"/>
              <w:lang w:eastAsia="pl-PL"/>
            </w:rPr>
          </w:pPr>
          <w:r>
            <w:fldChar w:fldCharType="begin"/>
          </w:r>
          <w:r>
            <w:instrText xml:space="preserve"> HYPERLINK \l "_Toc135994846" </w:instrText>
          </w:r>
          <w:r>
            <w:fldChar w:fldCharType="separate"/>
          </w:r>
          <w:r>
            <w:rPr>
              <w:rStyle w:val="20"/>
              <w:rFonts w:ascii="Times New Roman" w:hAnsi="Times New Roman" w:cs="Times New Roman"/>
            </w:rPr>
            <w:t>Spis tabel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_Toc135994846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14:paraId="0649B2AA">
          <w:pPr>
            <w:pStyle w:val="26"/>
            <w:rPr>
              <w:rFonts w:ascii="Times New Roman" w:hAnsi="Times New Roman" w:cs="Times New Roman" w:eastAsiaTheme="minorEastAsia"/>
              <w:lang w:eastAsia="pl-PL"/>
            </w:rPr>
          </w:pPr>
          <w:r>
            <w:fldChar w:fldCharType="begin"/>
          </w:r>
          <w:r>
            <w:instrText xml:space="preserve"> HYPERLINK \l "_Toc135994847" </w:instrText>
          </w:r>
          <w:r>
            <w:fldChar w:fldCharType="separate"/>
          </w:r>
          <w:r>
            <w:rPr>
              <w:rStyle w:val="20"/>
              <w:rFonts w:ascii="Times New Roman" w:hAnsi="Times New Roman" w:cs="Times New Roman"/>
            </w:rPr>
            <w:t>Wykaz wykorzystanej literatury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_Toc135994847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14:paraId="5457D4D6">
          <w:pPr>
            <w:pStyle w:val="26"/>
            <w:rPr>
              <w:rFonts w:eastAsiaTheme="minorEastAsia"/>
              <w:lang w:eastAsia="pl-PL"/>
            </w:rPr>
          </w:pPr>
          <w:r>
            <w:fldChar w:fldCharType="begin"/>
          </w:r>
          <w:r>
            <w:instrText xml:space="preserve"> HYPERLINK \l "_Toc135994848" </w:instrText>
          </w:r>
          <w:r>
            <w:fldChar w:fldCharType="separate"/>
          </w:r>
          <w:r>
            <w:rPr>
              <w:rStyle w:val="20"/>
              <w:rFonts w:ascii="Times New Roman" w:hAnsi="Times New Roman" w:cs="Times New Roman"/>
            </w:rPr>
            <w:t>Załączniki do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_Toc135994848 \h </w:instrText>
          </w:r>
          <w:r>
            <w:rPr>
              <w:rFonts w:ascii="Times New Roman" w:hAnsi="Times New Roman" w:cs="Times New Roman"/>
            </w:rPr>
            <w:fldChar w:fldCharType="separate"/>
          </w:r>
          <w:r>
            <w:rPr>
              <w:rFonts w:ascii="Times New Roman" w:hAnsi="Times New Roman" w:cs="Times New Roman"/>
            </w:rPr>
            <w:t>81</w:t>
          </w:r>
          <w:r>
            <w:rPr>
              <w:rFonts w:ascii="Times New Roman" w:hAnsi="Times New Roman" w:cs="Times New Roman"/>
            </w:rPr>
            <w:fldChar w:fldCharType="end"/>
          </w:r>
          <w:r>
            <w:rPr>
              <w:rFonts w:ascii="Times New Roman" w:hAnsi="Times New Roman" w:cs="Times New Roman"/>
            </w:rPr>
            <w:fldChar w:fldCharType="end"/>
          </w:r>
        </w:p>
        <w:p w14:paraId="427F2F20">
          <w:pPr>
            <w:spacing w:line="276" w:lineRule="auto"/>
            <w:jc w:val="both"/>
            <w:rPr>
              <w:rFonts w:ascii="Times New Roman" w:hAnsi="Times New Roman" w:cs="Times New Roman"/>
            </w:rPr>
          </w:pPr>
          <w:r>
            <w:rPr>
              <w:rFonts w:ascii="Times New Roman" w:hAnsi="Times New Roman" w:cs="Times New Roman"/>
            </w:rPr>
            <w:fldChar w:fldCharType="end"/>
          </w:r>
        </w:p>
      </w:sdtContent>
    </w:sdt>
    <w:p w14:paraId="243FBA7D">
      <w:pPr>
        <w:jc w:val="center"/>
        <w:rPr>
          <w:rFonts w:ascii="Times New Roman" w:hAnsi="Times New Roman" w:cs="Times New Roman"/>
          <w:b/>
          <w:bCs/>
        </w:rPr>
      </w:pPr>
      <w:r>
        <w:rPr>
          <w:rFonts w:ascii="Times New Roman" w:hAnsi="Times New Roman" w:cs="Times New Roman"/>
          <w:b/>
          <w:bCs/>
        </w:rPr>
        <w:br w:type="page"/>
      </w:r>
    </w:p>
    <w:p w14:paraId="3BE21B69">
      <w:pPr>
        <w:pStyle w:val="28"/>
        <w:numPr>
          <w:ilvl w:val="0"/>
          <w:numId w:val="2"/>
        </w:numPr>
        <w:spacing w:line="276" w:lineRule="auto"/>
        <w:ind w:left="714" w:hanging="357"/>
        <w:contextualSpacing w:val="0"/>
        <w:jc w:val="both"/>
        <w:outlineLvl w:val="0"/>
        <w:rPr>
          <w:rFonts w:ascii="Times New Roman" w:hAnsi="Times New Roman" w:cs="Times New Roman"/>
          <w:b/>
          <w:bCs/>
        </w:rPr>
      </w:pPr>
      <w:bookmarkStart w:id="1" w:name="_Toc135994820"/>
      <w:r>
        <w:rPr>
          <w:rFonts w:ascii="Times New Roman" w:hAnsi="Times New Roman" w:cs="Times New Roman"/>
          <w:b/>
          <w:bCs/>
          <w:color w:val="000000" w:themeColor="text1"/>
          <w14:textFill>
            <w14:solidFill>
              <w14:schemeClr w14:val="tx1"/>
            </w14:solidFill>
          </w14:textFill>
        </w:rPr>
        <w:t>CHARAKTERYSTYKA PARTNERSTWA LOKALNEGO</w:t>
      </w:r>
      <w:bookmarkEnd w:id="1"/>
    </w:p>
    <w:p w14:paraId="4AAA4366">
      <w:pPr>
        <w:pStyle w:val="28"/>
        <w:numPr>
          <w:ilvl w:val="0"/>
          <w:numId w:val="3"/>
        </w:numPr>
        <w:spacing w:before="240" w:line="276" w:lineRule="auto"/>
        <w:ind w:left="1134"/>
        <w:jc w:val="both"/>
        <w:outlineLvl w:val="1"/>
        <w:rPr>
          <w:rFonts w:ascii="Times New Roman" w:hAnsi="Times New Roman" w:cs="Times New Roman"/>
          <w:b/>
          <w:bCs/>
        </w:rPr>
      </w:pPr>
      <w:bookmarkStart w:id="2" w:name="_Toc135994821"/>
      <w:r>
        <w:rPr>
          <w:rFonts w:ascii="Times New Roman" w:hAnsi="Times New Roman" w:cs="Times New Roman"/>
          <w:b/>
          <w:bCs/>
        </w:rPr>
        <w:t>Nazwa LGD, forma prawna</w:t>
      </w:r>
      <w:bookmarkEnd w:id="2"/>
    </w:p>
    <w:p w14:paraId="00E87FE4">
      <w:pPr>
        <w:spacing w:before="24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Stowarzyszenie Lokalna Grupa Działania „Między Dalinem i Gościbią” (LGD „MDiG”) działa jako stowarzyszenie posiadające osobowość prawną, wpisane w dniu 1 września 2008 r. do Krajowego Rejestru Sądowego pod numerem 0000312740. Formą prawną partnerstwa jest stowarzyszenie „specjalne” – jest to jednolita dla wszystkich LGD forma organizacyjno-prawna, charakteryzująca się tym, że w stowarzyszeniu oprócz osób fizycznych członkami zwyczajnymi mogą być także osoby prawne, w tym jednostki samorządu terytorialnego, z wyłączeniem województw, a nadzór nad nim sprawuje marszałek województwa i może ono prowadzić działalność gospodarczą służącą realizacji LSR. Poza tym w takim stowarzyszeniu, obok walnego zebrania członków, zarządu oraz organu kontroli wewnętrznej, funkcjonuje dodatkowy organ jakim jest rada, która podejmuje decyzje w sprawie wyboru operacji realizowanych w ramach LSR (chyba że w Statucie LGD przewidziano, że zadania te należą do właściwości zarządu).</w:t>
      </w:r>
    </w:p>
    <w:p w14:paraId="727F0D84">
      <w:pPr>
        <w:pStyle w:val="28"/>
        <w:numPr>
          <w:ilvl w:val="0"/>
          <w:numId w:val="3"/>
        </w:numPr>
        <w:spacing w:before="240" w:line="276" w:lineRule="auto"/>
        <w:ind w:left="1134"/>
        <w:jc w:val="both"/>
        <w:outlineLvl w:val="1"/>
        <w:rPr>
          <w:rFonts w:ascii="Times New Roman" w:hAnsi="Times New Roman" w:cs="Times New Roman"/>
          <w:b/>
          <w:bCs/>
        </w:rPr>
      </w:pPr>
      <w:bookmarkStart w:id="3" w:name="_Toc135994822"/>
      <w:r>
        <w:rPr>
          <w:rFonts w:ascii="Times New Roman" w:hAnsi="Times New Roman" w:cs="Times New Roman"/>
          <w:b/>
          <w:bCs/>
        </w:rPr>
        <w:t>Proces tworzenia i doświadczenie partnerstwa</w:t>
      </w:r>
      <w:bookmarkEnd w:id="3"/>
      <w:r>
        <w:rPr>
          <w:rFonts w:ascii="Times New Roman" w:hAnsi="Times New Roman" w:cs="Times New Roman"/>
          <w:b/>
          <w:bCs/>
        </w:rPr>
        <w:t xml:space="preserve"> </w:t>
      </w:r>
      <w:r>
        <w:rPr>
          <w:rFonts w:ascii="Times New Roman" w:hAnsi="Times New Roman" w:cs="Times New Roman"/>
        </w:rPr>
        <w:t xml:space="preserve"> </w:t>
      </w:r>
    </w:p>
    <w:p w14:paraId="4A7E9F00">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 xml:space="preserve">Społeczności dwóch gmin – Myślenice i Sułkowice – podjęły starania o udział w programie Leader jeszcze na etapie Działania 2.7 Sektorowego Programu Operacyjnego „Restrukturyzacja i modernizacja sektora żywnościowego i rozwój obszarów wiejskich” – „Pilotażowy Program Leader+”. Gminę Sułkowice obejmowała LGD „Gościniec 4 Żywiołów”, która uczestniczyła w Schemacie I PPL+. LGD ta nie mogła wziąć udziału w Schemacie II PPL+, ze względu na zbyt dużą gęstość zaludnienia. Społeczność Gminy Myślenice przystąpiła wraz ze społecznościami innych gmin do budowania LGD Turystyczna Podkowa, ale musiała się wycofać ze względu na zbyt dużą gęstość zaludnienia – umożliwiło to LGD Turystyczna Podkowa udział w Schemacie II PPL+. Obecna LGD jest wynikiem współpracy Burmistrzów i mieszkańców gmin Sułkowice i Myślenice w zakresie utworzenia Lokalnej Grupy Działania na terenie obu gmin. Inicjatywa ta została potwierdzona decyzjami podjętymi przez organy uchwałodawcze. W dniu 29 kwietnia 2008 r. Rada Miejska w Sułkowicach podjęła uchwałę w sprawie wyrażenia zgody na współpracę partnerską z Gminą Myślenice w zakresie realizacji działań Osi 4 „Leader” Programu Rozwoju Obszarów Wiejskich na lata 2007–2013 (PROW). Analogiczną uchwałę podjęła w dniu 26 maja 2008 r. Rada Miejska w Myślenicach. 17 czerwca 2008 r. Burmistrzowie obu gmin podpisali umowę o współpracy partnerskiej, której rezultatem miało być zorganizowanie na obszarze obydwu gmin Lokalnej Grupy Działania (LGD) oraz opracowanie Lokalnej Strategii Rozwoju (LSR). 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w:t>
      </w:r>
      <w:r>
        <w:rPr>
          <w:rFonts w:ascii="Times New Roman" w:hAnsi="Times New Roman" w:cs="Times New Roman"/>
        </w:rPr>
        <w:br w:type="textWrapping"/>
      </w:r>
      <w:r>
        <w:rPr>
          <w:rFonts w:ascii="Times New Roman" w:hAnsi="Times New Roman" w:cs="Times New Roman"/>
        </w:rPr>
        <w:t xml:space="preserve">i Sułkowice. Po złożeniu stosownych dokumentów przez Komitet Założycielski, Sąd dokonał wpisu do KRS w dniu 1 września 2008 r. W dniu 21 października 2008 r. w Sułkowicach odbyło się I Walne Zebranie Członków, które wybrało władze LGD, w tym 5-osobowy Zarząd i 3-osobową Komisję Rewizyjną. 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„MDiG” (jej członkowie, osoby wchodzące w skład organów statutowych, pracownicy biura, a także wypracowane struktury i mechanizmy podejmowania decyzji) zdobyła doświadczenie, które skutkowało otrzymaniem dofinansowania poniższych projektów w ramach: działania „Wdrażanie lokalnych strategii rozwoju”, „Wdrażanie projektów współpracy”, oraz „Funkcjonowanie lokalnej grupy działania” w ramach Programu Rozwoju Obszarów Wiejskich na lata 2007–2013 finansowanego ze środków Europejskiego Funduszu Rolnego na rzecz Rozwoju Obszarów Wiejskich (EFRROW). Wysokość budżetu na realizację projektów w ramach działania „Wdrażanie lokalnych strategii rozwoju” wynosiła około 6 mln zł i wydatkowana została na projekty </w:t>
      </w:r>
      <w:r>
        <w:rPr>
          <w:rFonts w:ascii="Times New Roman" w:hAnsi="Times New Roman" w:cs="Times New Roman"/>
        </w:rPr>
        <w:br w:type="textWrapping"/>
      </w:r>
      <w:r>
        <w:rPr>
          <w:rFonts w:ascii="Times New Roman" w:hAnsi="Times New Roman" w:cs="Times New Roman"/>
        </w:rPr>
        <w:t xml:space="preserve">z zakresu poprawy infrastruktury sportowej, utworzenia miejsc wypoczynku, poprawy stanu infrastruktury technicznej, promocji walorów lokalnych, integracji mieszkańców, warsztatów artystycznych, kultywowania dziedzictwa kulturowego, tworzenia i rozwoju mikroprzedsiębiorstw, różnicowania w kierunku działalności nierolniczej oraz promowania obszaru gmin wchodzących w skład LGD. Zorganizowane zostały imprezy kulturalne, spotkania informacyjne, wdrażana była współpraca z Lokalnymi Grupami Działania z regionu. Prowadzone były szkolenia oraz konsultacje dla partnerów LGD – mieszkańców, </w:t>
      </w:r>
      <w:r>
        <w:rPr>
          <w:rFonts w:ascii="Times New Roman" w:hAnsi="Times New Roman" w:cs="Times New Roman"/>
          <w:color w:val="000000" w:themeColor="text1"/>
          <w14:textFill>
            <w14:solidFill>
              <w14:schemeClr w14:val="tx1"/>
            </w14:solidFill>
          </w14:textFill>
        </w:rPr>
        <w:t xml:space="preserve">przedsiębiorców, podmiotów publicznych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i społecznych. Założenia budżetu na realizację LSR 2007–2013 zrealizowane zostały w 92%. </w:t>
      </w:r>
    </w:p>
    <w:p w14:paraId="78A18563">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Na drodze współpracy trzech LGD: Lokalnej Grupy Działania „Między Dalinem i Gościbią”, Lokalnej Grupy Działania Klimas oraz Stowarzyszenia Lokalna Grupa Działania Turystyczna Podkowa, w ramach działania „Wdrożenie projektów współpracy” w zakresie operacji polegającej na realizacji projektu współpracy, objętego Programem Rozwoju Obszarów Wiejskich na lata 2007–2013 powstał Portal Ziemi Myślenickiej. Portal Ziemi Myślenickiej daje możliwości odkrycia tajemnic i skarbów regionu. Serwis wykorzystuje najnowsze technologie informatyczne umożliwiające zaplanowanie niezapomnianej podróży w zaciszu domowego ogniska. Systematycznie rozwijana i uzupełniana baza obiektów zabytkowych, walorów krajobrazowych i infrastruktury turystycznej oraz interaktywna mapa Ziemi Myślenickiej umożliwią spacer bez wychodzenia z domu.</w:t>
      </w:r>
    </w:p>
    <w:p w14:paraId="358AA0E9">
      <w:pPr>
        <w:spacing w:after="0" w:line="276" w:lineRule="auto"/>
        <w:ind w:firstLine="708"/>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Lokalna Strategia Rozwoju w okresie aplikacyjnym 2014–2020 wskazywała dwa cele ogólne: „Tworzenie warunków do rozwoju przedsiębiorczości, współpracy międzysektorowej i budowa różnorodności gospodarczej z wykorzystaniem potencjału obszaru i mieszkańców” oraz „Inwestowanie w sferę społeczną zapewniającą rozwój mieszkańców, oraz promocję obszaru z poszanowaniem tradycji, dziedzictwa kulturowego, ekologii, rekreacji dla podnoszenia jakości życia mieszkańców”. LGD „MDiG” w okresie realizacji Strategii wprowadziła kilka zmian w LSR, które wynikały m.in. z faktu, iż LGD otrzymała dwa razy bonus</w:t>
      </w:r>
      <w:r>
        <w:rPr>
          <w:rFonts w:ascii="Times New Roman" w:hAnsi="Times New Roman" w:cs="Times New Roman"/>
        </w:rPr>
        <w:t xml:space="preserve">. </w:t>
      </w:r>
    </w:p>
    <w:p w14:paraId="224BCF22">
      <w:pPr>
        <w:spacing w:after="0" w:line="276" w:lineRule="auto"/>
        <w:ind w:firstLine="708"/>
        <w:jc w:val="both"/>
        <w:rPr>
          <w:rFonts w:ascii="Times New Roman" w:hAnsi="Times New Roman" w:cs="Times New Roman"/>
        </w:rPr>
      </w:pPr>
      <w:r>
        <w:rPr>
          <w:rFonts w:ascii="Times New Roman" w:hAnsi="Times New Roman" w:cs="Times New Roman"/>
        </w:rPr>
        <w:t>W okresie od maja 2017 roku do końca lutego 2021 roku, LGD „MDiG” zorganizowała 23 nabory wniosków aplikacyjnych, z czego dwa zostały odwołane. Ogółem złożono 122 wnioski aplikacyjne, z czego wybrano 102. Nabory zostały ogłoszone od razu na tyle środków, ile LGD miała do dyspozycji. Ogłaszanie naborów można podzielić na dwa etapy. W pierwszym etapie ogłaszane były nabory na projekty w zakresie przedsiębiorczości, w drugim etapie na działania społeczne. Beneficjenci mogli liczyć na spore wsparcie ze strony pracowników biura, zwłaszcza w pomocy przy opracowaniu wniosków na realizację działań społecznych, co przełożyło się na efektywne wykorzystanie środków i realizację wskaźników. Należy podkreślić, iż pandemia miała znaczenie w przypadku pracy Rady, wiązało się to z przesuwaniem terminów ogłaszanych naborów. Zdecydowana większość projektów została oceniona przed pandemią, a tylko ostatni nabór odbył się w trakcie pandemii.</w:t>
      </w:r>
    </w:p>
    <w:p w14:paraId="547A1720">
      <w:pPr>
        <w:spacing w:after="0" w:line="276" w:lineRule="auto"/>
        <w:ind w:firstLine="708"/>
        <w:jc w:val="both"/>
        <w:rPr>
          <w:rFonts w:ascii="Times New Roman" w:hAnsi="Times New Roman" w:cs="Times New Roman"/>
        </w:rPr>
      </w:pPr>
      <w:r>
        <w:rPr>
          <w:rFonts w:ascii="Times New Roman" w:hAnsi="Times New Roman" w:cs="Times New Roman"/>
        </w:rPr>
        <w:t>Analizując postęp finansowy</w:t>
      </w:r>
      <w:r>
        <w:rPr>
          <w:rStyle w:val="17"/>
          <w:rFonts w:ascii="Times New Roman" w:hAnsi="Times New Roman" w:cs="Times New Roman"/>
        </w:rPr>
        <w:footnoteReference w:id="0"/>
      </w:r>
      <w:r>
        <w:rPr>
          <w:rFonts w:ascii="Times New Roman" w:hAnsi="Times New Roman" w:cs="Times New Roman"/>
        </w:rPr>
        <w:t>, realizacja budżetu dla Celu ogólnego 1 została osiągnięta na poziomie 59%, natomiast dla Celu ogólnego 2 na poziomie 53%. W zakresie postępu finansowego należy wskazać, iż LGD otrzymało dwa razy bonus. W opinii pracowników Biura pandemia nie miała większego znaczenia na efektywność pracy, ponieważ Biuro funkcjonowało standardowo i nie było konieczności wprowadzenia pracy zdalnej czy hybrydowej. Nie miały miejsca sytuacje, aby jakikolwiek Wnioskodawca nie uzyskał potrzebnych informacji z powodu pandemii. Warto podkreślić, iż bardzo dobrze zostało przeprowadzone rozeznanie potrzeb mieszkańców na etapie opracowywania LSR, co przełożyło się na właściwe zrealizowanie wskaźników.</w:t>
      </w:r>
    </w:p>
    <w:p w14:paraId="4C903971">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Członkowie LGD posiadają doświadczenie w realizacji projektów w partnerstwie:</w:t>
      </w:r>
    </w:p>
    <w:p w14:paraId="59BD41C0">
      <w:pPr>
        <w:pStyle w:val="28"/>
        <w:numPr>
          <w:ilvl w:val="0"/>
          <w:numId w:val="4"/>
        </w:numPr>
        <w:spacing w:after="0" w:line="276" w:lineRule="auto"/>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 xml:space="preserve">Utworzenie skweru rekreacyjno-turystycznego w Sułkowicach – </w:t>
      </w:r>
      <w:r>
        <w:rPr>
          <w:rFonts w:ascii="Times New Roman" w:hAnsi="Times New Roman" w:cs="Times New Roman"/>
          <w:color w:val="000000" w:themeColor="text1"/>
          <w14:textFill>
            <w14:solidFill>
              <w14:schemeClr w14:val="tx1"/>
            </w14:solidFill>
          </w14:textFill>
        </w:rPr>
        <w:t>poprawa stanu infrastruktury rekreacyjno-turystycznej dla poprawy życia mieszkańców poprzez utworzenie skweru rekreacyjno-turystycznego w Sułkowicach;</w:t>
      </w:r>
    </w:p>
    <w:p w14:paraId="135A3B5D">
      <w:pPr>
        <w:pStyle w:val="28"/>
        <w:numPr>
          <w:ilvl w:val="0"/>
          <w:numId w:val="4"/>
        </w:numPr>
        <w:spacing w:after="0" w:line="276" w:lineRule="auto"/>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 xml:space="preserve">Utworzenie przystanku turystycznego na szlaku Jakubowym w Sułkowicach </w:t>
      </w:r>
      <w:r>
        <w:rPr>
          <w:rFonts w:ascii="Times New Roman" w:hAnsi="Times New Roman" w:cs="Times New Roman"/>
          <w:color w:val="000000" w:themeColor="text1"/>
          <w14:textFill>
            <w14:solidFill>
              <w14:schemeClr w14:val="tx1"/>
            </w14:solidFill>
          </w14:textFill>
        </w:rPr>
        <w:t>– poprawa stanu infrastruktury rekreacyjno- turystyczne poprzez utworzenie przystanku turystycznego na Szlaku Jakubowym, zlokalizowanego przy cmentarzu cholerycznym w Sułkowicach wraz z odnowieniem i oznakowaniem obelisku cmentarnego;</w:t>
      </w:r>
    </w:p>
    <w:p w14:paraId="635F7DF3">
      <w:pPr>
        <w:pStyle w:val="28"/>
        <w:numPr>
          <w:ilvl w:val="0"/>
          <w:numId w:val="4"/>
        </w:numPr>
        <w:spacing w:after="0" w:line="276" w:lineRule="auto"/>
        <w:ind w:left="851" w:hanging="425"/>
        <w:jc w:val="both"/>
        <w:rPr>
          <w:rFonts w:ascii="Times New Roman" w:hAnsi="Times New Roman" w:cs="Times New Roman"/>
          <w:i/>
          <w:iCs/>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 xml:space="preserve">Organizacja spotkań autorskich promujących Gminę Sułkowice poprzez książkę „Moja Polska. Historia oczami dziecka” – </w:t>
      </w:r>
      <w:r>
        <w:rPr>
          <w:rFonts w:ascii="Times New Roman" w:hAnsi="Times New Roman" w:cs="Times New Roman"/>
          <w:color w:val="000000" w:themeColor="text1"/>
          <w14:textFill>
            <w14:solidFill>
              <w14:schemeClr w14:val="tx1"/>
            </w14:solidFill>
          </w14:textFill>
        </w:rPr>
        <w:t>wydano publikacje i przeprowadzono 3 spotkania autorskie;</w:t>
      </w:r>
    </w:p>
    <w:p w14:paraId="643FF584">
      <w:pPr>
        <w:pStyle w:val="28"/>
        <w:numPr>
          <w:ilvl w:val="0"/>
          <w:numId w:val="4"/>
        </w:numPr>
        <w:spacing w:after="0" w:line="276" w:lineRule="auto"/>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Drogi Do Wolności – dzieje przodków walczących o wolność Polski we wspomnieniach i archiwaliach</w:t>
      </w:r>
      <w:r>
        <w:rPr>
          <w:rFonts w:ascii="Times New Roman" w:hAnsi="Times New Roman" w:cs="Times New Roman"/>
          <w:color w:val="000000" w:themeColor="text1"/>
          <w14:textFill>
            <w14:solidFill>
              <w14:schemeClr w14:val="tx1"/>
            </w14:solidFill>
          </w14:textFill>
        </w:rPr>
        <w:t xml:space="preserve"> – wydanie publikacji. </w:t>
      </w:r>
    </w:p>
    <w:p w14:paraId="10EC1896">
      <w:pPr>
        <w:spacing w:before="240"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LGD „MDiG” realizuje również projekt współpracy </w:t>
      </w:r>
      <w:r>
        <w:rPr>
          <w:rFonts w:ascii="Times New Roman" w:hAnsi="Times New Roman" w:cs="Times New Roman"/>
          <w:i/>
          <w:iCs/>
          <w:color w:val="000000" w:themeColor="text1"/>
          <w14:textFill>
            <w14:solidFill>
              <w14:schemeClr w14:val="tx1"/>
            </w14:solidFill>
          </w14:textFill>
        </w:rPr>
        <w:t xml:space="preserve">Szlaki turystyczne szansą rozwoju obszarów wiejskich </w:t>
      </w:r>
      <w:r>
        <w:rPr>
          <w:rFonts w:ascii="Times New Roman" w:hAnsi="Times New Roman" w:cs="Times New Roman"/>
          <w:color w:val="000000" w:themeColor="text1"/>
          <w14:textFill>
            <w14:solidFill>
              <w14:schemeClr w14:val="tx1"/>
            </w14:solidFill>
          </w14:textFill>
        </w:rPr>
        <w:t>LGD „Gościńca 4 Żywiołów” oraz LGD „Między Dalinem i Gościbią” wspólnie z</w:t>
      </w:r>
      <w:r>
        <w:t xml:space="preserve"> </w:t>
      </w:r>
      <w:r>
        <w:rPr>
          <w:rFonts w:ascii="Times New Roman" w:hAnsi="Times New Roman" w:cs="Times New Roman"/>
          <w:color w:val="000000" w:themeColor="text1"/>
          <w14:textFill>
            <w14:solidFill>
              <w14:schemeClr w14:val="tx1"/>
            </w14:solidFill>
          </w14:textFill>
        </w:rPr>
        <w:t xml:space="preserve">LGD Gościniec 4 Żywiołów. Projekt umożliwi korzystanie z utworzonej infrastruktury, poszerzenie wiedzy o regionie, promocję turystki rowerowej i obszaru, a także podnoszenie swoich umiejętności rowerowych i nawiązanie nowych znajomości. Dla osób niebiorących udziału w projekcie, będzie możliwość poznania walorów obszarów LGD oraz szansa skorzystania z infrastruktury utworzonej na rzecz projektu. </w:t>
      </w:r>
    </w:p>
    <w:p w14:paraId="5FCD166A">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Projekt jest skierowany do osób niepełnosprawnych, osób po 50. roku życia oraz osób do 30. roku życia. Pracownicy podczas wywiadu podkreślili, iż projekty współpracy zawsze powinny być z korzyścią dla lokalnej społeczności i w takim kierunku powinno się takie projekty realizować.</w:t>
      </w:r>
    </w:p>
    <w:p w14:paraId="65540024">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Stowarzyszenie Lokalna Grupa Działania „Między Dalinem i Gościbią” współpracuje z innymi Lokalnymi Grupami Działania w ramach organizacji „Federacja LGD Małopolska”, która obejmie swoim zasięgiem 30 gmin z powiatów: nowosądeckiego, gorlickiego, limanowskiego oraz myślenickiego, zamieszkiwanych łącznie przez 360 tys. mieszkańców. W skład federacji, poza LGD Między Dalinem i Gościbią wchodzi jeszcze siedem Lokalnych Grup Działania: LGD Korona Sądecka, LGD Beskid Gorlicki, LGD Przyjazna Ziemia Limanowska, LGD Dolina Raby, LGD Perły Beskidu Sądeckiego, Lokalna Grupa Działania Stowarzyszenie Dolina Karpia oraz LGD Gościniec 4 Żywiołów. Inicjatywa jest współfinansowana ze środków przekazanych przez Operatora Programu Grantowego w ramach projektu „Małopolski Ośrodek Wsparcia Ekonomii Społecznej – Subregion Sądecki” realizowanego w ramach Regionalnego Programu Operacyjnego Województwa Małopolskiego na lata 2014–2020 współfinansowanego z Europejskiego Funduszu Społecznego.</w:t>
      </w:r>
    </w:p>
    <w:p w14:paraId="18088724">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Celem związku jest</w:t>
      </w:r>
      <w:r>
        <w:rPr>
          <w:rStyle w:val="17"/>
          <w:rFonts w:ascii="Times New Roman" w:hAnsi="Times New Roman" w:cs="Times New Roman"/>
          <w:color w:val="000000" w:themeColor="text1"/>
          <w14:textFill>
            <w14:solidFill>
              <w14:schemeClr w14:val="tx1"/>
            </w14:solidFill>
          </w14:textFill>
        </w:rPr>
        <w:footnoteReference w:id="1"/>
      </w:r>
      <w:r>
        <w:rPr>
          <w:rFonts w:ascii="Times New Roman" w:hAnsi="Times New Roman" w:cs="Times New Roman"/>
          <w:color w:val="000000" w:themeColor="text1"/>
          <w14:textFill>
            <w14:solidFill>
              <w14:schemeClr w14:val="tx1"/>
            </w14:solidFill>
          </w14:textFill>
        </w:rPr>
        <w:t>:</w:t>
      </w:r>
    </w:p>
    <w:p w14:paraId="0C38E9C2">
      <w:pPr>
        <w:pStyle w:val="28"/>
        <w:numPr>
          <w:ilvl w:val="0"/>
          <w:numId w:val="5"/>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działalność na rzecz rozwoju obszarów wiejskich w aspekcie społecznym, gospodarczym i środowiskowym,</w:t>
      </w:r>
    </w:p>
    <w:p w14:paraId="7E6C79B6">
      <w:pPr>
        <w:pStyle w:val="28"/>
        <w:numPr>
          <w:ilvl w:val="0"/>
          <w:numId w:val="5"/>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działalność na rzecz rozwoju ekonomii społecznej (przedsiębiorczości społecznej),</w:t>
      </w:r>
    </w:p>
    <w:p w14:paraId="22862AD6">
      <w:pPr>
        <w:pStyle w:val="28"/>
        <w:numPr>
          <w:ilvl w:val="0"/>
          <w:numId w:val="5"/>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działalność wspomagająca rozwój gospodarczy, w tym rozwój przedsiębiorczości,</w:t>
      </w:r>
    </w:p>
    <w:p w14:paraId="102626FE">
      <w:pPr>
        <w:pStyle w:val="28"/>
        <w:numPr>
          <w:ilvl w:val="0"/>
          <w:numId w:val="5"/>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rozwijanie współpracy międzynarodowej,</w:t>
      </w:r>
    </w:p>
    <w:p w14:paraId="22B28A2F">
      <w:pPr>
        <w:pStyle w:val="28"/>
        <w:numPr>
          <w:ilvl w:val="0"/>
          <w:numId w:val="5"/>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działalność na rzecz ochrony dziedzictwa kulturowego, podtrzymywania i upowszechniania tradycji narodowej, pielęgnowania polskości oraz świadomości narodowej, obywatelskiej i kulturowej,</w:t>
      </w:r>
    </w:p>
    <w:p w14:paraId="047F264E">
      <w:pPr>
        <w:pStyle w:val="28"/>
        <w:numPr>
          <w:ilvl w:val="0"/>
          <w:numId w:val="5"/>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działalność na rzecz rozwoju nauki, edukacji, oświaty i wychowania.</w:t>
      </w:r>
    </w:p>
    <w:p w14:paraId="314F7E9E">
      <w:pPr>
        <w:spacing w:before="240" w:after="0" w:line="276" w:lineRule="auto"/>
        <w:ind w:firstLine="708"/>
        <w:jc w:val="both"/>
        <w:rPr>
          <w:rFonts w:ascii="Times New Roman" w:hAnsi="Times New Roman" w:cs="Times New Roman"/>
        </w:rPr>
      </w:pPr>
      <w:r>
        <w:rPr>
          <w:rFonts w:ascii="Times New Roman" w:hAnsi="Times New Roman" w:cs="Times New Roman"/>
        </w:rPr>
        <w:t>Gminy: Lubień, Pcim, Raciechowice, Tokarnia oraz Wiśniowa należące w poprzedniej perspektywie do LGD Turystyczna Podkowa realizowały 1 projekt współpracy pn. „Wyznaczenie szlaku kulinarnego produktu lokalnego Polsko-Rumuński Szlak Lokalnych Kulinariów”. Projekt realizowany był w ramach współpracy międzynarodowej 4 LGD, tj. LGD "Podbabiogórze", LGD Turystyczna Podkowa jako partner wiodący, Asociaţia „Grupul De Acţiune Locală Maramureş Vest” i Asociația Parteneriat GAL „Ținutul Haiducilor” i zakładał przedsięwzięcia o charakterze kulturalnym polegające na przeprowadzeniu warsztatów kulinarnych. Projekt realizowany jest od października 2020 r., a jego celem jest promocja obszaru LGD Turystyczna Podkowa, poszerzenie wiedzy o jego walorach turystycznych oraz włączenie społeczne i aktywizacja społeczności wiejskich. Projekt przyczynia się do zachowania dziedzictwa lokalnego i promowania włączenia społecznego poprzez współpracę społeczności lokalnych w zakresie walorów kulturowych i tradycji kulinarnych obszarów 43 różnych regionów. Dzięki prezentacji produktów kulinarnych uczestnicy projektu (mieszkańcy, turyści, mieszkańcy sąsiednich LGD) poznali produkty kulinarne charakterystyczne dla każdego z LGD-ów.</w:t>
      </w:r>
    </w:p>
    <w:p w14:paraId="6DB33015">
      <w:pPr>
        <w:spacing w:after="0" w:line="276" w:lineRule="auto"/>
        <w:ind w:firstLine="708"/>
        <w:jc w:val="both"/>
        <w:rPr>
          <w:rFonts w:ascii="Times New Roman" w:hAnsi="Times New Roman" w:cs="Times New Roman"/>
        </w:rPr>
      </w:pPr>
      <w:r>
        <w:rPr>
          <w:rFonts w:ascii="Times New Roman" w:hAnsi="Times New Roman" w:cs="Times New Roman"/>
        </w:rPr>
        <w:t>Poza projektem współpracy w ramach Strategii RLKS, gminy: Lubień, Pcim, Raciechowice, Tokarnia oraz Wiśniowa w ramach LGD Turystyczna Podkowa realizowały w poprzedniej perspektywie również 3 inne przedsięwzięcia. Pierwszy projekt pn. „Montaż instalacji OZE na obszarze LGD Turystyczna Podkowa” był dofinansowany z Regionalnego Program Operacyjnego Województwa Małopolskiego na lata 2014–2020. W ramach projektu na obszarze 7 gmin (Dobczyce, Lubień, Pcim, Raciechowice, Siepraw, Tokarnia, Wiśniowa) zainstalowano 938 instalacji kolektorów słonecznych, 567 mikroinstalacji PV i 184 instalacje pomp ciepła do podgrzania CWU. Całkowita wartość projektu wynosi 23 257 503,06 zł, w tym 12 713 885,60 zł z RPO WM.</w:t>
      </w:r>
    </w:p>
    <w:p w14:paraId="473E0AA0">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Drugim przedsięwzięciem był projekt pn. „Działalność lokalnych społeczności w aspekcie turystycznego rozwoju obszarów wiejskich Europy” dofinansowany z ,,Krajowej Sieci Obszarów Wiejskich Programu Rozwoju Obszarów Wiejskich na lata 2014-2020”. Jego celem było ukazanie mieszkańcom obszarów wiejskich alternatywnych zajęć, przynoszących dochody finansowe. W ramach projektu realizowano działania ukierunkowane na zdobycie/poszerzenie przez 32 osoby wiedzy praktycznej z zakresu podejmowania przedsięwzięć gospodarczych zgodnych z zasadami zrównoważonego rozwoju, w wyniku kontaktu z zagranicznymi, konkretnymi, ekonomicznie uzasadnionymi przykładami nowatorskich aktywności gospodarczych przyjaznych środowisku, które mogą się przyczynić do zrównoważonego rozwoju obszarów wiejskich lub z przykładami adaptacji tradycyjnych aktywności mieszkańców obszarów wiejskich do uwarunkowań zrównoważonego rozwoju. </w:t>
      </w:r>
    </w:p>
    <w:p w14:paraId="5AAD2A2F">
      <w:pPr>
        <w:spacing w:before="240" w:after="0" w:line="276" w:lineRule="auto"/>
        <w:ind w:firstLine="708"/>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 xml:space="preserve">Członkowie LGD posiadają niezbędne doświadczenie oraz wiedzę w zakresie zarządzania oraz realizacji operacji w ramach LSR, a także w </w:t>
      </w:r>
      <w:r>
        <w:rPr>
          <w:rFonts w:ascii="Times New Roman" w:hAnsi="Times New Roman" w:cs="Times New Roman"/>
        </w:rPr>
        <w:t>zakresie pozyskiwania środków z innych źródeł na realizację projektów dla lokalnych społeczności, m.in.:</w:t>
      </w:r>
    </w:p>
    <w:p w14:paraId="4D7D3F71">
      <w:pPr>
        <w:pStyle w:val="28"/>
        <w:numPr>
          <w:ilvl w:val="0"/>
          <w:numId w:val="6"/>
        </w:numPr>
        <w:spacing w:after="120" w:line="276" w:lineRule="auto"/>
        <w:jc w:val="both"/>
        <w:rPr>
          <w:rFonts w:ascii="Times New Roman" w:hAnsi="Times New Roman" w:cs="Times New Roman"/>
        </w:rPr>
      </w:pPr>
      <w:r>
        <w:rPr>
          <w:rFonts w:ascii="Times New Roman" w:hAnsi="Times New Roman" w:cs="Times New Roman"/>
          <w:i/>
          <w:iCs/>
        </w:rPr>
        <w:t>Puzzle promocja obszaru LGD „Między Dalinem i Gościbią”</w:t>
      </w:r>
      <w:r>
        <w:rPr>
          <w:rFonts w:ascii="Times New Roman" w:hAnsi="Times New Roman" w:cs="Times New Roman"/>
        </w:rPr>
        <w:t xml:space="preserve"> – projekt miał na celu promocję obszaru i był zrealizowany w ramach Mecenatu Małopolski z budżetu Województwa Małopolskiego. W ramach tego zadania opracowano i wydano puzzle (1 000 sztuk) z mapką obszaru LGD. Projekt był realizowany w 2019 roku, a jego budżet wyniósł 12 692,30 zł.</w:t>
      </w:r>
    </w:p>
    <w:p w14:paraId="1FB3722C">
      <w:pPr>
        <w:pStyle w:val="28"/>
        <w:numPr>
          <w:ilvl w:val="0"/>
          <w:numId w:val="6"/>
        </w:numPr>
        <w:spacing w:after="120" w:line="276" w:lineRule="auto"/>
        <w:jc w:val="both"/>
        <w:rPr>
          <w:rFonts w:ascii="Times New Roman" w:hAnsi="Times New Roman" w:cs="Times New Roman"/>
        </w:rPr>
      </w:pPr>
      <w:r>
        <w:rPr>
          <w:rFonts w:ascii="Times New Roman" w:hAnsi="Times New Roman" w:cs="Times New Roman"/>
          <w:i/>
          <w:iCs/>
        </w:rPr>
        <w:t xml:space="preserve">Historia łączy pokolenia </w:t>
      </w:r>
      <w:r>
        <w:rPr>
          <w:rFonts w:ascii="Times New Roman" w:hAnsi="Times New Roman" w:cs="Times New Roman"/>
        </w:rPr>
        <w:t>– przeprowadzono 15 warsztatów, w tym kulturowe związane z lokalna gwarą, warsztaty pokazów tradycyjnych wyrobów wiejskich oraz warsztaty związane z wyrobem ozdób choinkowych;</w:t>
      </w:r>
    </w:p>
    <w:p w14:paraId="4AE906D7">
      <w:pPr>
        <w:pStyle w:val="28"/>
        <w:numPr>
          <w:ilvl w:val="0"/>
          <w:numId w:val="6"/>
        </w:numPr>
        <w:spacing w:after="120" w:line="276" w:lineRule="auto"/>
        <w:jc w:val="both"/>
        <w:rPr>
          <w:rFonts w:ascii="Times New Roman" w:hAnsi="Times New Roman" w:cs="Times New Roman"/>
        </w:rPr>
      </w:pPr>
      <w:r>
        <w:rPr>
          <w:rFonts w:ascii="Times New Roman" w:hAnsi="Times New Roman" w:cs="Times New Roman"/>
          <w:i/>
          <w:iCs/>
        </w:rPr>
        <w:t>Porębskie Spotkanie z Seniorem i Tradycją</w:t>
      </w:r>
      <w:r>
        <w:rPr>
          <w:rFonts w:ascii="Times New Roman" w:hAnsi="Times New Roman" w:cs="Times New Roman"/>
        </w:rPr>
        <w:t xml:space="preserve"> – zostało zorganizowane i przeprowadzone międzypokoleniowe spotkanie z tradycja i wspomnieniami lokalnych seniorów;</w:t>
      </w:r>
    </w:p>
    <w:p w14:paraId="195E1B6C">
      <w:pPr>
        <w:pStyle w:val="28"/>
        <w:numPr>
          <w:ilvl w:val="0"/>
          <w:numId w:val="6"/>
        </w:numPr>
        <w:spacing w:after="120" w:line="276" w:lineRule="auto"/>
        <w:jc w:val="both"/>
        <w:rPr>
          <w:rFonts w:ascii="Times New Roman" w:hAnsi="Times New Roman" w:cs="Times New Roman"/>
        </w:rPr>
      </w:pPr>
      <w:r>
        <w:rPr>
          <w:rFonts w:ascii="Times New Roman" w:hAnsi="Times New Roman" w:cs="Times New Roman"/>
          <w:i/>
          <w:iCs/>
        </w:rPr>
        <w:t>Wakacyjna AktywAKCJA</w:t>
      </w:r>
      <w:r>
        <w:rPr>
          <w:rFonts w:ascii="Times New Roman" w:hAnsi="Times New Roman" w:cs="Times New Roman"/>
        </w:rPr>
        <w:t xml:space="preserve"> – organizacja rajdu pieszego;</w:t>
      </w:r>
    </w:p>
    <w:p w14:paraId="00A511FF">
      <w:pPr>
        <w:pStyle w:val="28"/>
        <w:numPr>
          <w:ilvl w:val="0"/>
          <w:numId w:val="6"/>
        </w:numPr>
        <w:spacing w:after="120" w:line="276" w:lineRule="auto"/>
        <w:jc w:val="both"/>
        <w:rPr>
          <w:rFonts w:ascii="Times New Roman" w:hAnsi="Times New Roman" w:cs="Times New Roman"/>
        </w:rPr>
      </w:pPr>
      <w:r>
        <w:rPr>
          <w:rFonts w:ascii="Times New Roman" w:hAnsi="Times New Roman" w:cs="Times New Roman"/>
          <w:i/>
          <w:iCs/>
        </w:rPr>
        <w:t>Świetlica</w:t>
      </w:r>
      <w:r>
        <w:rPr>
          <w:rFonts w:ascii="Times New Roman" w:hAnsi="Times New Roman" w:cs="Times New Roman"/>
        </w:rPr>
        <w:t xml:space="preserve"> – zagospodarowanie czasu wolnego dzieci i młodzieży poprzez stwarzanie alternatywnych form spedziana czasu wolnego.</w:t>
      </w:r>
    </w:p>
    <w:p w14:paraId="39B055EE">
      <w:pPr>
        <w:pStyle w:val="28"/>
        <w:numPr>
          <w:ilvl w:val="0"/>
          <w:numId w:val="6"/>
        </w:numPr>
        <w:spacing w:after="120" w:line="276" w:lineRule="auto"/>
        <w:jc w:val="both"/>
        <w:rPr>
          <w:rFonts w:ascii="Times New Roman" w:hAnsi="Times New Roman" w:cs="Times New Roman"/>
        </w:rPr>
      </w:pPr>
      <w:r>
        <w:rPr>
          <w:rFonts w:ascii="Times New Roman" w:hAnsi="Times New Roman" w:cs="Times New Roman"/>
          <w:i/>
        </w:rPr>
        <w:t>Kulturalnie i naukowo spędzam ferie na wesoło</w:t>
      </w:r>
      <w:r>
        <w:rPr>
          <w:rFonts w:ascii="Times New Roman" w:hAnsi="Times New Roman" w:cs="Times New Roman"/>
        </w:rPr>
        <w:t xml:space="preserve"> – zagospodarowanie czasu wolnego dzieci i młodzieży poprzez stwarzanie alternatywnych form spędzania czasu wolnego.</w:t>
      </w:r>
    </w:p>
    <w:p w14:paraId="2C1E24D7">
      <w:pPr>
        <w:spacing w:after="0" w:line="276" w:lineRule="auto"/>
        <w:ind w:firstLine="708"/>
        <w:jc w:val="both"/>
        <w:rPr>
          <w:rFonts w:ascii="Times New Roman" w:hAnsi="Times New Roman" w:cs="Times New Roman"/>
        </w:rPr>
      </w:pPr>
      <w:r>
        <w:rPr>
          <w:rFonts w:ascii="Times New Roman" w:hAnsi="Times New Roman" w:cs="Times New Roman"/>
        </w:rPr>
        <w:t xml:space="preserve">Biuro LGD Między Dalinem i Gościbią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Opisem stanowisk pracy Biura LGD, Opisem warunków technicznych i lokalowych Biura LGD oraz Procedurą naboru 3 pracowników na wolne stanowiska pracy w Biurze LGD. Pracownicy Biura LGD posiadają doświadczenie w zakresie realizacji i aktualizacji LSR. </w:t>
      </w:r>
    </w:p>
    <w:p w14:paraId="1C305F1A">
      <w:pPr>
        <w:spacing w:after="0" w:line="276" w:lineRule="auto"/>
        <w:ind w:firstLine="708"/>
        <w:jc w:val="both"/>
        <w:rPr>
          <w:rFonts w:ascii="Times New Roman" w:hAnsi="Times New Roman" w:cs="Times New Roman"/>
        </w:rPr>
      </w:pPr>
      <w:r>
        <w:rPr>
          <w:rFonts w:ascii="Times New Roman" w:hAnsi="Times New Roman" w:cs="Times New Roman"/>
        </w:rPr>
        <w:t>Należy podkreślić, iż LGD zawsze wykorzystuje różne narzędzia, tak aby dotrzeć do jak największej grupy odbiorców. Wskaźniki, które zostały przewidziane do realizacji Planu komunikacji, były dostosowywane na podstawie doświadczeń pracowników Biura. Wartością dodaną działalności Biura jest fakt, iż część pracowników Biura pracuje w Stowarzyszeniu od samego początku jego istnienia. Fakt, iż nie było nigdy problemów z naborami, wynika z codziennej pracy, w ramach której pracownicy udzielają informacji i pomagają na każdym etapie przygotowania wniosków oraz późniejszego ich realizowania i rozliczania. Zaangażowanie pracowników miało także znaczenie w czasie pandemii, kiedy Biuro pracowało bez zmian w systemie stacjonarnym i nie było ograniczeń np. w kontaktach beneficjantów z pracownikami. Widoczne zaangażowanie zarówno pracowników Biura, Zarządu jak i Rady ma swoje przełożenie na efektywność procesu wdrażania LSR w okresie programowania 2014–2020.</w:t>
      </w:r>
      <w:r>
        <w:t xml:space="preserve"> </w:t>
      </w:r>
    </w:p>
    <w:p w14:paraId="06BD32C7">
      <w:pPr>
        <w:spacing w:after="0" w:line="276" w:lineRule="auto"/>
        <w:ind w:firstLine="708"/>
        <w:jc w:val="both"/>
        <w:rPr>
          <w:rFonts w:ascii="Times New Roman" w:hAnsi="Times New Roman" w:cs="Times New Roman"/>
        </w:rPr>
      </w:pPr>
      <w:r>
        <w:rPr>
          <w:rFonts w:ascii="Times New Roman" w:hAnsi="Times New Roman" w:cs="Times New Roman"/>
        </w:rPr>
        <w:t xml:space="preserve">Pracownicy Biura i członkowie organów statutowych podczas wdrażania poprzedniej LSR uczestniczyli m.in. w szkoleniach warsztatowych, których tematyka koncentrowała się głównie na doskonaleniu umiejętności wypełniania wniosków aplikacyjnych, szkoleniach z zakresu przepisów prawnych związanych z okresem programowania finansowego 2014–2020, dedykowanych głównie zarządowi LGD, a także szkoleniach z zakresu ewaluacji i monitoringu. We wdrażaniu niniejszej LSR planuje się przeprowadzenie szkoleń dla Rady LGD z zakresu kryteriów oceny wniosków aplikacyjnych, w tym dostosowania kryteriów do wytycznych Urzędu Marszałkowskiego, a dla Zarządu – szkoleń z zakresu przepisów prawnych związanych z kolejnym okresem programowania finansowego. </w:t>
      </w:r>
    </w:p>
    <w:p w14:paraId="2351B6F7">
      <w:pPr>
        <w:spacing w:after="0" w:line="276" w:lineRule="auto"/>
        <w:ind w:firstLine="708"/>
        <w:jc w:val="both"/>
        <w:rPr>
          <w:rFonts w:ascii="Times New Roman" w:hAnsi="Times New Roman" w:cs="Times New Roman"/>
        </w:rPr>
      </w:pPr>
      <w:r>
        <w:rPr>
          <w:rFonts w:ascii="Times New Roman" w:hAnsi="Times New Roman" w:cs="Times New Roman"/>
        </w:rPr>
        <w:t>Pracownicy Biura LGD „MDiG” świadczą na rzecz interesariuszy – zgodnie z regulaminem pracy Biura – bezpłatne doradztwo w zakresie możliwości ubiegania się o pomoc na realizację projektów w ramach LSR, przygotowywania wniosków o przyznanie pomocy i wniosków o płatność na operacje realizujące cele LSR. Duże znaczenie ma doradztwo w obszarze informowania oraz konsultowania wniosków, tak aby były one dobrze przygotowane. Najwięcej porad udzielono indywidualnie w Biurze. Wartością dodaną z całą pewnością jest bezpośredni kontakt wnioskodawcy z pracownikiem, dzięki temu wnioski są przygotowane na wysokim poziomie.</w:t>
      </w:r>
      <w:r>
        <w:t xml:space="preserve"> </w:t>
      </w:r>
      <w:r>
        <w:rPr>
          <w:rFonts w:ascii="Times New Roman" w:hAnsi="Times New Roman" w:cs="Times New Roman"/>
        </w:rPr>
        <w:t xml:space="preserve">Biuro prowadzi ewidencję udzielonego doradztwa, a ocena doradztwa monitorowana jest poprzez: wypełnianie ankiety przez potencjalnego wnioskodawcę, któremu udzielono doradztwa, analizę złożonych wniosków przez korzystających z doradztwa, analizę wybranych do finansowania wniosków złożonych przez podmioty, które skorzystały z doradztwa, analizę wniosków zrealizowanych i niezrealizowanych przez podmioty, które korzystały z doradztwa. </w:t>
      </w:r>
    </w:p>
    <w:p w14:paraId="10E4DDD3">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Doświadczenie zawodowe z zakresu: realizacji, koordynacji i rozliczania projektów członkowie LGD zdobywali podczas wdrażania LSR na lata 2007–2013 oraz LSR na lata 2014–2020 (wnioski dot. funkcjonowania LGD, przedsięwzięć określonych w LSR, obsługi potencjalnych Beneficjentów: udzielania niezbędnych informacji, konsultacji i doradztwa). Ponadto posiadają wiedzę i doświadczenie w zakresie planowania i organizacji spotkań, przygotowania i prezentacji informacji na temat operacji, obsługi i zatwierdzania wniosków, realizacji działań promocyjnych i informacyjnych, obsługi biura.</w:t>
      </w:r>
      <w:r>
        <w:rPr>
          <w:rFonts w:ascii="Times New Roman" w:hAnsi="Times New Roman" w:cs="Times New Roman"/>
        </w:rPr>
        <w:t xml:space="preserve"> Ukończyli wiele szkoleń niezbędnych do pracy w Biurze LGD, m.in. kurs IPMA, szkolenie z ewaluacji LSR, szkolenia z zakresu animacji itp. </w:t>
      </w:r>
      <w:r>
        <w:rPr>
          <w:rFonts w:ascii="Times New Roman" w:hAnsi="Times New Roman" w:cs="Times New Roman"/>
          <w:color w:val="000000" w:themeColor="text1"/>
          <w14:textFill>
            <w14:solidFill>
              <w14:schemeClr w14:val="tx1"/>
            </w14:solidFill>
          </w14:textFill>
        </w:rPr>
        <w:t>Pracownicy posiadają niezbędne doświadczenie, nabyte głównie podczas nadzorowania wdrażania Lokalnej Strategii Rozwoju, przygotowywania oraz rozliczania wniosków o płatność. Zespół posiada wiedzę i doświadczenie z zakresu realizacji procedur związanych z zasadą konkurencyjności i efektywnego zarządzania finansami oraz zamówień publicznych. Kwalifikacje i kompetencje wymagane od pracowników są adekwatne do przewidzianych obowiązków. Większość członków LGD posiada doświadczenie w realizacji projektów na terenach obszarów wiejskich, które zdobyli przy wdrażaniu różnorodnych projektów, np. w ramach celu szczegółowego „</w:t>
      </w:r>
      <w:r>
        <w:rPr>
          <w:rFonts w:ascii="Times New Roman" w:hAnsi="Times New Roman" w:cs="Times New Roman"/>
        </w:rPr>
        <w:t xml:space="preserve">Wsparcie przedsiębiorców w tworzeniu </w:t>
      </w:r>
      <w:r>
        <w:rPr>
          <w:rFonts w:ascii="Times New Roman" w:hAnsi="Times New Roman" w:cs="Times New Roman"/>
        </w:rPr>
        <w:br w:type="textWrapping"/>
      </w:r>
      <w:r>
        <w:rPr>
          <w:rFonts w:ascii="Times New Roman" w:hAnsi="Times New Roman" w:cs="Times New Roman"/>
        </w:rPr>
        <w:t>i utrzymaniu miejsc pracy” wskaźniki zostały osiągnięte w wysokim stopniu, np. na przedsięwzięcie polegające na wdrażaniu innowacji w przedsiębiorstwach podpisano 100% umów na realizację projektów</w:t>
      </w:r>
      <w:r>
        <w:rPr>
          <w:rFonts w:ascii="Times New Roman" w:hAnsi="Times New Roman" w:cs="Times New Roman"/>
          <w:color w:val="000000" w:themeColor="text1"/>
          <w14:textFill>
            <w14:solidFill>
              <w14:schemeClr w14:val="tx1"/>
            </w14:solidFill>
          </w14:textFill>
        </w:rPr>
        <w:t xml:space="preserve">. </w:t>
      </w:r>
    </w:p>
    <w:p w14:paraId="2897E0D2">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Przejawem odpowiedzialności za budowanie partnerstwa w ramach LGD „MDiG” jest ciągłe uczestnictwo osób wchodzących w skład organów statutowych oraz pracowników Biura w szkoleniach mających na celu podniesienie kwalifikacji oraz uzupełnienie wiedzy zgodnie ze zmieniającymi się procedurami, legislacją krajową i UE oraz udział w konsultacjach z pracownikami Urzędu Marszałkowskiego Województwa Małopolskiego. </w:t>
      </w:r>
    </w:p>
    <w:p w14:paraId="304F7167">
      <w:pPr>
        <w:pStyle w:val="28"/>
        <w:numPr>
          <w:ilvl w:val="0"/>
          <w:numId w:val="3"/>
        </w:numPr>
        <w:spacing w:before="240" w:line="276" w:lineRule="auto"/>
        <w:ind w:left="1134"/>
        <w:jc w:val="both"/>
        <w:outlineLvl w:val="1"/>
        <w:rPr>
          <w:rFonts w:ascii="Times New Roman" w:hAnsi="Times New Roman" w:cs="Times New Roman"/>
          <w:b/>
          <w:bCs/>
        </w:rPr>
      </w:pPr>
      <w:bookmarkStart w:id="4" w:name="_Toc135994823"/>
      <w:r>
        <w:rPr>
          <w:rFonts w:ascii="Times New Roman" w:hAnsi="Times New Roman" w:cs="Times New Roman"/>
          <w:b/>
          <w:bCs/>
        </w:rPr>
        <w:t>Struktura LGD</w:t>
      </w:r>
      <w:bookmarkEnd w:id="4"/>
    </w:p>
    <w:p w14:paraId="72BE514F">
      <w:pPr>
        <w:spacing w:before="240" w:after="0" w:line="276" w:lineRule="auto"/>
        <w:ind w:firstLine="708"/>
        <w:jc w:val="both"/>
        <w:rPr>
          <w:rFonts w:ascii="Times New Roman" w:hAnsi="Times New Roman" w:cs="Times New Roman"/>
          <w:b/>
          <w:bCs/>
        </w:rPr>
      </w:pPr>
      <w:r>
        <w:rPr>
          <w:rFonts w:ascii="Times New Roman" w:hAnsi="Times New Roman" w:cs="Times New Roman"/>
        </w:rPr>
        <w:t>Na strukturę członków LGD Między Dalinem i Gościbią składają się przedstawiciele gmin z trzech sektorów – publicznego, gospodarczego i społecznego oraz mieszkańców. Według danych na dzień 29.05.2023 r. Stowarzyszenie skupia 88 członków, z czego: 19 z sektora publicznego (21,6%), 32 z sektora gospodarczego (36,4%) i 37 z sektora społecznego (42,0%), w tym 13 członków stanowią osoby fizyczne – mieszkańcy (14,7%), a pozostałych 24 to stowarzyszenia (27,3%) oraz członek honorowy. W roku 2023 LGD włączyło do swojej struktury pięć gmin – Lubień, Pcim, Raciechowice, Tokarnia oraz Wiśniowa, funkcjonujących do tej pory w Stowarzyszeniu Lokalna Grupa Działania Turystyczna Podkowa. Członkami LGD „MDiG” są przedstawiciele każdego z sektorów z wszystkich gmin obszaru, reprezentujący interesy wszystkich mieszkańców terenu LGD, w tym kobiet i mężczyzn, seniorów (osoby starsze, które ukończyły 60. rok życia), osoby młode (do 25. roku życia) oraz przedsiębiorców, rolników, przedstawicieli organizacji pozarządowych i mieszkańców. Członków łączy doświadczenie zarówno z dziedziny gospodarczej jak i z działania społecznego. Pomiędzy sektorami funkcjonuje ścisła współpraca, wymiana wiedzy i doświadczeń.</w:t>
      </w:r>
    </w:p>
    <w:p w14:paraId="57F237A4">
      <w:pPr>
        <w:spacing w:after="0" w:line="276" w:lineRule="auto"/>
        <w:ind w:firstLine="708"/>
        <w:jc w:val="both"/>
        <w:rPr>
          <w:rFonts w:ascii="Times New Roman" w:hAnsi="Times New Roman" w:cs="Times New Roman"/>
        </w:rPr>
      </w:pPr>
      <w:r>
        <w:rPr>
          <w:rFonts w:ascii="Times New Roman" w:hAnsi="Times New Roman" w:cs="Times New Roman"/>
        </w:rPr>
        <w:t xml:space="preserve">Członkowie Stowarzyszenia w związku z dysponowaniem środkami publicznymi będą podejmować jawne decyzje, będą cierpliwi w tłumaczeniu ewentualnym niezadowolonym osobom, dlaczego podjęli takie, a nie inne decyzje i przede wszystkim będą świadomi swojej odpowiedzialności. Dla pracowników Biura, jak również dla członków organu decyzyjnego przewidziano w okresie realizacji LSR dodatkowe szkolenia w celu podnoszenia ich wiedzy i kompetencji, a także szczegółowego zapoznania się z zapisami Strategii i dokumentów programowych oraz wynikającymi z nich obowiązkami. Wszelkie szkolenia / kursy/ wyjazdy studyjne w ramach wewnętrznych struktur LGD będą miały na celu pozyskiwanie odpowiednich kwalifikacji ekonomicznych oraz administracyjnych niezbędnych do gospodarowania środkami publicznymi. Zgodnie z założeniami Planu komunikacji, dwa razy </w:t>
      </w:r>
      <w:r>
        <w:rPr>
          <w:rFonts w:ascii="Times New Roman" w:hAnsi="Times New Roman" w:cs="Times New Roman"/>
        </w:rPr>
        <w:br w:type="textWrapping"/>
      </w:r>
      <w:r>
        <w:rPr>
          <w:rFonts w:ascii="Times New Roman" w:hAnsi="Times New Roman" w:cs="Times New Roman"/>
        </w:rPr>
        <w:t xml:space="preserve">w roku planuje się przeprowadzenie działania edukacyjnego dla członków LGD w zakresie ich samorozwoju. </w:t>
      </w:r>
    </w:p>
    <w:p w14:paraId="024D8019">
      <w:pPr>
        <w:spacing w:after="0" w:line="276" w:lineRule="auto"/>
        <w:ind w:firstLine="708"/>
        <w:jc w:val="both"/>
        <w:rPr>
          <w:rFonts w:ascii="Times New Roman" w:hAnsi="Times New Roman" w:cs="Times New Roman"/>
        </w:rPr>
      </w:pPr>
      <w:r>
        <w:rPr>
          <w:rFonts w:ascii="Times New Roman" w:hAnsi="Times New Roman" w:cs="Times New Roman"/>
        </w:rPr>
        <w:t xml:space="preserve">Relacje między członkami LGD na etapie wdrażania LSR są oparte na pogłębionym partnerstwie i skutecznej komunikacji. Stosuje się formy kolegialnego podejmowania decyzji. Walne Zebranie Członków jest możliwe do zwołania nawet na wniosek stosunkowo wąskiej grupy członków (1/3 Członków Stowarzyszenia) lub Komisji Rewizyjnej, co potwierdzają zapisy Statutu. Zakres decyzji, które Zarząd może podejmować sam, bez konsultacji, jest ograniczony. Te decyzje, które Zarząd może podejmować samodzielnie określono w Statucie. LGD stosuje przyjazne dla odbiorcy formy komunikacji. Podczas zebrań organów LGD uczestnicy na ogół stosują się do zasad kultury dialogu. Podczas każdego spotkania uczestnicy mają prawo głosu i zadawania pytań, stosowane jest podsumowanie spotkań czy uzgodnień w każdej innej formie komunikacji. Chcąc mieć możliwość sprawnego zaspokajania potrzeb lokalnych społeczności wraz ze zmieniającymi się uwarunkowaniami zewnętrznymi, prowadzony będzie ciągły nabór propozycji projektów do realizacji. Wyniki naboru będą raz w roku podsumowane i opublikowane, oraz będą mogły stać się podstawą do wnioskowania przez Zarząd o aktualizację LSR. Raz w roku zostanie przeprowadzony konkurs na pomysł na usprawnienie funkcjonowania LGD oraz konkurs na innowacyjny pomysł do realizacji w ramach LSR. LGD będzie też tworzyć bazę potencjalnych partnerów, a także będzie prowadzić działania na rzecz kojarzenia partnerów i zachęcania do realizacji projektów partnerskich. Rozwiązania te przyczynią się do pogłębienia zaangażowania lokalnej społeczności oraz zachęcą do udziału we wdrażaniu LSR. </w:t>
      </w:r>
    </w:p>
    <w:p w14:paraId="0A423C30">
      <w:pPr>
        <w:spacing w:after="0" w:line="276" w:lineRule="auto"/>
        <w:ind w:firstLine="708"/>
        <w:jc w:val="both"/>
        <w:rPr>
          <w:rFonts w:ascii="Times New Roman" w:hAnsi="Times New Roman" w:cs="Times New Roman"/>
        </w:rPr>
      </w:pPr>
      <w:r>
        <w:rPr>
          <w:rFonts w:ascii="Times New Roman" w:hAnsi="Times New Roman" w:cs="Times New Roman"/>
        </w:rPr>
        <w:t>Władzami LGD są: Walne Zebranie Członków (WZC), Zarząd, Rada, Komisja Rewizyjna – jedna osoba może być jednocześnie członkiem tylko jednego z tych organów. Charakter działalności Stowarzyszenia jest inkluzyjny, co potwierdza Statut w zakresie kadencyjności organów. Kadencja Rady, Zarządu i Komisji Rewizyjnej wynosi 4 lata. W przypadku zmniejszenia się składu władz LGD, Zarząd zwołuje WZC w celu uzupełnienia ich składu. Stowarzyszenie jest otwarte na nowych członków, nowych partnerów chętnych do włączenia się w realizację Lokalnej Strategii Rozwoju. Sposób rozszerzenia składu LGD o kolejnych partnerów następuje zgodnie ze Statutem. O przyjęciu w poczet członków Stowarzyszenia decyduje Zarząd w formie uchwały. O swojej decyzji Zarząd niezwłocznie powiadamia pisemnie zainteresowanego.</w:t>
      </w:r>
    </w:p>
    <w:p w14:paraId="2A0BB3E9">
      <w:pPr>
        <w:spacing w:after="0" w:line="276" w:lineRule="auto"/>
        <w:ind w:firstLine="708"/>
        <w:jc w:val="both"/>
        <w:rPr>
          <w:rFonts w:ascii="Times New Roman" w:hAnsi="Times New Roman" w:cs="Times New Roman"/>
        </w:rPr>
      </w:pPr>
      <w:r>
        <w:rPr>
          <w:rFonts w:ascii="Times New Roman" w:hAnsi="Times New Roman" w:cs="Times New Roman"/>
        </w:rPr>
        <w:t xml:space="preserve">Jednym z organów i najwyższą władzą LGD jest Walne Zebranie Członków (WZC), do którego kompetencji należy w szczególności m.in. opiniowanie i uchwalanie kierunków i programu działania oraz dokumentów strategicznych LGD w tym wybór i odwołanie członków Rady, Zarządu, Komisji Rewizyjnej, przyjmowanie ich sprawozdań, oraz uchwalanie regulaminów ich działania, a także inne kompetencje wynikające ze Statutu LGD. </w:t>
      </w:r>
    </w:p>
    <w:p w14:paraId="1E01CD82">
      <w:pPr>
        <w:spacing w:after="0" w:line="276" w:lineRule="auto"/>
        <w:ind w:firstLine="708"/>
        <w:jc w:val="both"/>
        <w:rPr>
          <w:rFonts w:ascii="Times New Roman" w:hAnsi="Times New Roman" w:cs="Times New Roman"/>
        </w:rPr>
      </w:pPr>
      <w:r>
        <w:rPr>
          <w:rFonts w:ascii="Times New Roman" w:hAnsi="Times New Roman" w:cs="Times New Roman"/>
        </w:rPr>
        <w:t>Organem wykonawczym i zarządzającym jest Zarząd LGD składający się z 5 osób</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rPr>
        <w:t xml:space="preserve">w tym: Prezesa, Wiceprezesa i 3 </w:t>
      </w:r>
      <w:r>
        <w:rPr>
          <w:rFonts w:ascii="Times New Roman" w:hAnsi="Times New Roman" w:cs="Times New Roman"/>
          <w:color w:val="000000" w:themeColor="text1"/>
          <w14:textFill>
            <w14:solidFill>
              <w14:schemeClr w14:val="tx1"/>
            </w14:solidFill>
          </w14:textFill>
        </w:rPr>
        <w:t xml:space="preserve">Członków. </w:t>
      </w:r>
      <w:r>
        <w:rPr>
          <w:rFonts w:ascii="Times New Roman" w:hAnsi="Times New Roman" w:cs="Times New Roman"/>
        </w:rPr>
        <w:t>Do kompetencji Zarządu należy m.in. reprezentowanie Stowarzyszenia, opracowywanie LSR oraz wprowadzanie w niej zmian wynikających ze zmiany obowiązujących przepisów oraz wezwań instytucji zarządzającej oraz kierowanie pracami Biura. Jeszcze przed wdrażaniem niniejszej LSR włączono osoby młode (do 25. roku życia) – 1 osoba oraz seniorów (powyżej 60. roku życia) – 2 osoby, do członkostwa w Zarządzie. Wysoka aktywność seniorów ma duże znaczenie na obszarze LGD, ponieważ udział tych osób w liczbie mieszkańców stale wzrasta (2,2 pp. w okresie 5 lat), równocześnie rosną wskaźniki obciążenia demograficznego – jest to obszar starzejący się.</w:t>
      </w:r>
    </w:p>
    <w:p w14:paraId="4635C23A">
      <w:pPr>
        <w:spacing w:after="0" w:line="276" w:lineRule="auto"/>
        <w:ind w:firstLine="708"/>
        <w:jc w:val="both"/>
        <w:rPr>
          <w:rFonts w:ascii="Times New Roman" w:hAnsi="Times New Roman" w:cs="Times New Roman"/>
        </w:rPr>
      </w:pPr>
      <w:r>
        <w:rPr>
          <w:rFonts w:ascii="Times New Roman" w:hAnsi="Times New Roman" w:cs="Times New Roman"/>
        </w:rPr>
        <w:t>Kontrola bieżącej działalności Rady i Zarządu Stowarzyszenia należy do Komisji Rewizyjnej, która składa się z 3 osób wybranych przez Walne Zebranie Członków spośród kandydatów zgłoszonych przez Członków Zwyczajnych Stowarzyszenia.</w:t>
      </w:r>
    </w:p>
    <w:p w14:paraId="17690849">
      <w:pPr>
        <w:spacing w:line="276" w:lineRule="auto"/>
        <w:ind w:firstLine="708"/>
        <w:jc w:val="both"/>
        <w:rPr>
          <w:rFonts w:ascii="Times New Roman" w:hAnsi="Times New Roman" w:cs="Times New Roman"/>
        </w:rPr>
      </w:pPr>
      <w:r>
        <w:rPr>
          <w:rFonts w:ascii="Times New Roman" w:hAnsi="Times New Roman" w:cs="Times New Roman"/>
        </w:rPr>
        <w:t xml:space="preserve">Kolejnym organem jest organ decyzyjny – Rada. </w:t>
      </w:r>
    </w:p>
    <w:p w14:paraId="336F8A7F">
      <w:pPr>
        <w:pStyle w:val="28"/>
        <w:numPr>
          <w:ilvl w:val="0"/>
          <w:numId w:val="3"/>
        </w:numPr>
        <w:spacing w:before="240" w:line="276" w:lineRule="auto"/>
        <w:ind w:left="1134" w:hanging="357"/>
        <w:contextualSpacing w:val="0"/>
        <w:jc w:val="both"/>
        <w:outlineLvl w:val="1"/>
        <w:rPr>
          <w:rFonts w:ascii="Times New Roman" w:hAnsi="Times New Roman" w:cs="Times New Roman"/>
          <w:b/>
          <w:bCs/>
        </w:rPr>
      </w:pPr>
      <w:bookmarkStart w:id="5" w:name="_Toc135994824"/>
      <w:r>
        <w:rPr>
          <w:rFonts w:ascii="Times New Roman" w:hAnsi="Times New Roman" w:cs="Times New Roman"/>
          <w:b/>
          <w:bCs/>
        </w:rPr>
        <w:t>Organ decyzyjny LGD</w:t>
      </w:r>
      <w:bookmarkEnd w:id="5"/>
    </w:p>
    <w:p w14:paraId="63857546">
      <w:pPr>
        <w:pStyle w:val="28"/>
        <w:numPr>
          <w:ilvl w:val="1"/>
          <w:numId w:val="7"/>
        </w:numPr>
        <w:spacing w:before="240" w:after="0" w:line="276" w:lineRule="auto"/>
        <w:ind w:left="1560"/>
        <w:jc w:val="both"/>
        <w:rPr>
          <w:rFonts w:ascii="Times New Roman" w:hAnsi="Times New Roman" w:cs="Times New Roman"/>
          <w:b/>
          <w:bCs/>
        </w:rPr>
      </w:pPr>
      <w:r>
        <w:rPr>
          <w:rFonts w:ascii="Times New Roman" w:hAnsi="Times New Roman" w:cs="Times New Roman"/>
          <w:b/>
          <w:bCs/>
        </w:rPr>
        <w:t>Skład organu</w:t>
      </w:r>
    </w:p>
    <w:p w14:paraId="2622D504">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Organem decyzyjnym Stowarzyszenia jest Rada licząca 13 osób (Przewodniczącego, Wiceprzewodniczącego, Sekretarza i 10 członków Rady). Zgodnie z zapisami Statutu jest ona wybierana przez Walne Zebranie Członków Stowarzyszenia spośród członków zwyczajnych LGD. Żaden z wybranych członków Rady nie pełni funkcji w Zarządzie ani Komisji Rewizyjnej. Ponadto żaden nie jest zatrudniony w Biurze LGD, ani nie jest też podległy w stosunku zatrudnienia i nie jest w bliskim pokrewieństwie z innymi członkami Rady, Zarządu i Komisji Rewizyjnej. Przedstawicielami sektora publicznego są</w:t>
      </w:r>
      <w:r>
        <w:rPr>
          <w:rFonts w:ascii="Times New Roman" w:hAnsi="Times New Roman" w:cs="Times New Roman"/>
          <w:vertAlign w:val="superscript"/>
        </w:rPr>
        <w:footnoteReference w:id="2"/>
      </w:r>
      <w:r>
        <w:rPr>
          <w:rFonts w:ascii="Times New Roman" w:hAnsi="Times New Roman" w:cs="Times New Roman"/>
        </w:rPr>
        <w:t xml:space="preserve"> 5 osób (38,4% składu Rady), sektora gospodarczego – 4 osoby (30,8% składu Rady), społecznego 4 osoby (30,8% składu Rady), co oznacza, że żadna z grup interesu nie posiada więcej niż 49% praw głosu. W składzie Rady zachowano parytety w postaci obecności co najmniej 1 kobiety, 1 przedsiębiorcy, 4 osoby to seniorzy oraz 1 osoba młoda, do 25. roku życia. W Radzie znajdują się przedstawiciele grup nieformalnych, KGW oraz sołtys, lokalni przedsiębiorcy, rolnicy i usługodawcy</w:t>
      </w:r>
      <w:r>
        <w:rPr>
          <w:rFonts w:ascii="Times New Roman" w:hAnsi="Times New Roman" w:cs="Times New Roman"/>
          <w:color w:val="000000" w:themeColor="text1"/>
          <w14:textFill>
            <w14:solidFill>
              <w14:schemeClr w14:val="tx1"/>
            </w14:solidFill>
          </w14:textFill>
        </w:rPr>
        <w:t xml:space="preserve">. Ponadto zidentyfikowano trzy dodatkowe grupy interesariuszy LSR: </w:t>
      </w:r>
    </w:p>
    <w:p w14:paraId="312B435C">
      <w:pPr>
        <w:pStyle w:val="28"/>
        <w:numPr>
          <w:ilvl w:val="0"/>
          <w:numId w:val="6"/>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podmioty reprezentujące branżę turystyczną, kulturę, rozrywkę i edukację, ponieważ są bezpośrednio zainteresowane wdrażaniem działań związanych z przemysłem czasu wolnego, </w:t>
      </w:r>
    </w:p>
    <w:p w14:paraId="3D69C493">
      <w:pPr>
        <w:pStyle w:val="28"/>
        <w:numPr>
          <w:ilvl w:val="0"/>
          <w:numId w:val="6"/>
        </w:numPr>
        <w:spacing w:before="240"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przedstawiciel Starostwa Powiatowego reprezentujący grupę osób w niekorzystnej sytuacji – niepełnosprawni i ich opiekunowie ponieważ do zadań Powiatu należy m.in. opracowanie i realizacja powiatowej strategii rozwiązywania problemów społecznych, ze szczególnym uwzględnieniem programów pomocy społecznej, wspierania osób niepełnosprawnych i innych, których celem jest integracja osób i rodzin z grup szczególnego ryzyka,</w:t>
      </w:r>
    </w:p>
    <w:p w14:paraId="11F0EB87">
      <w:pPr>
        <w:pStyle w:val="28"/>
        <w:numPr>
          <w:ilvl w:val="0"/>
          <w:numId w:val="6"/>
        </w:numPr>
        <w:spacing w:before="240" w:after="0" w:line="276" w:lineRule="auto"/>
        <w:jc w:val="both"/>
        <w:rPr>
          <w:rFonts w:ascii="Times New Roman" w:hAnsi="Times New Roman" w:cs="Times New Roman"/>
          <w:color w:val="000000" w:themeColor="text1"/>
          <w14:textFill>
            <w14:solidFill>
              <w14:schemeClr w14:val="tx1"/>
            </w14:solidFill>
          </w14:textFill>
        </w:rPr>
      </w:pPr>
      <w:r>
        <w:t>o</w:t>
      </w:r>
      <w:r>
        <w:rPr>
          <w:rFonts w:ascii="Times New Roman" w:hAnsi="Times New Roman" w:cs="Times New Roman"/>
          <w:color w:val="000000" w:themeColor="text1"/>
          <w14:textFill>
            <w14:solidFill>
              <w14:schemeClr w14:val="tx1"/>
            </w14:solidFill>
          </w14:textFill>
        </w:rPr>
        <w:t>soby działające na rzecz i reprezentujące podmioty działające na rzecz ochrony środowiska naturalnego ponieważ na obszarze każdej z gmin znajdują się prawnie chronione formy ochrony przyrody.</w:t>
      </w:r>
    </w:p>
    <w:p w14:paraId="670124D5">
      <w:pPr>
        <w:spacing w:before="240" w:line="276" w:lineRule="auto"/>
        <w:ind w:firstLine="708"/>
        <w:jc w:val="both"/>
        <w:rPr>
          <w:rFonts w:ascii="Times New Roman" w:hAnsi="Times New Roman" w:cs="Times New Roman"/>
        </w:rPr>
      </w:pPr>
      <w:r>
        <w:rPr>
          <w:rFonts w:ascii="Times New Roman" w:hAnsi="Times New Roman" w:cs="Times New Roman"/>
        </w:rPr>
        <w:t xml:space="preserve">Wyłączną kompetencją Rady jest wybór operacji, które mają być realizowane w ramach LSR oraz ustalenie kwoty wsparcia. </w:t>
      </w:r>
    </w:p>
    <w:p w14:paraId="31EEFE75">
      <w:pPr>
        <w:pStyle w:val="28"/>
        <w:numPr>
          <w:ilvl w:val="1"/>
          <w:numId w:val="7"/>
        </w:numPr>
        <w:spacing w:before="240" w:line="276" w:lineRule="auto"/>
        <w:ind w:left="1559" w:hanging="431"/>
        <w:contextualSpacing w:val="0"/>
        <w:jc w:val="both"/>
        <w:rPr>
          <w:rFonts w:ascii="Times New Roman" w:hAnsi="Times New Roman" w:cs="Times New Roman"/>
          <w:b/>
          <w:bCs/>
        </w:rPr>
      </w:pPr>
      <w:r>
        <w:rPr>
          <w:rFonts w:ascii="Times New Roman" w:hAnsi="Times New Roman" w:cs="Times New Roman"/>
          <w:b/>
          <w:bCs/>
        </w:rPr>
        <w:t>Proces decyzyjny</w:t>
      </w:r>
    </w:p>
    <w:p w14:paraId="20370581">
      <w:pPr>
        <w:pStyle w:val="28"/>
        <w:spacing w:after="0" w:line="276" w:lineRule="auto"/>
        <w:ind w:left="0" w:firstLine="709"/>
        <w:contextualSpacing w:val="0"/>
        <w:jc w:val="both"/>
        <w:rPr>
          <w:rFonts w:ascii="Times New Roman" w:hAnsi="Times New Roman" w:cs="Times New Roman"/>
        </w:rPr>
      </w:pPr>
      <w:r>
        <w:rPr>
          <w:rFonts w:ascii="Times New Roman" w:hAnsi="Times New Roman" w:cs="Times New Roman"/>
        </w:rPr>
        <w:t xml:space="preserve">Rada działa zgodnie z zapisami Statutu oraz Regulaminu Rady. Proces decyzyjny organu nie jest zdominowany przez władzę publiczną ani żadną z grup interesów – w skład Rady wchodzi co najmniej jeden przedstawiciel każdego z sektorów: publicznego, społecznego i gospodarczego, a także co najmniej jeden mieszkaniec obszaru działania LGD, przy czym ani władze publiczne, ani żadna z grup interesów nie posiada więcej niż 49% składu Rady. W skład Rady wchodzi co najmniej jedna kobieta. Na poziomie podejmowania decyzji w Radzie ani władze publiczne, ani żadna z grup interesu nie może posiadać więcej niż 49% głosu. Przedstawiciele sektora publicznego stanowią mniej niż 49% składu Rady. LGD przez lata doświadczenia i działalności wypracowała mechanizmy, dzięki którym posiada zdolność do zarządzania procesem wdrażania LSR. Wszystkie organy struktury LGD działają na bazie właściwych dla siebie Regulaminów. Jasny jest podział praw i obowiązków. Rada posiada doświadczenie w procesie wyboru operacji, które mają być realizowane w ramach LSR oraz ustalania kwot wsparcia. Proces decyzyjny oparty jest na zasadzie bezstronności oraz na unikaniu przewagi pojedynczej grupy interesu przy wyborze projektów przez Radę. </w:t>
      </w:r>
    </w:p>
    <w:p w14:paraId="41D93A8F">
      <w:pPr>
        <w:pStyle w:val="28"/>
        <w:spacing w:line="276" w:lineRule="auto"/>
        <w:ind w:left="0" w:firstLine="709"/>
        <w:contextualSpacing w:val="0"/>
        <w:jc w:val="both"/>
        <w:rPr>
          <w:rFonts w:ascii="Times New Roman" w:hAnsi="Times New Roman" w:cs="Times New Roman"/>
        </w:rPr>
      </w:pPr>
      <w:r>
        <w:rPr>
          <w:rFonts w:ascii="Times New Roman" w:hAnsi="Times New Roman" w:cs="Times New Roman"/>
        </w:rPr>
        <w:t>Dzięki temu, że organ składa się z przedstawicieli różnych środowisk, szeroki jest zakres wiedzy i kompetencji jej członków. Członkowie Rady przechodzili i będą przechodzić szkolenia w zakresie przygotowania do sprawnego wdrażania LSR, co jest tym bardziej istotne z punktu widzenia wielofunduszowości.</w:t>
      </w:r>
    </w:p>
    <w:p w14:paraId="69981259">
      <w:pPr>
        <w:pStyle w:val="28"/>
        <w:numPr>
          <w:ilvl w:val="0"/>
          <w:numId w:val="3"/>
        </w:numPr>
        <w:spacing w:before="240" w:line="276" w:lineRule="auto"/>
        <w:ind w:left="1134" w:hanging="357"/>
        <w:contextualSpacing w:val="0"/>
        <w:jc w:val="both"/>
        <w:outlineLvl w:val="1"/>
        <w:rPr>
          <w:rFonts w:ascii="Times New Roman" w:hAnsi="Times New Roman" w:cs="Times New Roman"/>
          <w:b/>
          <w:bCs/>
        </w:rPr>
      </w:pPr>
      <w:bookmarkStart w:id="6" w:name="_Toc135994825"/>
      <w:r>
        <w:rPr>
          <w:rFonts w:ascii="Times New Roman" w:hAnsi="Times New Roman" w:cs="Times New Roman"/>
          <w:b/>
          <w:bCs/>
        </w:rPr>
        <w:t>Dokumenty regulujące funkcjonowanie LGD</w:t>
      </w:r>
      <w:bookmarkEnd w:id="6"/>
    </w:p>
    <w:p w14:paraId="0A04CB7C">
      <w:pPr>
        <w:spacing w:after="0" w:line="276" w:lineRule="auto"/>
        <w:ind w:firstLine="708"/>
        <w:jc w:val="both"/>
        <w:rPr>
          <w:rFonts w:ascii="Times New Roman" w:hAnsi="Times New Roman" w:cs="Times New Roman"/>
        </w:rPr>
      </w:pPr>
      <w:r>
        <w:rPr>
          <w:rFonts w:ascii="Times New Roman" w:hAnsi="Times New Roman" w:cs="Times New Roman"/>
        </w:rPr>
        <w:t>Lokalna Grupa Działania „Między Dalinem i Gościbią” funkcjonuje w oparciu o przepisy:</w:t>
      </w:r>
    </w:p>
    <w:p w14:paraId="74FEFDC7">
      <w:pPr>
        <w:pStyle w:val="28"/>
        <w:numPr>
          <w:ilvl w:val="0"/>
          <w:numId w:val="8"/>
        </w:numPr>
        <w:spacing w:line="276" w:lineRule="auto"/>
        <w:ind w:left="1276" w:hanging="425"/>
        <w:jc w:val="both"/>
        <w:rPr>
          <w:rFonts w:ascii="Times New Roman" w:hAnsi="Times New Roman" w:cs="Times New Roman"/>
        </w:rPr>
      </w:pPr>
      <w:r>
        <w:rPr>
          <w:rFonts w:ascii="Times New Roman" w:hAnsi="Times New Roman" w:cs="Times New Roman"/>
          <w:i/>
          <w:iCs/>
        </w:rPr>
        <w:t>Ustawy z dnia 20 lutego 2015 r. o rozwoju lokalnym z udziałem lokalnej społeczności</w:t>
      </w:r>
      <w:r>
        <w:rPr>
          <w:rFonts w:ascii="Times New Roman" w:hAnsi="Times New Roman" w:cs="Times New Roman"/>
        </w:rPr>
        <w:t xml:space="preserve"> (Dz. U. z 2022 r. poz. 943 z późn. zm.);</w:t>
      </w:r>
    </w:p>
    <w:p w14:paraId="755AC229">
      <w:pPr>
        <w:pStyle w:val="28"/>
        <w:numPr>
          <w:ilvl w:val="0"/>
          <w:numId w:val="8"/>
        </w:numPr>
        <w:spacing w:line="276" w:lineRule="auto"/>
        <w:ind w:left="1276" w:hanging="425"/>
        <w:jc w:val="both"/>
        <w:rPr>
          <w:rFonts w:ascii="Times New Roman" w:hAnsi="Times New Roman" w:cs="Times New Roman"/>
        </w:rPr>
      </w:pPr>
      <w:r>
        <w:rPr>
          <w:rFonts w:ascii="Times New Roman" w:hAnsi="Times New Roman" w:cs="Times New Roman"/>
          <w:i/>
          <w:iCs/>
        </w:rPr>
        <w:t>Ustawy z dnia 7 kwietnia 1989 r. Prawo o stowarzyszeniach</w:t>
      </w:r>
      <w:r>
        <w:rPr>
          <w:rFonts w:ascii="Times New Roman" w:hAnsi="Times New Roman" w:cs="Times New Roman"/>
        </w:rPr>
        <w:t xml:space="preserve"> (Dz. U. z 2020 r. poz. 2261);</w:t>
      </w:r>
    </w:p>
    <w:p w14:paraId="35D79D4D">
      <w:pPr>
        <w:pStyle w:val="28"/>
        <w:numPr>
          <w:ilvl w:val="0"/>
          <w:numId w:val="8"/>
        </w:numPr>
        <w:spacing w:line="276" w:lineRule="auto"/>
        <w:ind w:left="1276" w:hanging="425"/>
        <w:jc w:val="both"/>
        <w:rPr>
          <w:rFonts w:ascii="Times New Roman" w:hAnsi="Times New Roman" w:cs="Times New Roman"/>
        </w:rPr>
      </w:pPr>
      <w:r>
        <w:rPr>
          <w:rFonts w:ascii="Times New Roman" w:hAnsi="Times New Roman" w:cs="Times New Roman"/>
          <w:i/>
          <w:iCs/>
        </w:rPr>
        <w:t>Ustawy z dnia 20 lutego 2015 r. o wspieraniu rozwoju obszarów wiejskich z udziałem środków Europejskiego Funduszu Rolnego na rzecz Rozwoju Obszarów Wiejskich w ramach Programu Rozwoju Obszarów Wiejskich na lata 2014-2020</w:t>
      </w:r>
      <w:r>
        <w:rPr>
          <w:rFonts w:ascii="Times New Roman" w:hAnsi="Times New Roman" w:cs="Times New Roman"/>
        </w:rPr>
        <w:t xml:space="preserve"> (Dz. U. z 2022 r. poz. 2422 z późn. zm.);</w:t>
      </w:r>
    </w:p>
    <w:p w14:paraId="2BBA56EF">
      <w:pPr>
        <w:pStyle w:val="28"/>
        <w:numPr>
          <w:ilvl w:val="0"/>
          <w:numId w:val="8"/>
        </w:numPr>
        <w:spacing w:line="276" w:lineRule="auto"/>
        <w:ind w:left="1276" w:hanging="425"/>
        <w:jc w:val="both"/>
        <w:rPr>
          <w:rFonts w:ascii="Times New Roman" w:hAnsi="Times New Roman" w:cs="Times New Roman"/>
        </w:rPr>
      </w:pPr>
      <w:r>
        <w:rPr>
          <w:rFonts w:ascii="Times New Roman" w:hAnsi="Times New Roman" w:cs="Times New Roman"/>
          <w:i/>
          <w:iCs/>
        </w:rP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Pr>
          <w:rFonts w:ascii="Times New Roman" w:hAnsi="Times New Roman" w:cs="Times New Roman"/>
        </w:rPr>
        <w:t>;</w:t>
      </w:r>
    </w:p>
    <w:p w14:paraId="26A5DF00">
      <w:pPr>
        <w:pStyle w:val="28"/>
        <w:numPr>
          <w:ilvl w:val="0"/>
          <w:numId w:val="8"/>
        </w:numPr>
        <w:spacing w:line="276" w:lineRule="auto"/>
        <w:ind w:left="1276" w:hanging="425"/>
        <w:jc w:val="both"/>
        <w:rPr>
          <w:rFonts w:ascii="Times New Roman" w:hAnsi="Times New Roman" w:cs="Times New Roman"/>
          <w:i/>
          <w:iCs/>
        </w:rPr>
      </w:pPr>
      <w:r>
        <w:rPr>
          <w:rFonts w:ascii="Times New Roman" w:hAnsi="Times New Roman" w:cs="Times New Roman"/>
          <w:i/>
          <w:iC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p w14:paraId="0093010A">
      <w:pPr>
        <w:pStyle w:val="28"/>
        <w:numPr>
          <w:ilvl w:val="0"/>
          <w:numId w:val="8"/>
        </w:numPr>
        <w:spacing w:after="0" w:line="276" w:lineRule="auto"/>
        <w:ind w:left="1276" w:hanging="425"/>
        <w:jc w:val="both"/>
        <w:rPr>
          <w:rFonts w:ascii="Times New Roman" w:hAnsi="Times New Roman" w:cs="Times New Roman"/>
          <w:i/>
          <w:iCs/>
        </w:rPr>
      </w:pPr>
      <w:r>
        <w:rPr>
          <w:rFonts w:ascii="Times New Roman" w:hAnsi="Times New Roman" w:cs="Times New Roman"/>
          <w:i/>
          <w:iCs/>
        </w:rPr>
        <w:t>Rozporządzenia Parlamentu Europejskiego i Rady (UE) nr 1305/2013 z dnia 17 grudnia 2013 r. w sprawie wsparcia rozwoju obszarów wiejskich przez Europejski Fundusz Rolny na rzecz Rozwoju Obszarów Wiejskich (EFRROW) i uchylającego rozporządzenie Rady (WE) nr 1698/2005;</w:t>
      </w:r>
    </w:p>
    <w:p w14:paraId="555EBCBF">
      <w:pPr>
        <w:pStyle w:val="28"/>
        <w:numPr>
          <w:ilvl w:val="0"/>
          <w:numId w:val="8"/>
        </w:numPr>
        <w:spacing w:after="0" w:line="276" w:lineRule="auto"/>
        <w:ind w:left="1276" w:hanging="425"/>
        <w:jc w:val="both"/>
        <w:rPr>
          <w:rFonts w:ascii="Times New Roman" w:hAnsi="Times New Roman" w:cs="Times New Roman"/>
          <w:i/>
          <w:iCs/>
        </w:rPr>
      </w:pPr>
      <w:r>
        <w:rPr>
          <w:rFonts w:ascii="Times New Roman" w:hAnsi="Times New Roman" w:cs="Times New Roman"/>
          <w:i/>
          <w:iCs/>
        </w:rPr>
        <w:t>Ustawy z dnia 8 lutego 2023r. o Planie Strategicznym dla Wspólnej Polityki Rolnej na lata 2023-2027 (Dz.U. 2023 poz. 412);</w:t>
      </w:r>
    </w:p>
    <w:p w14:paraId="7969DDE2">
      <w:pPr>
        <w:pStyle w:val="28"/>
        <w:numPr>
          <w:ilvl w:val="0"/>
          <w:numId w:val="8"/>
        </w:numPr>
        <w:spacing w:after="0" w:line="276" w:lineRule="auto"/>
        <w:ind w:left="1276" w:hanging="425"/>
        <w:jc w:val="both"/>
        <w:rPr>
          <w:rFonts w:ascii="Times New Roman" w:hAnsi="Times New Roman" w:cs="Times New Roman"/>
          <w:i/>
          <w:iCs/>
        </w:rPr>
      </w:pPr>
      <w:r>
        <w:rPr>
          <w:rFonts w:ascii="Times New Roman" w:hAnsi="Times New Roman" w:cs="Times New Roman"/>
          <w:i/>
          <w:iCs/>
        </w:rPr>
        <w:t>Rozporządzenie Parlamentu Europejskiego i Rady (UE) 2021/1057 z dnia 24 czerwca 2021r. ustanawiające Europejski Funduszy Społecznego Plus, (EFS+) oraz uchylające rozporządzenie (UE) nr 1296/2013.;</w:t>
      </w:r>
    </w:p>
    <w:p w14:paraId="5C30A2B0">
      <w:pPr>
        <w:pStyle w:val="28"/>
        <w:numPr>
          <w:ilvl w:val="0"/>
          <w:numId w:val="8"/>
        </w:numPr>
        <w:spacing w:after="0" w:line="276" w:lineRule="auto"/>
        <w:ind w:left="1276" w:hanging="425"/>
        <w:jc w:val="both"/>
        <w:rPr>
          <w:rFonts w:ascii="Times New Roman" w:hAnsi="Times New Roman" w:cs="Times New Roman"/>
          <w:i/>
          <w:iCs/>
        </w:rPr>
      </w:pPr>
      <w:r>
        <w:rPr>
          <w:rFonts w:ascii="Times New Roman" w:hAnsi="Times New Roman" w:cs="Times New Roman"/>
          <w:i/>
          <w:iCs/>
        </w:rPr>
        <w:t>USTAWA z dnia 28 kwietnia 2022 r. o zasadach realizacji zadań finansowanych ze środków europejskich w perspektywie finansowej 2021–2027 (Dz.U. 2022 poz. 1079).</w:t>
      </w:r>
    </w:p>
    <w:p w14:paraId="506DF378">
      <w:pPr>
        <w:spacing w:before="240" w:line="276" w:lineRule="auto"/>
        <w:ind w:firstLine="708"/>
        <w:jc w:val="both"/>
        <w:rPr>
          <w:rFonts w:ascii="Times New Roman" w:hAnsi="Times New Roman" w:cs="Times New Roman"/>
        </w:rPr>
      </w:pPr>
      <w:r>
        <w:rPr>
          <w:rFonts w:ascii="Times New Roman" w:hAnsi="Times New Roman" w:cs="Times New Roman"/>
        </w:rPr>
        <w:t>Poza wyżej wskazanymi aktami prawnymi, działania LGD regulują dokumenty wewnętrzne przedstawione w tabeli 1.</w:t>
      </w:r>
    </w:p>
    <w:p w14:paraId="47D92CC3">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7" w:name="_Toc136241389"/>
      <w:bookmarkStart w:id="8" w:name="_Toc134966350"/>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Dokumenty regulujące funkcjonowanie LGD</w:t>
      </w:r>
      <w:bookmarkEnd w:id="7"/>
      <w:bookmarkEnd w:id="8"/>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034"/>
        <w:gridCol w:w="6322"/>
      </w:tblGrid>
      <w:tr w14:paraId="32E3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38" w:type="dxa"/>
            <w:shd w:val="clear" w:color="auto" w:fill="auto"/>
            <w:vAlign w:val="center"/>
          </w:tcPr>
          <w:p w14:paraId="719720E3">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Nazwa dokumentu</w:t>
            </w:r>
          </w:p>
        </w:tc>
        <w:tc>
          <w:tcPr>
            <w:tcW w:w="2034" w:type="dxa"/>
            <w:shd w:val="clear" w:color="auto" w:fill="auto"/>
            <w:vAlign w:val="center"/>
          </w:tcPr>
          <w:p w14:paraId="4DD59276">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Organ uchwalający i aktualizujący</w:t>
            </w:r>
          </w:p>
        </w:tc>
        <w:tc>
          <w:tcPr>
            <w:tcW w:w="6322" w:type="dxa"/>
            <w:shd w:val="clear" w:color="auto" w:fill="auto"/>
            <w:vAlign w:val="center"/>
          </w:tcPr>
          <w:p w14:paraId="15608539">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Najważniejsze kwestie związane z dokumentem</w:t>
            </w:r>
          </w:p>
        </w:tc>
      </w:tr>
      <w:tr w14:paraId="579F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38" w:type="dxa"/>
            <w:shd w:val="clear" w:color="auto" w:fill="auto"/>
            <w:vAlign w:val="center"/>
          </w:tcPr>
          <w:p w14:paraId="5F7FE9A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Statut LGD</w:t>
            </w:r>
          </w:p>
        </w:tc>
        <w:tc>
          <w:tcPr>
            <w:tcW w:w="2034" w:type="dxa"/>
            <w:shd w:val="clear" w:color="auto" w:fill="auto"/>
            <w:vAlign w:val="center"/>
          </w:tcPr>
          <w:p w14:paraId="49341CA3">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Walne Zebranie </w:t>
            </w:r>
            <w:r>
              <w:rPr>
                <w:rFonts w:ascii="Times New Roman" w:hAnsi="Times New Roman" w:cs="Times New Roman"/>
                <w:sz w:val="20"/>
                <w:szCs w:val="20"/>
              </w:rPr>
              <w:br w:type="textWrapping"/>
            </w:r>
            <w:r>
              <w:rPr>
                <w:rFonts w:ascii="Times New Roman" w:hAnsi="Times New Roman" w:cs="Times New Roman"/>
                <w:sz w:val="20"/>
                <w:szCs w:val="20"/>
              </w:rPr>
              <w:t>Członków</w:t>
            </w:r>
          </w:p>
        </w:tc>
        <w:tc>
          <w:tcPr>
            <w:tcW w:w="6322" w:type="dxa"/>
            <w:shd w:val="clear" w:color="auto" w:fill="auto"/>
            <w:vAlign w:val="center"/>
          </w:tcPr>
          <w:p w14:paraId="6F3B790C">
            <w:pPr>
              <w:spacing w:after="0" w:line="276" w:lineRule="auto"/>
              <w:jc w:val="both"/>
              <w:rPr>
                <w:rFonts w:ascii="Times New Roman" w:hAnsi="Times New Roman" w:eastAsia="Calibri" w:cs="Times New Roman"/>
                <w:sz w:val="20"/>
                <w:szCs w:val="18"/>
              </w:rPr>
            </w:pPr>
            <w:r>
              <w:rPr>
                <w:rFonts w:ascii="Times New Roman" w:hAnsi="Times New Roman" w:eastAsia="Calibri" w:cs="Times New Roman"/>
                <w:sz w:val="20"/>
                <w:szCs w:val="18"/>
              </w:rPr>
              <w:t>Statut określa cele i obszary działalności LGD. W Statucie określone są również kompetencje organów Stowarzyszenia: Walnego Zebrania Członków, Zarządu LGD, Rady oraz Komisji Rewizyjnej.</w:t>
            </w:r>
          </w:p>
        </w:tc>
      </w:tr>
      <w:tr w14:paraId="67F5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38" w:type="dxa"/>
            <w:shd w:val="clear" w:color="auto" w:fill="auto"/>
            <w:vAlign w:val="center"/>
          </w:tcPr>
          <w:p w14:paraId="22E6504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Regulamin Walnego Zebrania Członków</w:t>
            </w:r>
          </w:p>
        </w:tc>
        <w:tc>
          <w:tcPr>
            <w:tcW w:w="2034" w:type="dxa"/>
            <w:shd w:val="clear" w:color="auto" w:fill="auto"/>
            <w:vAlign w:val="center"/>
          </w:tcPr>
          <w:p w14:paraId="78A23AD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Walne Zebranie </w:t>
            </w:r>
            <w:r>
              <w:rPr>
                <w:rFonts w:ascii="Times New Roman" w:hAnsi="Times New Roman" w:cs="Times New Roman"/>
                <w:sz w:val="20"/>
                <w:szCs w:val="20"/>
              </w:rPr>
              <w:br w:type="textWrapping"/>
            </w:r>
            <w:r>
              <w:rPr>
                <w:rFonts w:ascii="Times New Roman" w:hAnsi="Times New Roman" w:cs="Times New Roman"/>
                <w:sz w:val="20"/>
                <w:szCs w:val="20"/>
              </w:rPr>
              <w:t>Członków</w:t>
            </w:r>
          </w:p>
        </w:tc>
        <w:tc>
          <w:tcPr>
            <w:tcW w:w="6322" w:type="dxa"/>
            <w:shd w:val="clear" w:color="auto" w:fill="auto"/>
            <w:vAlign w:val="center"/>
          </w:tcPr>
          <w:p w14:paraId="02B8006F">
            <w:pPr>
              <w:spacing w:after="0" w:line="276" w:lineRule="auto"/>
              <w:jc w:val="both"/>
              <w:rPr>
                <w:rFonts w:ascii="Times New Roman" w:hAnsi="Times New Roman" w:cs="Times New Roman"/>
                <w:sz w:val="20"/>
                <w:szCs w:val="20"/>
              </w:rPr>
            </w:pPr>
            <w:r>
              <w:rPr>
                <w:rFonts w:ascii="Times New Roman" w:hAnsi="Times New Roman" w:cs="Times New Roman"/>
                <w:sz w:val="20"/>
                <w:szCs w:val="20"/>
              </w:rPr>
              <w:t>Regulamin reguluje m.in. kwestie zwoływania posiedzeń WZC, podejmowania uchwał, spraw wyborczych i głosowania, zakres zadań organów oraz protokołowania WZC.</w:t>
            </w:r>
          </w:p>
        </w:tc>
      </w:tr>
      <w:tr w14:paraId="3470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38" w:type="dxa"/>
            <w:shd w:val="clear" w:color="auto" w:fill="auto"/>
            <w:vAlign w:val="center"/>
          </w:tcPr>
          <w:p w14:paraId="48233F9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Regulamin Rady </w:t>
            </w:r>
          </w:p>
        </w:tc>
        <w:tc>
          <w:tcPr>
            <w:tcW w:w="2034" w:type="dxa"/>
            <w:shd w:val="clear" w:color="auto" w:fill="auto"/>
            <w:vAlign w:val="center"/>
          </w:tcPr>
          <w:p w14:paraId="0B4B001D">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Walne Zebranie </w:t>
            </w:r>
            <w:r>
              <w:rPr>
                <w:rFonts w:ascii="Times New Roman" w:hAnsi="Times New Roman" w:cs="Times New Roman"/>
                <w:sz w:val="20"/>
                <w:szCs w:val="20"/>
              </w:rPr>
              <w:br w:type="textWrapping"/>
            </w:r>
            <w:r>
              <w:rPr>
                <w:rFonts w:ascii="Times New Roman" w:hAnsi="Times New Roman" w:cs="Times New Roman"/>
                <w:sz w:val="20"/>
                <w:szCs w:val="20"/>
              </w:rPr>
              <w:t>Członków</w:t>
            </w:r>
          </w:p>
        </w:tc>
        <w:tc>
          <w:tcPr>
            <w:tcW w:w="6322" w:type="dxa"/>
            <w:shd w:val="clear" w:color="auto" w:fill="auto"/>
            <w:vAlign w:val="center"/>
          </w:tcPr>
          <w:p w14:paraId="575008DD">
            <w:pPr>
              <w:spacing w:after="0" w:line="276" w:lineRule="auto"/>
              <w:jc w:val="both"/>
              <w:rPr>
                <w:rFonts w:ascii="Times New Roman" w:hAnsi="Times New Roman" w:cs="Times New Roman"/>
                <w:sz w:val="20"/>
                <w:szCs w:val="20"/>
              </w:rPr>
            </w:pPr>
            <w:r>
              <w:rPr>
                <w:rFonts w:ascii="Times New Roman" w:hAnsi="Times New Roman" w:cs="Times New Roman"/>
                <w:bCs/>
                <w:sz w:val="20"/>
                <w:szCs w:val="20"/>
              </w:rPr>
              <w:t xml:space="preserve">Regulamin </w:t>
            </w:r>
            <w:r>
              <w:rPr>
                <w:rFonts w:ascii="Times New Roman" w:hAnsi="Times New Roman" w:cs="Times New Roman"/>
                <w:sz w:val="20"/>
                <w:szCs w:val="20"/>
              </w:rPr>
              <w:t xml:space="preserve">opisuje szczegółowe zasady zwoływania i organizacji posiedzeń organu decyzyjnego, szczegółowe rozwiązania dotyczące wyłączenia z oceny operacji, szczegółowe zasady podejmowania decyzji w sprawie wyboru operacji, zasady protokołowania posiedzeń organu decyzyjnego; zasady wynagradzania członków organu decyzyjnego. </w:t>
            </w:r>
          </w:p>
        </w:tc>
      </w:tr>
      <w:tr w14:paraId="078C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38" w:type="dxa"/>
            <w:shd w:val="clear" w:color="auto" w:fill="auto"/>
            <w:vAlign w:val="center"/>
          </w:tcPr>
          <w:p w14:paraId="6A3BD2D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Regulamin Biura</w:t>
            </w:r>
          </w:p>
        </w:tc>
        <w:tc>
          <w:tcPr>
            <w:tcW w:w="2034" w:type="dxa"/>
            <w:shd w:val="clear" w:color="auto" w:fill="auto"/>
            <w:vAlign w:val="center"/>
          </w:tcPr>
          <w:p w14:paraId="1413A72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Zarząd LGD</w:t>
            </w:r>
          </w:p>
        </w:tc>
        <w:tc>
          <w:tcPr>
            <w:tcW w:w="6322" w:type="dxa"/>
            <w:shd w:val="clear" w:color="auto" w:fill="auto"/>
            <w:vAlign w:val="center"/>
          </w:tcPr>
          <w:p w14:paraId="50FFFCA6">
            <w:pPr>
              <w:spacing w:after="0" w:line="276" w:lineRule="auto"/>
              <w:jc w:val="both"/>
              <w:rPr>
                <w:rFonts w:ascii="Times New Roman" w:hAnsi="Times New Roman" w:cs="Times New Roman"/>
                <w:sz w:val="20"/>
                <w:szCs w:val="20"/>
              </w:rPr>
            </w:pPr>
            <w:r>
              <w:rPr>
                <w:rFonts w:ascii="Times New Roman" w:hAnsi="Times New Roman" w:cs="Times New Roman"/>
                <w:sz w:val="20"/>
                <w:szCs w:val="20"/>
              </w:rPr>
              <w:t>Regulamin określa organizację i zasady funkcjonowania, ramowy okres działania i kompetencji Biura, porządek w procesie pracy, prawa i obowiązki pracodawcy i pracowników oraz inne postanowienia związane z działalnością Biura Stowarzyszenia.</w:t>
            </w:r>
          </w:p>
        </w:tc>
      </w:tr>
      <w:tr w14:paraId="26A7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38" w:type="dxa"/>
            <w:shd w:val="clear" w:color="auto" w:fill="auto"/>
            <w:vAlign w:val="center"/>
          </w:tcPr>
          <w:p w14:paraId="2C8E1E0E">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Regulamin Zarządu Stowarzyszenia</w:t>
            </w:r>
          </w:p>
        </w:tc>
        <w:tc>
          <w:tcPr>
            <w:tcW w:w="2034" w:type="dxa"/>
            <w:shd w:val="clear" w:color="auto" w:fill="auto"/>
            <w:vAlign w:val="center"/>
          </w:tcPr>
          <w:p w14:paraId="6323B7E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Walne Zebranie </w:t>
            </w:r>
            <w:r>
              <w:rPr>
                <w:rFonts w:ascii="Times New Roman" w:hAnsi="Times New Roman" w:cs="Times New Roman"/>
                <w:sz w:val="20"/>
                <w:szCs w:val="20"/>
              </w:rPr>
              <w:br w:type="textWrapping"/>
            </w:r>
            <w:r>
              <w:rPr>
                <w:rFonts w:ascii="Times New Roman" w:hAnsi="Times New Roman" w:cs="Times New Roman"/>
                <w:sz w:val="20"/>
                <w:szCs w:val="20"/>
              </w:rPr>
              <w:t>Członków</w:t>
            </w:r>
          </w:p>
        </w:tc>
        <w:tc>
          <w:tcPr>
            <w:tcW w:w="6322" w:type="dxa"/>
            <w:shd w:val="clear" w:color="auto" w:fill="auto"/>
            <w:vAlign w:val="center"/>
          </w:tcPr>
          <w:p w14:paraId="6C5226CD">
            <w:pPr>
              <w:spacing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Regulamin określa m.in.: organizację i tryb pracy Zarządu Stowarzyszenia; zasady prowadzenia dokumentacji prowadzonych spraw. Zarząd uchwala Regulamin Zarządu, który następnie zatwierdza Walne Zebranie. </w:t>
            </w:r>
          </w:p>
        </w:tc>
      </w:tr>
      <w:tr w14:paraId="02F5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38" w:type="dxa"/>
            <w:shd w:val="clear" w:color="auto" w:fill="auto"/>
            <w:vAlign w:val="center"/>
          </w:tcPr>
          <w:p w14:paraId="003A76D0">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Regulamin Prac Komisji Rewizyjnej</w:t>
            </w:r>
          </w:p>
        </w:tc>
        <w:tc>
          <w:tcPr>
            <w:tcW w:w="2034" w:type="dxa"/>
            <w:shd w:val="clear" w:color="auto" w:fill="auto"/>
            <w:vAlign w:val="center"/>
          </w:tcPr>
          <w:p w14:paraId="5DECC17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Walne Zebranie </w:t>
            </w:r>
            <w:r>
              <w:rPr>
                <w:rFonts w:ascii="Times New Roman" w:hAnsi="Times New Roman" w:cs="Times New Roman"/>
                <w:sz w:val="20"/>
                <w:szCs w:val="20"/>
              </w:rPr>
              <w:br w:type="textWrapping"/>
            </w:r>
            <w:r>
              <w:rPr>
                <w:rFonts w:ascii="Times New Roman" w:hAnsi="Times New Roman" w:cs="Times New Roman"/>
                <w:sz w:val="20"/>
                <w:szCs w:val="20"/>
              </w:rPr>
              <w:t>Członków</w:t>
            </w:r>
          </w:p>
        </w:tc>
        <w:tc>
          <w:tcPr>
            <w:tcW w:w="6322" w:type="dxa"/>
            <w:shd w:val="clear" w:color="auto" w:fill="auto"/>
            <w:vAlign w:val="center"/>
          </w:tcPr>
          <w:p w14:paraId="5EC692AD">
            <w:pPr>
              <w:spacing w:after="0" w:line="276" w:lineRule="auto"/>
              <w:jc w:val="both"/>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 xml:space="preserve">Dokument reguluje m.in. zasady zwoływania posiedzeń Komisji, zadania Komisji oraz sposób prowadzenia dokumentacji i sprawozdawczości. </w:t>
            </w:r>
          </w:p>
        </w:tc>
      </w:tr>
    </w:tbl>
    <w:p w14:paraId="3E2EAA20">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dokumentów wewnętrznych LGD</w:t>
      </w:r>
      <w:r>
        <w:rPr>
          <w:rFonts w:ascii="Times New Roman" w:hAnsi="Times New Roman" w:cs="Times New Roman"/>
          <w:i/>
          <w:iCs/>
          <w:sz w:val="20"/>
          <w:szCs w:val="20"/>
        </w:rPr>
        <w:br w:type="page"/>
      </w:r>
    </w:p>
    <w:p w14:paraId="0928EA7B">
      <w:pPr>
        <w:pStyle w:val="28"/>
        <w:numPr>
          <w:ilvl w:val="0"/>
          <w:numId w:val="2"/>
        </w:numPr>
        <w:spacing w:line="276" w:lineRule="auto"/>
        <w:ind w:left="714" w:hanging="357"/>
        <w:contextualSpacing w:val="0"/>
        <w:jc w:val="both"/>
        <w:outlineLvl w:val="0"/>
        <w:rPr>
          <w:rFonts w:ascii="Times New Roman" w:hAnsi="Times New Roman" w:cs="Times New Roman"/>
          <w:b/>
          <w:bCs/>
        </w:rPr>
      </w:pPr>
      <w:bookmarkStart w:id="9" w:name="_Toc135994826"/>
      <w:r>
        <w:rPr>
          <w:rFonts w:ascii="Times New Roman" w:hAnsi="Times New Roman" w:cs="Times New Roman"/>
          <w:b/>
          <w:bCs/>
          <w:color w:val="000000" w:themeColor="text1"/>
          <w14:textFill>
            <w14:solidFill>
              <w14:schemeClr w14:val="tx1"/>
            </w14:solidFill>
          </w14:textFill>
        </w:rPr>
        <w:t>CHARAKTERYSTYKA OBSZARU I LUDNOŚCI OBJĘTEJ LSR</w:t>
      </w:r>
      <w:bookmarkEnd w:id="9"/>
    </w:p>
    <w:p w14:paraId="1232F4D8">
      <w:pPr>
        <w:pStyle w:val="28"/>
        <w:numPr>
          <w:ilvl w:val="0"/>
          <w:numId w:val="9"/>
        </w:numPr>
        <w:spacing w:before="240" w:line="276" w:lineRule="auto"/>
        <w:ind w:left="1134" w:hanging="357"/>
        <w:contextualSpacing w:val="0"/>
        <w:jc w:val="both"/>
        <w:outlineLvl w:val="1"/>
        <w:rPr>
          <w:rFonts w:ascii="Times New Roman" w:hAnsi="Times New Roman" w:cs="Times New Roman"/>
          <w:b/>
          <w:bCs/>
        </w:rPr>
      </w:pPr>
      <w:bookmarkStart w:id="10" w:name="_Toc135994827"/>
      <w:r>
        <w:rPr>
          <w:rFonts w:ascii="Times New Roman" w:hAnsi="Times New Roman" w:cs="Times New Roman"/>
          <w:b/>
          <w:bCs/>
        </w:rPr>
        <w:t>Opis i mapa obszaru</w:t>
      </w:r>
      <w:bookmarkEnd w:id="10"/>
    </w:p>
    <w:p w14:paraId="47E7B3B3">
      <w:pPr>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Obszar funkcjonowania LGD Między Dalinem i Gościbią obejmuje siedem sąsiadujących ze sobą gmin, położonych w województwie małopolskim, w powiecie myślenickim, w tym: pięć gmin wiejskich, tj. Lubień, Pcim, Raciechowice, Tokarnia, Wiśniowa oraz dwie gminy miejsko-wiejskie, tj. Myślenice i Sułkowice. Łączna powierzchnia wymienionych jednostek samorządu terytorialnego wynosi 575 km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 i jest zamieszkała przez </w:t>
      </w:r>
      <w:bookmarkStart w:id="11" w:name="_Hlk136195248"/>
      <w:r>
        <w:rPr>
          <w:rFonts w:ascii="Times New Roman" w:hAnsi="Times New Roman" w:cs="Times New Roman"/>
          <w:color w:val="000000" w:themeColor="text1"/>
          <w14:textFill>
            <w14:solidFill>
              <w14:schemeClr w14:val="tx1"/>
            </w14:solidFill>
          </w14:textFill>
        </w:rPr>
        <w:t xml:space="preserve">104 240 </w:t>
      </w:r>
      <w:bookmarkEnd w:id="11"/>
      <w:r>
        <w:rPr>
          <w:rFonts w:ascii="Times New Roman" w:hAnsi="Times New Roman" w:cs="Times New Roman"/>
          <w:color w:val="000000" w:themeColor="text1"/>
          <w14:textFill>
            <w14:solidFill>
              <w14:schemeClr w14:val="tx1"/>
            </w14:solidFill>
          </w14:textFill>
        </w:rPr>
        <w:t>osób (dane GUS według stanu na dzień 31.12.2020 r.). Na mapie 1 zobrazowano graficznie granice LGD, natomiast w tabeli 2 przedstawiono podstawowe dane dotyczące gmin partnerstwa.</w:t>
      </w:r>
    </w:p>
    <w:p w14:paraId="1EE5B179">
      <w:pPr>
        <w:spacing w:after="0" w:line="240" w:lineRule="auto"/>
        <w:jc w:val="center"/>
        <w:rPr>
          <w:rFonts w:ascii="Times New Roman" w:hAnsi="Times New Roman" w:eastAsia="Calibri" w:cs="Times New Roman"/>
          <w:b/>
          <w:bCs/>
          <w:sz w:val="20"/>
          <w:szCs w:val="20"/>
        </w:rPr>
      </w:pPr>
      <w:bookmarkStart w:id="12" w:name="_Toc120467264"/>
      <w:bookmarkStart w:id="13" w:name="_Toc134966293"/>
      <w:bookmarkStart w:id="14" w:name="_Toc136241311"/>
      <w:bookmarkStart w:id="15" w:name="_Toc112838928"/>
      <w:r>
        <w:rPr>
          <w:rFonts w:ascii="Times New Roman" w:hAnsi="Times New Roman" w:eastAsia="Calibri" w:cs="Times New Roman"/>
          <w:b/>
          <w:bCs/>
          <w:sz w:val="20"/>
          <w:szCs w:val="20"/>
        </w:rPr>
        <w:t xml:space="preserve">Mapa </w:t>
      </w:r>
      <w:r>
        <w:rPr>
          <w:rFonts w:ascii="Times New Roman" w:hAnsi="Times New Roman" w:eastAsia="Calibri" w:cs="Times New Roman"/>
          <w:i/>
          <w:iCs/>
          <w:color w:val="44546A" w:themeColor="text2"/>
          <w:sz w:val="18"/>
          <w:szCs w:val="18"/>
          <w14:textFill>
            <w14:solidFill>
              <w14:schemeClr w14:val="tx2"/>
            </w14:solidFill>
          </w14:textFill>
        </w:rPr>
        <w:fldChar w:fldCharType="begin"/>
      </w:r>
      <w:r>
        <w:rPr>
          <w:rFonts w:ascii="Times New Roman" w:hAnsi="Times New Roman" w:eastAsia="Calibri" w:cs="Times New Roman"/>
          <w:b/>
          <w:bCs/>
          <w:sz w:val="20"/>
          <w:szCs w:val="20"/>
        </w:rPr>
        <w:instrText xml:space="preserve"> SEQ Mapa \* ARABIC </w:instrText>
      </w:r>
      <w:r>
        <w:rPr>
          <w:rFonts w:ascii="Times New Roman" w:hAnsi="Times New Roman" w:eastAsia="Calibri" w:cs="Times New Roman"/>
          <w:i/>
          <w:iCs/>
          <w:color w:val="44546A" w:themeColor="text2"/>
          <w:sz w:val="18"/>
          <w:szCs w:val="18"/>
          <w14:textFill>
            <w14:solidFill>
              <w14:schemeClr w14:val="tx2"/>
            </w14:solidFill>
          </w14:textFill>
        </w:rPr>
        <w:fldChar w:fldCharType="separate"/>
      </w:r>
      <w:r>
        <w:rPr>
          <w:rFonts w:ascii="Times New Roman" w:hAnsi="Times New Roman" w:eastAsia="Calibri" w:cs="Times New Roman"/>
          <w:b/>
          <w:bCs/>
          <w:sz w:val="20"/>
          <w:szCs w:val="20"/>
        </w:rPr>
        <w:t>1</w:t>
      </w:r>
      <w:r>
        <w:rPr>
          <w:rFonts w:ascii="Times New Roman" w:hAnsi="Times New Roman" w:eastAsia="Calibri" w:cs="Times New Roman"/>
          <w:i/>
          <w:iCs/>
          <w:color w:val="44546A" w:themeColor="text2"/>
          <w:sz w:val="18"/>
          <w:szCs w:val="18"/>
          <w14:textFill>
            <w14:solidFill>
              <w14:schemeClr w14:val="tx2"/>
            </w14:solidFill>
          </w14:textFill>
        </w:rPr>
        <w:fldChar w:fldCharType="end"/>
      </w:r>
      <w:r>
        <w:rPr>
          <w:rFonts w:ascii="Times New Roman" w:hAnsi="Times New Roman" w:eastAsia="Calibri" w:cs="Times New Roman"/>
          <w:b/>
          <w:bCs/>
          <w:sz w:val="20"/>
          <w:szCs w:val="20"/>
        </w:rPr>
        <w:t xml:space="preserve"> Gminy objęte partnerstwem LGD </w:t>
      </w:r>
      <w:bookmarkEnd w:id="12"/>
      <w:bookmarkEnd w:id="13"/>
      <w:r>
        <w:rPr>
          <w:rFonts w:ascii="Times New Roman" w:hAnsi="Times New Roman" w:eastAsia="Calibri" w:cs="Times New Roman"/>
          <w:b/>
          <w:bCs/>
          <w:sz w:val="20"/>
          <w:szCs w:val="20"/>
        </w:rPr>
        <w:t>Między Dalinem i Gościbią</w:t>
      </w:r>
      <w:bookmarkEnd w:id="14"/>
    </w:p>
    <w:p w14:paraId="6CD62175">
      <w:pPr>
        <w:spacing w:after="0" w:line="256" w:lineRule="auto"/>
        <w:jc w:val="center"/>
        <w:rPr>
          <w:rFonts w:ascii="Times New Roman" w:hAnsi="Times New Roman" w:eastAsia="Calibri" w:cs="Times New Roman"/>
        </w:rPr>
      </w:pPr>
      <w:r>
        <w:rPr>
          <w:lang w:eastAsia="pl-PL"/>
        </w:rPr>
        <w:drawing>
          <wp:inline distT="0" distB="0" distL="0" distR="0">
            <wp:extent cx="4495800" cy="38195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11" cstate="print">
                      <a:extLst>
                        <a:ext uri="{28A0092B-C50C-407E-A947-70E740481C1C}">
                          <a14:useLocalDpi xmlns:a14="http://schemas.microsoft.com/office/drawing/2010/main" val="0"/>
                        </a:ext>
                      </a:extLst>
                    </a:blip>
                    <a:srcRect l="5726" t="2072" r="13846" b="1303"/>
                    <a:stretch>
                      <a:fillRect/>
                    </a:stretch>
                  </pic:blipFill>
                  <pic:spPr>
                    <a:xfrm>
                      <a:off x="0" y="0"/>
                      <a:ext cx="4511850" cy="3832933"/>
                    </a:xfrm>
                    <a:prstGeom prst="rect">
                      <a:avLst/>
                    </a:prstGeom>
                    <a:noFill/>
                    <a:ln>
                      <a:noFill/>
                    </a:ln>
                  </pic:spPr>
                </pic:pic>
              </a:graphicData>
            </a:graphic>
          </wp:inline>
        </w:drawing>
      </w:r>
    </w:p>
    <w:p w14:paraId="6DCE6FAD">
      <w:pPr>
        <w:spacing w:after="200" w:line="240" w:lineRule="auto"/>
        <w:jc w:val="center"/>
        <w:rPr>
          <w:rFonts w:ascii="Times New Roman" w:hAnsi="Times New Roman" w:eastAsia="Calibri" w:cs="Times New Roman"/>
          <w:i/>
          <w:iCs/>
          <w:sz w:val="20"/>
          <w:szCs w:val="20"/>
        </w:rPr>
      </w:pPr>
      <w:r>
        <w:rPr>
          <w:rFonts w:ascii="Times New Roman" w:hAnsi="Times New Roman" w:eastAsia="Calibri" w:cs="Times New Roman"/>
          <w:i/>
          <w:iCs/>
          <w:sz w:val="20"/>
          <w:szCs w:val="20"/>
        </w:rPr>
        <w:t>Źródło: opracowanie własne</w:t>
      </w:r>
    </w:p>
    <w:p w14:paraId="239F2886">
      <w:pPr>
        <w:spacing w:after="0" w:line="240" w:lineRule="auto"/>
        <w:jc w:val="center"/>
        <w:rPr>
          <w:rFonts w:ascii="Times New Roman" w:hAnsi="Times New Roman" w:eastAsia="Calibri" w:cs="Times New Roman"/>
          <w:b/>
          <w:bCs/>
          <w:sz w:val="20"/>
          <w:szCs w:val="20"/>
        </w:rPr>
      </w:pPr>
      <w:bookmarkStart w:id="16" w:name="_Toc120467243"/>
      <w:bookmarkStart w:id="17" w:name="_Toc134966351"/>
      <w:bookmarkStart w:id="18" w:name="_Toc136241390"/>
      <w:r>
        <w:rPr>
          <w:rFonts w:ascii="Times New Roman" w:hAnsi="Times New Roman" w:eastAsia="Calibri" w:cs="Times New Roman"/>
          <w:b/>
          <w:bCs/>
          <w:sz w:val="20"/>
          <w:szCs w:val="20"/>
        </w:rPr>
        <w:t xml:space="preserve">Tabela </w:t>
      </w:r>
      <w:r>
        <w:rPr>
          <w:rFonts w:ascii="Times New Roman" w:hAnsi="Times New Roman" w:eastAsia="Calibri" w:cs="Times New Roman"/>
          <w:i/>
          <w:iCs/>
          <w:color w:val="44546A" w:themeColor="text2"/>
          <w:sz w:val="18"/>
          <w:szCs w:val="18"/>
          <w14:textFill>
            <w14:solidFill>
              <w14:schemeClr w14:val="tx2"/>
            </w14:solidFill>
          </w14:textFill>
        </w:rPr>
        <w:fldChar w:fldCharType="begin"/>
      </w:r>
      <w:r>
        <w:rPr>
          <w:rFonts w:ascii="Times New Roman" w:hAnsi="Times New Roman" w:eastAsia="Calibri" w:cs="Times New Roman"/>
          <w:b/>
          <w:bCs/>
          <w:sz w:val="20"/>
          <w:szCs w:val="20"/>
        </w:rPr>
        <w:instrText xml:space="preserve"> SEQ Tabela \* ARABIC </w:instrText>
      </w:r>
      <w:r>
        <w:rPr>
          <w:rFonts w:ascii="Times New Roman" w:hAnsi="Times New Roman" w:eastAsia="Calibri" w:cs="Times New Roman"/>
          <w:i/>
          <w:iCs/>
          <w:color w:val="44546A" w:themeColor="text2"/>
          <w:sz w:val="18"/>
          <w:szCs w:val="18"/>
          <w14:textFill>
            <w14:solidFill>
              <w14:schemeClr w14:val="tx2"/>
            </w14:solidFill>
          </w14:textFill>
        </w:rPr>
        <w:fldChar w:fldCharType="separate"/>
      </w:r>
      <w:r>
        <w:rPr>
          <w:rFonts w:ascii="Times New Roman" w:hAnsi="Times New Roman" w:eastAsia="Calibri" w:cs="Times New Roman"/>
          <w:b/>
          <w:bCs/>
          <w:sz w:val="20"/>
          <w:szCs w:val="20"/>
        </w:rPr>
        <w:t>2</w:t>
      </w:r>
      <w:r>
        <w:rPr>
          <w:rFonts w:ascii="Times New Roman" w:hAnsi="Times New Roman" w:eastAsia="Calibri" w:cs="Times New Roman"/>
          <w:i/>
          <w:iCs/>
          <w:color w:val="44546A" w:themeColor="text2"/>
          <w:sz w:val="18"/>
          <w:szCs w:val="18"/>
          <w14:textFill>
            <w14:solidFill>
              <w14:schemeClr w14:val="tx2"/>
            </w14:solidFill>
          </w14:textFill>
        </w:rPr>
        <w:fldChar w:fldCharType="end"/>
      </w:r>
      <w:r>
        <w:rPr>
          <w:rFonts w:ascii="Times New Roman" w:hAnsi="Times New Roman" w:eastAsia="Calibri" w:cs="Times New Roman"/>
          <w:b/>
          <w:bCs/>
          <w:sz w:val="20"/>
          <w:szCs w:val="20"/>
        </w:rPr>
        <w:t xml:space="preserve"> Podstawowe dane o gminach obszaru LGD </w:t>
      </w:r>
      <w:bookmarkEnd w:id="16"/>
      <w:bookmarkEnd w:id="17"/>
      <w:r>
        <w:rPr>
          <w:rFonts w:ascii="Times New Roman" w:hAnsi="Times New Roman" w:eastAsia="Calibri" w:cs="Times New Roman"/>
          <w:b/>
          <w:bCs/>
          <w:sz w:val="20"/>
          <w:szCs w:val="20"/>
        </w:rPr>
        <w:t>Między Dalinem i Gościbią</w:t>
      </w:r>
      <w:bookmarkEnd w:id="18"/>
    </w:p>
    <w:tbl>
      <w:tblPr>
        <w:tblStyle w:val="6"/>
        <w:tblW w:w="5000" w:type="pct"/>
        <w:tblInd w:w="0" w:type="dxa"/>
        <w:tblLayout w:type="autofit"/>
        <w:tblCellMar>
          <w:top w:w="0" w:type="dxa"/>
          <w:left w:w="70" w:type="dxa"/>
          <w:bottom w:w="0" w:type="dxa"/>
          <w:right w:w="70" w:type="dxa"/>
        </w:tblCellMar>
      </w:tblPr>
      <w:tblGrid>
        <w:gridCol w:w="1709"/>
        <w:gridCol w:w="1864"/>
        <w:gridCol w:w="1864"/>
        <w:gridCol w:w="2478"/>
        <w:gridCol w:w="2429"/>
      </w:tblGrid>
      <w:tr w14:paraId="18B83C8D">
        <w:tblPrEx>
          <w:tblCellMar>
            <w:top w:w="0" w:type="dxa"/>
            <w:left w:w="70" w:type="dxa"/>
            <w:bottom w:w="0" w:type="dxa"/>
            <w:right w:w="70" w:type="dxa"/>
          </w:tblCellMar>
        </w:tblPrEx>
        <w:trPr>
          <w:trHeight w:val="340" w:hRule="atLeast"/>
        </w:trPr>
        <w:tc>
          <w:tcPr>
            <w:tcW w:w="8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2AE487">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Nazwa gminy</w:t>
            </w:r>
          </w:p>
        </w:tc>
        <w:tc>
          <w:tcPr>
            <w:tcW w:w="901" w:type="pct"/>
            <w:tcBorders>
              <w:top w:val="single" w:color="auto" w:sz="4" w:space="0"/>
              <w:left w:val="nil"/>
              <w:bottom w:val="single" w:color="auto" w:sz="4" w:space="0"/>
              <w:right w:val="single" w:color="auto" w:sz="4" w:space="0"/>
            </w:tcBorders>
            <w:vAlign w:val="center"/>
          </w:tcPr>
          <w:p w14:paraId="03E0418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Calibri" w:cs="Times New Roman"/>
                <w:b/>
                <w:bCs/>
                <w:sz w:val="20"/>
                <w:szCs w:val="20"/>
              </w:rPr>
              <w:t>Liczba ludności</w:t>
            </w:r>
          </w:p>
        </w:tc>
        <w:tc>
          <w:tcPr>
            <w:tcW w:w="9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8DEA8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Typ gminy</w:t>
            </w:r>
          </w:p>
        </w:tc>
        <w:tc>
          <w:tcPr>
            <w:tcW w:w="1198" w:type="pct"/>
            <w:tcBorders>
              <w:top w:val="single" w:color="auto" w:sz="4" w:space="0"/>
              <w:left w:val="nil"/>
              <w:bottom w:val="single" w:color="auto" w:sz="4" w:space="0"/>
              <w:right w:val="single" w:color="auto" w:sz="4" w:space="0"/>
            </w:tcBorders>
            <w:shd w:val="clear" w:color="auto" w:fill="auto"/>
            <w:noWrap/>
            <w:vAlign w:val="center"/>
          </w:tcPr>
          <w:p w14:paraId="766B34E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Identyfikator gminy</w:t>
            </w:r>
          </w:p>
        </w:tc>
        <w:tc>
          <w:tcPr>
            <w:tcW w:w="1174" w:type="pct"/>
            <w:tcBorders>
              <w:top w:val="single" w:color="auto" w:sz="4" w:space="0"/>
              <w:left w:val="nil"/>
              <w:bottom w:val="single" w:color="auto" w:sz="4" w:space="0"/>
              <w:right w:val="single" w:color="auto" w:sz="4" w:space="0"/>
            </w:tcBorders>
            <w:shd w:val="clear" w:color="auto" w:fill="auto"/>
            <w:noWrap/>
            <w:vAlign w:val="center"/>
          </w:tcPr>
          <w:p w14:paraId="09DA59E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Powierzchnia (km</w:t>
            </w:r>
            <w:r>
              <w:rPr>
                <w:rFonts w:ascii="Times New Roman" w:hAnsi="Times New Roman" w:eastAsia="Times New Roman" w:cs="Times New Roman"/>
                <w:b/>
                <w:bCs/>
                <w:color w:val="000000"/>
                <w:sz w:val="20"/>
                <w:szCs w:val="20"/>
                <w:vertAlign w:val="superscript"/>
                <w:lang w:eastAsia="pl-PL"/>
              </w:rPr>
              <w:t>2</w:t>
            </w:r>
            <w:r>
              <w:rPr>
                <w:rFonts w:ascii="Times New Roman" w:hAnsi="Times New Roman" w:eastAsia="Times New Roman" w:cs="Times New Roman"/>
                <w:b/>
                <w:bCs/>
                <w:color w:val="000000"/>
                <w:sz w:val="20"/>
                <w:szCs w:val="20"/>
                <w:lang w:eastAsia="pl-PL"/>
              </w:rPr>
              <w:t>)</w:t>
            </w:r>
          </w:p>
        </w:tc>
      </w:tr>
      <w:tr w14:paraId="0A0356E9">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6EF7BF31">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Lubień</w:t>
            </w:r>
          </w:p>
        </w:tc>
        <w:tc>
          <w:tcPr>
            <w:tcW w:w="901" w:type="pct"/>
            <w:tcBorders>
              <w:top w:val="single" w:color="auto" w:sz="4" w:space="0"/>
              <w:left w:val="nil"/>
              <w:bottom w:val="single" w:color="auto" w:sz="4" w:space="0"/>
              <w:right w:val="single" w:color="auto" w:sz="4" w:space="0"/>
            </w:tcBorders>
            <w:vAlign w:val="center"/>
          </w:tcPr>
          <w:p w14:paraId="680742E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10 094</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316EB01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wiejska</w:t>
            </w:r>
          </w:p>
        </w:tc>
        <w:tc>
          <w:tcPr>
            <w:tcW w:w="1198" w:type="pct"/>
            <w:tcBorders>
              <w:top w:val="nil"/>
              <w:left w:val="nil"/>
              <w:bottom w:val="single" w:color="auto" w:sz="4" w:space="0"/>
              <w:right w:val="single" w:color="auto" w:sz="4" w:space="0"/>
            </w:tcBorders>
            <w:shd w:val="clear" w:color="auto" w:fill="auto"/>
            <w:noWrap/>
            <w:vAlign w:val="center"/>
          </w:tcPr>
          <w:p w14:paraId="7E6539F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1209022</w:t>
            </w:r>
          </w:p>
        </w:tc>
        <w:tc>
          <w:tcPr>
            <w:tcW w:w="1174" w:type="pct"/>
            <w:tcBorders>
              <w:top w:val="nil"/>
              <w:left w:val="nil"/>
              <w:bottom w:val="single" w:color="auto" w:sz="4" w:space="0"/>
              <w:right w:val="single" w:color="auto" w:sz="4" w:space="0"/>
            </w:tcBorders>
            <w:shd w:val="clear" w:color="auto" w:fill="auto"/>
            <w:noWrap/>
            <w:vAlign w:val="center"/>
          </w:tcPr>
          <w:p w14:paraId="0C6E997F">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r>
      <w:tr w14:paraId="7AE4D67E">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3D29DDD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Myślenice</w:t>
            </w:r>
          </w:p>
        </w:tc>
        <w:tc>
          <w:tcPr>
            <w:tcW w:w="901" w:type="pct"/>
            <w:tcBorders>
              <w:top w:val="single" w:color="auto" w:sz="4" w:space="0"/>
              <w:left w:val="nil"/>
              <w:bottom w:val="single" w:color="auto" w:sz="4" w:space="0"/>
              <w:right w:val="single" w:color="auto" w:sz="4" w:space="0"/>
            </w:tcBorders>
            <w:vAlign w:val="center"/>
          </w:tcPr>
          <w:p w14:paraId="4BF54E6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45 166</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0A307FF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miejsko-wiejska</w:t>
            </w:r>
          </w:p>
        </w:tc>
        <w:tc>
          <w:tcPr>
            <w:tcW w:w="1198" w:type="pct"/>
            <w:tcBorders>
              <w:top w:val="nil"/>
              <w:left w:val="nil"/>
              <w:bottom w:val="single" w:color="auto" w:sz="4" w:space="0"/>
              <w:right w:val="single" w:color="auto" w:sz="4" w:space="0"/>
            </w:tcBorders>
            <w:shd w:val="clear" w:color="auto" w:fill="auto"/>
            <w:noWrap/>
            <w:vAlign w:val="center"/>
          </w:tcPr>
          <w:p w14:paraId="01A9C7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1209033</w:t>
            </w:r>
          </w:p>
        </w:tc>
        <w:tc>
          <w:tcPr>
            <w:tcW w:w="1174" w:type="pct"/>
            <w:tcBorders>
              <w:top w:val="nil"/>
              <w:left w:val="nil"/>
              <w:bottom w:val="single" w:color="auto" w:sz="4" w:space="0"/>
              <w:right w:val="single" w:color="auto" w:sz="4" w:space="0"/>
            </w:tcBorders>
            <w:shd w:val="clear" w:color="auto" w:fill="auto"/>
            <w:noWrap/>
            <w:vAlign w:val="center"/>
          </w:tcPr>
          <w:p w14:paraId="695EF4DE">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154</w:t>
            </w:r>
          </w:p>
        </w:tc>
      </w:tr>
      <w:tr w14:paraId="0F4EEEB0">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3805900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Pcim</w:t>
            </w:r>
          </w:p>
        </w:tc>
        <w:tc>
          <w:tcPr>
            <w:tcW w:w="901" w:type="pct"/>
            <w:tcBorders>
              <w:top w:val="single" w:color="auto" w:sz="4" w:space="0"/>
              <w:left w:val="nil"/>
              <w:bottom w:val="single" w:color="auto" w:sz="4" w:space="0"/>
              <w:right w:val="single" w:color="auto" w:sz="4" w:space="0"/>
            </w:tcBorders>
            <w:vAlign w:val="center"/>
          </w:tcPr>
          <w:p w14:paraId="70AC369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11 171</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4872C73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wiejska</w:t>
            </w:r>
          </w:p>
        </w:tc>
        <w:tc>
          <w:tcPr>
            <w:tcW w:w="1198" w:type="pct"/>
            <w:tcBorders>
              <w:top w:val="nil"/>
              <w:left w:val="nil"/>
              <w:bottom w:val="single" w:color="auto" w:sz="4" w:space="0"/>
              <w:right w:val="single" w:color="auto" w:sz="4" w:space="0"/>
            </w:tcBorders>
            <w:shd w:val="clear" w:color="auto" w:fill="auto"/>
            <w:noWrap/>
            <w:vAlign w:val="center"/>
          </w:tcPr>
          <w:p w14:paraId="76505F3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1209042</w:t>
            </w:r>
          </w:p>
        </w:tc>
        <w:tc>
          <w:tcPr>
            <w:tcW w:w="1174" w:type="pct"/>
            <w:tcBorders>
              <w:top w:val="nil"/>
              <w:left w:val="nil"/>
              <w:bottom w:val="single" w:color="auto" w:sz="4" w:space="0"/>
              <w:right w:val="single" w:color="auto" w:sz="4" w:space="0"/>
            </w:tcBorders>
            <w:shd w:val="clear" w:color="auto" w:fill="auto"/>
            <w:noWrap/>
            <w:vAlign w:val="center"/>
          </w:tcPr>
          <w:p w14:paraId="0460C414">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w:t>
            </w:r>
          </w:p>
        </w:tc>
      </w:tr>
      <w:tr w14:paraId="0856CEFD">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62278AF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Raciechowice</w:t>
            </w:r>
          </w:p>
        </w:tc>
        <w:tc>
          <w:tcPr>
            <w:tcW w:w="901" w:type="pct"/>
            <w:tcBorders>
              <w:top w:val="single" w:color="auto" w:sz="4" w:space="0"/>
              <w:left w:val="nil"/>
              <w:bottom w:val="single" w:color="auto" w:sz="4" w:space="0"/>
              <w:right w:val="single" w:color="auto" w:sz="4" w:space="0"/>
            </w:tcBorders>
            <w:vAlign w:val="center"/>
          </w:tcPr>
          <w:p w14:paraId="7A2AACD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6 414</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220BD67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wiejska</w:t>
            </w:r>
          </w:p>
        </w:tc>
        <w:tc>
          <w:tcPr>
            <w:tcW w:w="1198" w:type="pct"/>
            <w:tcBorders>
              <w:top w:val="nil"/>
              <w:left w:val="nil"/>
              <w:bottom w:val="single" w:color="auto" w:sz="4" w:space="0"/>
              <w:right w:val="single" w:color="auto" w:sz="4" w:space="0"/>
            </w:tcBorders>
            <w:shd w:val="clear" w:color="auto" w:fill="auto"/>
            <w:noWrap/>
            <w:vAlign w:val="center"/>
          </w:tcPr>
          <w:p w14:paraId="3B2F62C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1209052</w:t>
            </w:r>
          </w:p>
        </w:tc>
        <w:tc>
          <w:tcPr>
            <w:tcW w:w="1174" w:type="pct"/>
            <w:tcBorders>
              <w:top w:val="nil"/>
              <w:left w:val="nil"/>
              <w:bottom w:val="single" w:color="auto" w:sz="4" w:space="0"/>
              <w:right w:val="single" w:color="auto" w:sz="4" w:space="0"/>
            </w:tcBorders>
            <w:shd w:val="clear" w:color="auto" w:fill="auto"/>
            <w:noWrap/>
            <w:vAlign w:val="center"/>
          </w:tcPr>
          <w:p w14:paraId="23EE4EEE">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w:t>
            </w:r>
          </w:p>
        </w:tc>
      </w:tr>
      <w:tr w14:paraId="1719236C">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054F812D">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Sułkowice</w:t>
            </w:r>
          </w:p>
        </w:tc>
        <w:tc>
          <w:tcPr>
            <w:tcW w:w="901" w:type="pct"/>
            <w:tcBorders>
              <w:top w:val="single" w:color="auto" w:sz="4" w:space="0"/>
              <w:left w:val="nil"/>
              <w:bottom w:val="single" w:color="auto" w:sz="4" w:space="0"/>
              <w:right w:val="single" w:color="auto" w:sz="4" w:space="0"/>
            </w:tcBorders>
            <w:vAlign w:val="center"/>
          </w:tcPr>
          <w:p w14:paraId="567A219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15 053</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561B56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miejsko-wiejska</w:t>
            </w:r>
          </w:p>
        </w:tc>
        <w:tc>
          <w:tcPr>
            <w:tcW w:w="1198" w:type="pct"/>
            <w:tcBorders>
              <w:top w:val="nil"/>
              <w:left w:val="nil"/>
              <w:bottom w:val="single" w:color="auto" w:sz="4" w:space="0"/>
              <w:right w:val="single" w:color="auto" w:sz="4" w:space="0"/>
            </w:tcBorders>
            <w:shd w:val="clear" w:color="auto" w:fill="auto"/>
            <w:noWrap/>
            <w:vAlign w:val="center"/>
          </w:tcPr>
          <w:p w14:paraId="71DF58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1209073</w:t>
            </w:r>
          </w:p>
        </w:tc>
        <w:tc>
          <w:tcPr>
            <w:tcW w:w="1174" w:type="pct"/>
            <w:tcBorders>
              <w:top w:val="nil"/>
              <w:left w:val="nil"/>
              <w:bottom w:val="single" w:color="auto" w:sz="4" w:space="0"/>
              <w:right w:val="single" w:color="auto" w:sz="4" w:space="0"/>
            </w:tcBorders>
            <w:shd w:val="clear" w:color="auto" w:fill="auto"/>
            <w:noWrap/>
            <w:vAlign w:val="center"/>
          </w:tcPr>
          <w:p w14:paraId="205279D8">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w:t>
            </w:r>
          </w:p>
        </w:tc>
      </w:tr>
      <w:tr w14:paraId="42E86B7E">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3A709271">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Tokarnia</w:t>
            </w:r>
          </w:p>
        </w:tc>
        <w:tc>
          <w:tcPr>
            <w:tcW w:w="901" w:type="pct"/>
            <w:tcBorders>
              <w:top w:val="single" w:color="auto" w:sz="4" w:space="0"/>
              <w:left w:val="nil"/>
              <w:bottom w:val="single" w:color="auto" w:sz="4" w:space="0"/>
              <w:right w:val="single" w:color="auto" w:sz="4" w:space="0"/>
            </w:tcBorders>
            <w:vAlign w:val="center"/>
          </w:tcPr>
          <w:p w14:paraId="6973645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8 861</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0BAED95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wiejska</w:t>
            </w:r>
          </w:p>
        </w:tc>
        <w:tc>
          <w:tcPr>
            <w:tcW w:w="1198" w:type="pct"/>
            <w:tcBorders>
              <w:top w:val="nil"/>
              <w:left w:val="nil"/>
              <w:bottom w:val="single" w:color="auto" w:sz="4" w:space="0"/>
              <w:right w:val="single" w:color="auto" w:sz="4" w:space="0"/>
            </w:tcBorders>
            <w:shd w:val="clear" w:color="auto" w:fill="auto"/>
            <w:noWrap/>
            <w:vAlign w:val="center"/>
          </w:tcPr>
          <w:p w14:paraId="4DD47B6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1209082</w:t>
            </w:r>
          </w:p>
        </w:tc>
        <w:tc>
          <w:tcPr>
            <w:tcW w:w="1174" w:type="pct"/>
            <w:tcBorders>
              <w:top w:val="nil"/>
              <w:left w:val="nil"/>
              <w:bottom w:val="single" w:color="auto" w:sz="4" w:space="0"/>
              <w:right w:val="single" w:color="auto" w:sz="4" w:space="0"/>
            </w:tcBorders>
            <w:shd w:val="clear" w:color="auto" w:fill="auto"/>
            <w:noWrap/>
            <w:vAlign w:val="center"/>
          </w:tcPr>
          <w:p w14:paraId="6B8E087C">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69</w:t>
            </w:r>
          </w:p>
        </w:tc>
      </w:tr>
      <w:tr w14:paraId="72A8A72A">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697090B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Wiśniowa</w:t>
            </w:r>
          </w:p>
        </w:tc>
        <w:tc>
          <w:tcPr>
            <w:tcW w:w="901" w:type="pct"/>
            <w:tcBorders>
              <w:top w:val="single" w:color="auto" w:sz="4" w:space="0"/>
              <w:left w:val="nil"/>
              <w:bottom w:val="single" w:color="auto" w:sz="4" w:space="0"/>
              <w:right w:val="single" w:color="auto" w:sz="4" w:space="0"/>
            </w:tcBorders>
            <w:vAlign w:val="center"/>
          </w:tcPr>
          <w:p w14:paraId="531500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Calibri" w:cs="Times New Roman"/>
                <w:sz w:val="20"/>
                <w:szCs w:val="20"/>
              </w:rPr>
              <w:t>7 481</w:t>
            </w:r>
          </w:p>
        </w:tc>
        <w:tc>
          <w:tcPr>
            <w:tcW w:w="901" w:type="pct"/>
            <w:tcBorders>
              <w:top w:val="nil"/>
              <w:left w:val="single" w:color="auto" w:sz="4" w:space="0"/>
              <w:bottom w:val="single" w:color="auto" w:sz="4" w:space="0"/>
              <w:right w:val="single" w:color="auto" w:sz="4" w:space="0"/>
            </w:tcBorders>
            <w:shd w:val="clear" w:color="auto" w:fill="auto"/>
            <w:noWrap/>
            <w:vAlign w:val="center"/>
          </w:tcPr>
          <w:p w14:paraId="1E6CDBC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wiejska</w:t>
            </w:r>
          </w:p>
        </w:tc>
        <w:tc>
          <w:tcPr>
            <w:tcW w:w="1198" w:type="pct"/>
            <w:tcBorders>
              <w:top w:val="nil"/>
              <w:left w:val="nil"/>
              <w:bottom w:val="single" w:color="auto" w:sz="4" w:space="0"/>
              <w:right w:val="single" w:color="auto" w:sz="4" w:space="0"/>
            </w:tcBorders>
            <w:shd w:val="clear" w:color="auto" w:fill="auto"/>
            <w:noWrap/>
            <w:vAlign w:val="center"/>
          </w:tcPr>
          <w:p w14:paraId="5138419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1209092</w:t>
            </w:r>
          </w:p>
        </w:tc>
        <w:tc>
          <w:tcPr>
            <w:tcW w:w="1174" w:type="pct"/>
            <w:tcBorders>
              <w:top w:val="nil"/>
              <w:left w:val="nil"/>
              <w:bottom w:val="single" w:color="auto" w:sz="4" w:space="0"/>
              <w:right w:val="single" w:color="auto" w:sz="4" w:space="0"/>
            </w:tcBorders>
            <w:shd w:val="clear" w:color="auto" w:fill="auto"/>
            <w:noWrap/>
            <w:vAlign w:val="center"/>
          </w:tcPr>
          <w:p w14:paraId="76388DE6">
            <w:pPr>
              <w:spacing w:after="0" w:line="240" w:lineRule="auto"/>
              <w:jc w:val="right"/>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67</w:t>
            </w:r>
          </w:p>
        </w:tc>
      </w:tr>
      <w:tr w14:paraId="6D976F32">
        <w:tblPrEx>
          <w:tblCellMar>
            <w:top w:w="0" w:type="dxa"/>
            <w:left w:w="70" w:type="dxa"/>
            <w:bottom w:w="0" w:type="dxa"/>
            <w:right w:w="70" w:type="dxa"/>
          </w:tblCellMar>
        </w:tblPrEx>
        <w:trPr>
          <w:trHeight w:val="340" w:hRule="atLeast"/>
        </w:trPr>
        <w:tc>
          <w:tcPr>
            <w:tcW w:w="826" w:type="pct"/>
            <w:tcBorders>
              <w:top w:val="nil"/>
              <w:left w:val="single" w:color="auto" w:sz="4" w:space="0"/>
              <w:bottom w:val="single" w:color="auto" w:sz="4" w:space="0"/>
              <w:right w:val="single" w:color="auto" w:sz="4" w:space="0"/>
            </w:tcBorders>
            <w:shd w:val="clear" w:color="auto" w:fill="auto"/>
            <w:noWrap/>
            <w:vAlign w:val="center"/>
          </w:tcPr>
          <w:p w14:paraId="4B21E4C7">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RAZEM LGD</w:t>
            </w:r>
          </w:p>
        </w:tc>
        <w:tc>
          <w:tcPr>
            <w:tcW w:w="901" w:type="pct"/>
            <w:tcBorders>
              <w:top w:val="single" w:color="auto" w:sz="4" w:space="0"/>
              <w:left w:val="nil"/>
              <w:bottom w:val="single" w:color="auto" w:sz="4" w:space="0"/>
              <w:right w:val="single" w:color="auto" w:sz="4" w:space="0"/>
            </w:tcBorders>
            <w:vAlign w:val="center"/>
          </w:tcPr>
          <w:p w14:paraId="6A1445B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Calibri" w:cs="Times New Roman"/>
                <w:b/>
                <w:bCs/>
                <w:sz w:val="20"/>
                <w:szCs w:val="20"/>
              </w:rPr>
              <w:t>104 240</w:t>
            </w:r>
          </w:p>
        </w:tc>
        <w:tc>
          <w:tcPr>
            <w:tcW w:w="3273"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E527D22">
            <w:pPr>
              <w:spacing w:after="0" w:line="240" w:lineRule="auto"/>
              <w:jc w:val="right"/>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575</w:t>
            </w:r>
          </w:p>
        </w:tc>
      </w:tr>
    </w:tbl>
    <w:p w14:paraId="5B18BA53">
      <w:pPr>
        <w:spacing w:after="200" w:line="240" w:lineRule="auto"/>
        <w:jc w:val="center"/>
        <w:rPr>
          <w:rFonts w:ascii="Times New Roman" w:hAnsi="Times New Roman" w:eastAsia="Calibri" w:cs="Times New Roman"/>
          <w:i/>
          <w:iCs/>
          <w:sz w:val="20"/>
          <w:szCs w:val="20"/>
        </w:rPr>
      </w:pPr>
      <w:r>
        <w:rPr>
          <w:rFonts w:ascii="Times New Roman" w:hAnsi="Times New Roman" w:eastAsia="Calibri" w:cs="Times New Roman"/>
          <w:i/>
          <w:iCs/>
          <w:sz w:val="20"/>
          <w:szCs w:val="20"/>
        </w:rPr>
        <w:t>Źródło: opracowanie własne na podstawie danych GUS</w:t>
      </w:r>
    </w:p>
    <w:bookmarkEnd w:id="15"/>
    <w:p w14:paraId="5EB0EEA6">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Cały obszar jest spójny pod względem przestrzennym. Wszystkie gminy obszaru LGD administracyjnie położone są w powiecie myślenickim. W skład LGD Między Dalinem i Gościbią wchodzi więcej niż dwie gminy,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a każda para gmin pozostaje w bezpośrednim lub przynajmniej w dalszym sąsiedztwie, tworząc tym samym zwarty geograficznie obszar, znajdujący się w jednym obrysie (mapa 1). Siedziba LGD oraz Biuro LGD znajduje się w Myślenicach.</w:t>
      </w:r>
    </w:p>
    <w:p w14:paraId="44C030BE">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Niniejsza Strategia Rozwoju Lokalnego Kierowanego przez Społeczność jest strategią wielofunduszową, finansowaną w ramach Europejskiego Funduszu Rolnego na rzecz Rozwoju Obszarów Wiejskich w ramach programu </w:t>
      </w:r>
      <w:r>
        <w:rPr>
          <w:rFonts w:ascii="Times New Roman" w:hAnsi="Times New Roman" w:cs="Times New Roman"/>
          <w:i/>
          <w:iCs/>
          <w:color w:val="000000" w:themeColor="text1"/>
          <w14:textFill>
            <w14:solidFill>
              <w14:schemeClr w14:val="tx1"/>
            </w14:solidFill>
          </w14:textFill>
        </w:rPr>
        <w:t>Plan Strategiczny dla Wspólnej Polityki Rolnej na lata 2023–2027</w:t>
      </w:r>
      <w:r>
        <w:rPr>
          <w:rFonts w:ascii="Times New Roman" w:hAnsi="Times New Roman" w:cs="Times New Roman"/>
          <w:color w:val="000000" w:themeColor="text1"/>
          <w14:textFill>
            <w14:solidFill>
              <w14:schemeClr w14:val="tx1"/>
            </w14:solidFill>
          </w14:textFill>
        </w:rPr>
        <w:t xml:space="preserve"> oraz Europejskiego Funduszu Rozwoju Regionalnego i Europejskiego Funduszu Społecznego Plus w ramach programu </w:t>
      </w:r>
      <w:r>
        <w:rPr>
          <w:rFonts w:ascii="Times New Roman" w:hAnsi="Times New Roman" w:cs="Times New Roman"/>
          <w:i/>
          <w:iCs/>
          <w:color w:val="000000" w:themeColor="text1"/>
          <w14:textFill>
            <w14:solidFill>
              <w14:schemeClr w14:val="tx1"/>
            </w14:solidFill>
          </w14:textFill>
        </w:rPr>
        <w:t>Fundusze Europejskie dla Małopolski na lata 2021–2027</w:t>
      </w:r>
      <w:r>
        <w:rPr>
          <w:rFonts w:ascii="Times New Roman" w:hAnsi="Times New Roman" w:cs="Times New Roman"/>
          <w:color w:val="000000" w:themeColor="text1"/>
          <w14:textFill>
            <w14:solidFill>
              <w14:schemeClr w14:val="tx1"/>
            </w14:solidFill>
          </w14:textFill>
        </w:rPr>
        <w:t>. W związku z tym, że cały obszar położony jest w granicach jednego województwa, realizacja operacji w ramach każdego z możliwych EFSI (Europejskie Fundusze Strukturalne i Inwestycyjne) będzie możliwa na całym obszarze objętym LSR.</w:t>
      </w:r>
    </w:p>
    <w:p w14:paraId="1C1ACC15">
      <w:pPr>
        <w:pStyle w:val="28"/>
        <w:numPr>
          <w:ilvl w:val="0"/>
          <w:numId w:val="9"/>
        </w:numPr>
        <w:spacing w:before="240" w:line="276" w:lineRule="auto"/>
        <w:ind w:left="1134" w:hanging="357"/>
        <w:contextualSpacing w:val="0"/>
        <w:jc w:val="both"/>
        <w:outlineLvl w:val="1"/>
        <w:rPr>
          <w:rFonts w:ascii="Times New Roman" w:hAnsi="Times New Roman" w:cs="Times New Roman"/>
          <w:b/>
          <w:bCs/>
        </w:rPr>
      </w:pPr>
      <w:bookmarkStart w:id="19" w:name="_Toc135994828"/>
      <w:r>
        <w:rPr>
          <w:rFonts w:ascii="Times New Roman" w:hAnsi="Times New Roman" w:cs="Times New Roman"/>
          <w:b/>
          <w:bCs/>
        </w:rPr>
        <w:t>Wyróżniki, potencjał i spójność obszaru</w:t>
      </w:r>
      <w:bookmarkEnd w:id="19"/>
    </w:p>
    <w:p w14:paraId="1952C5BE">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Administracyjnie wszystkie gminy LGD Między Dalinem i Gościbią należą do powiatu myślenickiego</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województwie małopolskim. Gminy obszaru charakteryzują się spójnością geograficzną pod względem położenia i ukształtowania terenu. Pod kątem fizycznogeograficznym analizowany obszar położony jest w megaregionie Region Karpacki. Obszar odznacza się dużą spójnością przyrodniczą, która wynika ze zbliżonych bądź tożsamych uwarunkowań poszczególnych elementów środowiska: </w:t>
      </w:r>
    </w:p>
    <w:p w14:paraId="1778BEA0">
      <w:pPr>
        <w:pStyle w:val="28"/>
        <w:numPr>
          <w:ilvl w:val="0"/>
          <w:numId w:val="10"/>
        </w:numPr>
        <w:spacing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urozmaicona rzeźba terenu: góry, pagórki, doliny, potoki, rzeki;</w:t>
      </w:r>
    </w:p>
    <w:p w14:paraId="0E35C73C">
      <w:pPr>
        <w:pStyle w:val="28"/>
        <w:numPr>
          <w:ilvl w:val="0"/>
          <w:numId w:val="10"/>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występowanie na obszarze form ochrony przyrody, które wpływają na atrakcyjność turystyczną regionu;</w:t>
      </w:r>
    </w:p>
    <w:p w14:paraId="018DA225">
      <w:pPr>
        <w:pStyle w:val="28"/>
        <w:numPr>
          <w:ilvl w:val="0"/>
          <w:numId w:val="10"/>
        </w:numPr>
        <w:spacing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cały obszar posiada bardzo dobre warunki do uprawiania turystyki aktywnej (szczególnie sportów zimowych – na terenie obszaru zlokalizowane są stacje narciarskie); </w:t>
      </w:r>
    </w:p>
    <w:p w14:paraId="4E4B501A">
      <w:pPr>
        <w:pStyle w:val="28"/>
        <w:numPr>
          <w:ilvl w:val="0"/>
          <w:numId w:val="10"/>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większość obszaru LGD zostało zakwalifikowane jako ONW;</w:t>
      </w:r>
    </w:p>
    <w:p w14:paraId="3A4CD791">
      <w:pPr>
        <w:pStyle w:val="28"/>
        <w:numPr>
          <w:ilvl w:val="0"/>
          <w:numId w:val="10"/>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wysoka lesistość na terenie całego obszaru.</w:t>
      </w:r>
    </w:p>
    <w:p w14:paraId="20D6B678">
      <w:pPr>
        <w:spacing w:before="240" w:after="0" w:line="276" w:lineRule="auto"/>
        <w:ind w:firstLine="708"/>
        <w:jc w:val="both"/>
        <w:rPr>
          <w:rFonts w:ascii="Times New Roman" w:hAnsi="Times New Roman" w:cs="Times New Roman"/>
        </w:rPr>
      </w:pPr>
      <w:r>
        <w:rPr>
          <w:rFonts w:ascii="Times New Roman" w:hAnsi="Times New Roman" w:cs="Times New Roman"/>
        </w:rPr>
        <w:t>Spójność obszaru LGD pod względem ekonomicznym obrazuje liczba gospodarstw rolnych o podobnej strukturze. Na obszarze objętym LGD charakterystyczna jest duża ilość małych gospodarstw. Udział podmiotów gospodarczych zarejestrowanych w grupie „rolnictwo, leśnictwo, łowiectwo i rybactwo” nie jest znaczący dla gmin obszaru – wynosi 0,9%, i jest niższy niż wskaźnik dla kraju (1,5%) oraz równy średniej dla województwa (0,9%). Najwięcej podmiotów, spośród zarejestrowanych na obszarze LGD, należy do grupy „pozostała działalność” (38,5%), przy czym największy udział w tej grupie ma Gmina Myślenice (43,6%.) We wszystkich gminach obszaru wystąpił wyższy niż w kraju i województwie udział podmiotów gospodarczych zarejestrowanych w grupie „przemysł i budownictwo” – średnia dla LGD wynosi 36,5%, przy wartości dla kraju – 22,6%, a dla województwa – 25,1%, a także w grupie „handel hurtowy i detaliczny” – średnia dla LGD wynosi 21,1%, podczas gdy wartość dla Polski – 20,8%, a dla województwa – 19,9%.</w:t>
      </w:r>
    </w:p>
    <w:p w14:paraId="6822ED10">
      <w:pPr>
        <w:spacing w:after="0" w:line="276" w:lineRule="auto"/>
        <w:ind w:firstLine="708"/>
        <w:jc w:val="both"/>
        <w:rPr>
          <w:rFonts w:ascii="Times New Roman" w:hAnsi="Times New Roman" w:cs="Times New Roman"/>
        </w:rPr>
      </w:pPr>
      <w:r>
        <w:rPr>
          <w:rFonts w:ascii="Times New Roman" w:hAnsi="Times New Roman" w:cs="Times New Roman"/>
        </w:rPr>
        <w:t xml:space="preserve">Największa liczba podmiotów gospodarczych na obszarze w 2021 r., była zarejestrowana w sekcjach: F „Budownictwo” – 2 840 podmiotów (23,4%), G „Handel hurtowy i detaliczny; naprawa pojazdów samochodowych, włączając motocykle” – 2 563 podmioty (21,1%), oraz C „Przetwórstwo przemysłowe” – 1 553 podmioty (12,8%). Na obszarze nie są zarejestrowane żadne podmioty w sekcji U „Organizacje i zespoły eksterytorialne”, a najniższe </w:t>
      </w:r>
      <w:r>
        <w:rPr>
          <w:rFonts w:ascii="Times New Roman" w:hAnsi="Times New Roman" w:cs="Times New Roman"/>
        </w:rPr>
        <w:br w:type="textWrapping"/>
      </w:r>
      <w:r>
        <w:rPr>
          <w:rFonts w:ascii="Times New Roman" w:hAnsi="Times New Roman" w:cs="Times New Roman"/>
        </w:rPr>
        <w:t xml:space="preserve">i nikłe udziały podmiotów zarejestrowane są w sekcjach B „Górnictwo i wydobywanie”, D „Wytwarzanie i zaopatrywanie w energię elektryczną, gaz, parę wodną, gorącą wodę i powietrze do układów klimatyzacyjnych” </w:t>
      </w:r>
      <w:r>
        <w:rPr>
          <w:rFonts w:ascii="Times New Roman" w:hAnsi="Times New Roman" w:cs="Times New Roman"/>
        </w:rPr>
        <w:br w:type="textWrapping"/>
      </w:r>
      <w:r>
        <w:rPr>
          <w:rFonts w:ascii="Times New Roman" w:hAnsi="Times New Roman" w:cs="Times New Roman"/>
        </w:rPr>
        <w:t>i E „Dostawa wody; gospodarowanie ściekami i odpadami oraz działalność związana z rekultywacją”. Z danych GUS wynika, że na terenie obszaru LGD funkcjonowało szesnaście obiektów noclegowych, które łącznie oferowały 1 117 miejsc noclegowych, w tym 846 miejsc noclegowych całorocznych. Najwięcej z nich znajdowało się na terenie Gminy Myślenice (6 obiektów)</w:t>
      </w:r>
      <w:r>
        <w:rPr>
          <w:rStyle w:val="17"/>
          <w:rFonts w:ascii="Times New Roman" w:hAnsi="Times New Roman" w:cs="Times New Roman"/>
        </w:rPr>
        <w:footnoteReference w:id="3"/>
      </w:r>
      <w:r>
        <w:rPr>
          <w:rFonts w:ascii="Times New Roman" w:hAnsi="Times New Roman" w:cs="Times New Roman"/>
        </w:rPr>
        <w:t>.</w:t>
      </w:r>
    </w:p>
    <w:p w14:paraId="0E655F17">
      <w:pPr>
        <w:spacing w:line="276" w:lineRule="auto"/>
        <w:ind w:firstLine="708"/>
        <w:jc w:val="both"/>
        <w:rPr>
          <w:rFonts w:ascii="Times New Roman" w:hAnsi="Times New Roman" w:eastAsia="Calibri" w:cs="Times New Roman"/>
        </w:rPr>
      </w:pPr>
      <w:r>
        <w:rPr>
          <w:rFonts w:ascii="Times New Roman" w:hAnsi="Times New Roman" w:cs="Times New Roman"/>
        </w:rPr>
        <w:t xml:space="preserve">Spójność kulturowa, mająca korzenie w historii </w:t>
      </w:r>
      <w:r>
        <w:rPr>
          <w:rFonts w:ascii="Times New Roman" w:hAnsi="Times New Roman" w:cs="Times New Roman"/>
          <w:color w:val="000000" w:themeColor="text1"/>
          <w14:textFill>
            <w14:solidFill>
              <w14:schemeClr w14:val="tx1"/>
            </w14:solidFill>
          </w14:textFill>
        </w:rPr>
        <w:t>obszaru, znajduje wyraz w istniejących obiektach kultury materialnej, jak i niematerialnej. Na terenie każdej z gmin obszaru występują zabytki wpisane do rejestru zabytków Narodowego Instytutu Dziedzictwa. Oprócz materialnych form wyrazu wspólnej kultury, bardzo ważne znaczenie mają zwyczaje, obyczaje, posługiwanie się gwarą, dbałość o strój regionalny oraz budowanie poczucia wspólnej tożsamości poprzez kultywowanie śpiewania, muzykowania i taniec regionalny, a także specyficzne budownictwo regionalne. Wszystkie te elementy tworzą wspólną kulturę ludową regionu. Atutem obszaru są również piękne krajobrazy, imponujące panoramy widokowe na szlakach turystycznych, duża ilość terenów leśnych, ekologiczna żywność, bliskość Krakowa oraz dogodne połączenia komunikacyjne</w:t>
      </w:r>
      <w:r>
        <w:rPr>
          <w:rFonts w:ascii="Times New Roman" w:hAnsi="Times New Roman" w:eastAsia="Calibri" w:cs="Times New Roman"/>
        </w:rPr>
        <w:t xml:space="preserve">. </w:t>
      </w:r>
    </w:p>
    <w:p w14:paraId="594E9B8D">
      <w:pPr>
        <w:rPr>
          <w:rFonts w:ascii="Times New Roman" w:hAnsi="Times New Roman" w:cs="Times New Roman"/>
          <w:b/>
          <w:bCs/>
        </w:rPr>
      </w:pPr>
      <w:r>
        <w:rPr>
          <w:rFonts w:ascii="Times New Roman" w:hAnsi="Times New Roman" w:cs="Times New Roman"/>
          <w:b/>
          <w:bCs/>
        </w:rPr>
        <w:br w:type="page"/>
      </w:r>
    </w:p>
    <w:p w14:paraId="37B26423">
      <w:pPr>
        <w:pStyle w:val="28"/>
        <w:numPr>
          <w:ilvl w:val="0"/>
          <w:numId w:val="2"/>
        </w:numPr>
        <w:outlineLvl w:val="0"/>
        <w:rPr>
          <w:rFonts w:ascii="Times New Roman" w:hAnsi="Times New Roman" w:cs="Times New Roman"/>
          <w:b/>
          <w:bCs/>
        </w:rPr>
      </w:pPr>
      <w:bookmarkStart w:id="20" w:name="_Toc135994829"/>
      <w:r>
        <w:rPr>
          <w:rFonts w:ascii="Times New Roman" w:hAnsi="Times New Roman" w:cs="Times New Roman"/>
          <w:b/>
          <w:bCs/>
          <w:color w:val="000000" w:themeColor="text1"/>
          <w14:textFill>
            <w14:solidFill>
              <w14:schemeClr w14:val="tx1"/>
            </w14:solidFill>
          </w14:textFill>
        </w:rPr>
        <w:t>PARTYCYPACYJNY CHARAKTER LSR</w:t>
      </w:r>
      <w:bookmarkEnd w:id="20"/>
    </w:p>
    <w:p w14:paraId="51B86C7A">
      <w:pPr>
        <w:spacing w:after="0" w:line="276" w:lineRule="auto"/>
        <w:ind w:firstLine="708"/>
        <w:jc w:val="both"/>
        <w:rPr>
          <w:rFonts w:ascii="Times New Roman" w:hAnsi="Times New Roman" w:cs="Times New Roman"/>
        </w:rPr>
      </w:pPr>
      <w:r>
        <w:rPr>
          <w:rFonts w:ascii="Times New Roman" w:hAnsi="Times New Roman" w:cs="Times New Roman"/>
        </w:rPr>
        <w:t xml:space="preserve">Oddolność to jedna z siedmiu podstawowych cech metody LEADER. Oddolność tworzenia niniejszej LSR została zapewniona poprzez angażowanie partnerów lokalnych oraz rzeczywisty, partycypacyjny udział mieszkańców w procesie jej powstawania. Aktywność podmiotów zaangażowanych w przygotowanie LSR będzie kontynuowana również w trakcie jej wdrażania. </w:t>
      </w:r>
    </w:p>
    <w:p w14:paraId="69EA2554">
      <w:pPr>
        <w:spacing w:after="0" w:line="276" w:lineRule="auto"/>
        <w:ind w:firstLine="708"/>
        <w:jc w:val="both"/>
        <w:rPr>
          <w:rFonts w:ascii="Times New Roman" w:hAnsi="Times New Roman" w:cs="Times New Roman"/>
        </w:rPr>
      </w:pPr>
      <w:r>
        <w:rPr>
          <w:rFonts w:ascii="Times New Roman" w:hAnsi="Times New Roman" w:cs="Times New Roman"/>
        </w:rPr>
        <w:t>Zarówno na etapie tworzenia jak i realizacji LSR uwzględniano / będzie się uwzględniać zasady horyzontalne określone w art. 9 rozporządzenia 2021/1060, w tym:</w:t>
      </w:r>
    </w:p>
    <w:p w14:paraId="56A700C0">
      <w:pPr>
        <w:pStyle w:val="28"/>
        <w:numPr>
          <w:ilvl w:val="2"/>
          <w:numId w:val="11"/>
        </w:numPr>
        <w:spacing w:line="276" w:lineRule="auto"/>
        <w:ind w:left="851"/>
        <w:jc w:val="both"/>
        <w:rPr>
          <w:rFonts w:ascii="Times New Roman" w:hAnsi="Times New Roman" w:cs="Times New Roman"/>
        </w:rPr>
      </w:pPr>
      <w:r>
        <w:rPr>
          <w:rFonts w:ascii="Times New Roman" w:hAnsi="Times New Roman" w:cs="Times New Roman"/>
        </w:rPr>
        <w:t>poszanowania praw podstawowych oraz przestrzeganie Karty praw podstawowych Unii Europejskiej;</w:t>
      </w:r>
    </w:p>
    <w:p w14:paraId="5FD49B8B">
      <w:pPr>
        <w:pStyle w:val="28"/>
        <w:numPr>
          <w:ilvl w:val="2"/>
          <w:numId w:val="11"/>
        </w:numPr>
        <w:spacing w:line="276" w:lineRule="auto"/>
        <w:ind w:left="851"/>
        <w:jc w:val="both"/>
        <w:rPr>
          <w:rFonts w:ascii="Times New Roman" w:hAnsi="Times New Roman" w:cs="Times New Roman"/>
        </w:rPr>
      </w:pPr>
      <w:r>
        <w:rPr>
          <w:rFonts w:ascii="Times New Roman" w:hAnsi="Times New Roman" w:cs="Times New Roman"/>
        </w:rPr>
        <w:t>zasady równości kobiet i mężczyzn;</w:t>
      </w:r>
    </w:p>
    <w:p w14:paraId="7A5FFC82">
      <w:pPr>
        <w:pStyle w:val="28"/>
        <w:numPr>
          <w:ilvl w:val="2"/>
          <w:numId w:val="11"/>
        </w:numPr>
        <w:spacing w:line="276" w:lineRule="auto"/>
        <w:ind w:left="851"/>
        <w:jc w:val="both"/>
        <w:rPr>
          <w:rFonts w:ascii="Times New Roman" w:hAnsi="Times New Roman" w:cs="Times New Roman"/>
        </w:rPr>
      </w:pPr>
      <w:r>
        <w:rPr>
          <w:rFonts w:ascii="Times New Roman" w:hAnsi="Times New Roman" w:cs="Times New Roman"/>
        </w:rPr>
        <w:t>zasady równości szans i niedyskryminacji ze względu na płeć, rasę lub pochodzenie etniczne, religię lub światopogląd, niepełnosprawność, wiek lub orientację seksualną, w tym zasadę dostępności dla osób z niepełnosprawnościami;</w:t>
      </w:r>
    </w:p>
    <w:p w14:paraId="6A521485">
      <w:pPr>
        <w:pStyle w:val="28"/>
        <w:numPr>
          <w:ilvl w:val="2"/>
          <w:numId w:val="11"/>
        </w:numPr>
        <w:spacing w:after="120" w:line="276" w:lineRule="auto"/>
        <w:ind w:left="850" w:hanging="357"/>
        <w:contextualSpacing w:val="0"/>
        <w:jc w:val="both"/>
        <w:rPr>
          <w:rFonts w:ascii="Times New Roman" w:hAnsi="Times New Roman" w:cs="Times New Roman"/>
        </w:rPr>
      </w:pPr>
      <w:r>
        <w:rPr>
          <w:rFonts w:ascii="Times New Roman" w:hAnsi="Times New Roman" w:cs="Times New Roman"/>
        </w:rPr>
        <w:t>zgodności działań z celem wspierania zrównoważonego rozwoju określonego w art. 11 TFUE oraz z uwzględnieniem celów ONZ dotyczących zrównoważonego rozwoju, a także porozumienia paryskiego i zasady „nie czyń poważnych szkód”.</w:t>
      </w:r>
    </w:p>
    <w:p w14:paraId="2B267564">
      <w:pPr>
        <w:pStyle w:val="28"/>
        <w:numPr>
          <w:ilvl w:val="0"/>
          <w:numId w:val="12"/>
        </w:numPr>
        <w:spacing w:before="240" w:line="276" w:lineRule="auto"/>
        <w:ind w:left="1134" w:hanging="357"/>
        <w:contextualSpacing w:val="0"/>
        <w:jc w:val="both"/>
        <w:outlineLvl w:val="1"/>
        <w:rPr>
          <w:rFonts w:ascii="Times New Roman" w:hAnsi="Times New Roman" w:cs="Times New Roman"/>
          <w:b/>
          <w:bCs/>
        </w:rPr>
      </w:pPr>
      <w:bookmarkStart w:id="21" w:name="_Toc135994830"/>
      <w:r>
        <w:rPr>
          <w:rFonts w:ascii="Times New Roman" w:hAnsi="Times New Roman" w:cs="Times New Roman"/>
          <w:b/>
          <w:bCs/>
        </w:rPr>
        <w:t>Etap opracowania LSR</w:t>
      </w:r>
      <w:bookmarkEnd w:id="21"/>
    </w:p>
    <w:p w14:paraId="2153FA2C">
      <w:pPr>
        <w:spacing w:after="0" w:line="276" w:lineRule="auto"/>
        <w:ind w:firstLine="708"/>
        <w:jc w:val="both"/>
        <w:rPr>
          <w:rFonts w:ascii="Times New Roman" w:hAnsi="Times New Roman" w:cs="Times New Roman"/>
        </w:rPr>
      </w:pPr>
      <w:r>
        <w:rPr>
          <w:rFonts w:ascii="Times New Roman" w:hAnsi="Times New Roman" w:cs="Times New Roman"/>
        </w:rPr>
        <w:t>Wszystkie zainteresowane strony, szczególnie partnerzy lokalni i mieszkańcy byli zaangażowani w opracowanie Strategii, począwszy od oceny potrzeb, poprzez identyfikację szans, po wyznaczenie celów. Na każdym tym etapie zastosowano różne metody partycypacji:</w:t>
      </w:r>
    </w:p>
    <w:p w14:paraId="2DB13956">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spotkania otwarte w każdej z gmin obszaru LGD (etap diagnostyczny);</w:t>
      </w:r>
    </w:p>
    <w:p w14:paraId="02F1596F">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badania ankietowe (etap diagnostyczny i etap planistyczny);</w:t>
      </w:r>
    </w:p>
    <w:p w14:paraId="0000ABDA">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fiszka projektowa – możliwość zgłoszenia propozycji projektu (etap planistyczny);</w:t>
      </w:r>
    </w:p>
    <w:p w14:paraId="34CD8A56">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wywiad z Zespołem ds. LSR (etap diagnostyczny i etap planistyczny);</w:t>
      </w:r>
    </w:p>
    <w:p w14:paraId="4C40E24C">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prace warsztatowe w grupach (etap planistyczny);</w:t>
      </w:r>
    </w:p>
    <w:p w14:paraId="70365D8D">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dyżury pracownika on-line (etap diagnostyczny i etap planistyczny);</w:t>
      </w:r>
    </w:p>
    <w:p w14:paraId="70AFEDF2">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punkt konsultacyjny (etap diagnostyczny i etap planistyczny);</w:t>
      </w:r>
    </w:p>
    <w:p w14:paraId="28484358">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formularze uwag (etap opiniowania projektu LSR);</w:t>
      </w:r>
    </w:p>
    <w:p w14:paraId="774C4621">
      <w:pPr>
        <w:pStyle w:val="28"/>
        <w:numPr>
          <w:ilvl w:val="0"/>
          <w:numId w:val="13"/>
        </w:numPr>
        <w:spacing w:line="276" w:lineRule="auto"/>
        <w:ind w:left="851"/>
        <w:jc w:val="both"/>
        <w:rPr>
          <w:rFonts w:ascii="Times New Roman" w:hAnsi="Times New Roman" w:cs="Times New Roman"/>
        </w:rPr>
      </w:pPr>
      <w:r>
        <w:rPr>
          <w:rFonts w:ascii="Times New Roman" w:hAnsi="Times New Roman" w:cs="Times New Roman"/>
        </w:rPr>
        <w:t>prezentacja projektu LSR na WZC.</w:t>
      </w:r>
    </w:p>
    <w:p w14:paraId="2281E11E">
      <w:pPr>
        <w:spacing w:after="0" w:line="276" w:lineRule="auto"/>
        <w:ind w:firstLine="708"/>
        <w:jc w:val="both"/>
        <w:rPr>
          <w:rFonts w:ascii="Times New Roman" w:hAnsi="Times New Roman" w:cs="Times New Roman"/>
        </w:rPr>
      </w:pPr>
      <w:r>
        <w:rPr>
          <w:rFonts w:ascii="Times New Roman" w:hAnsi="Times New Roman" w:cs="Times New Roman"/>
        </w:rPr>
        <w:t>Nad uporządkowaniem wszystkich zebranych materiałów czuwali członkowie Zespołu ds. LSR. W momencie podpisania umowy w ramach wsparcia przygotowawczego służącego opracowaniu Strategii rozpoczęto działania mające na celu zaangażowanie lokalnej społeczności w opracowanie LSR. Mieszkańcy byli informowani o konsultacjach społecznych i spotkaniach w sposób zwyczajowo przyjęty, poprzez: ogłoszenie na stronie internetowej, ogłoszenia w kościołach, przekaz informacji przez liderów lokalnych, którzy byli poinformowani telefonicznie, e-mailowo lub osobiście, oraz przez wywieszenie informacji na tablicach ogłoszeniowych, miejscach integracji społecznej w poszczególnych miejscowościach.</w:t>
      </w:r>
    </w:p>
    <w:p w14:paraId="5BDB02B6">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 dniach 19.05.2023 r. oraz 24.05.2023 r. odbyły się spotkania konsultacyjne z mieszkańcami obszaru w każdej z gmin objętych LSR. W pierwszym dniu spotkania odbyły się w Biertowicach w Gminie Sułkowice, Myślenicach i Wiśniowej, natomiast w kolejnym dniu w Lubniu, Tokarni oraz Pcimiu. Uczestnicy dowiedzieli się z prezentacji jakie są główne cechy podejścia LEADER i funkcjonowania LGD oraz poznali zasady i cel opracowania i wdrażania LSR. Częścią spotkań była dyskusja mająca za zadanie inwentaryzację obszaru – określenie jego potrzeb, zasobów i potencjałów. Omówione zostały wstępne wyniki analizy obszaru, przeprowadzonej na bazie danych statystycznych. Podjęto próbę wypracowania wstępnych założeń i celów LSR. Uczestnicy dyskutowali o znaczeniu pieniądza w obiegu lokalnym, znaczeniu dostępu do wysokiej jakości Internetu oraz umiejętności cyfrowych do możliwości rozwoju przedsiębiorczości i wzrostu poziomu jakości życia w danym miejscu. Na spotkaniach, podczas dyskusji, wskazywano na różne potrzeby, określane były różne potencjały, jednak wnioski były stosunkowo spójne, a za najważniejsze z nich uznano te najczęściej powtarzające się, tj. „</w:t>
      </w:r>
      <w:r>
        <w:rPr>
          <w:rFonts w:ascii="Times New Roman" w:hAnsi="Times New Roman" w:cs="Times New Roman"/>
          <w:color w:val="000000" w:themeColor="text1"/>
          <w:shd w:val="clear" w:color="auto" w:fill="FFFFFF"/>
          <w14:textFill>
            <w14:solidFill>
              <w14:schemeClr w14:val="tx1"/>
            </w14:solidFill>
          </w14:textFill>
        </w:rPr>
        <w:t xml:space="preserve">budowa infrastruktury sportowej, rekreacyjnej, </w:t>
      </w:r>
      <w:r>
        <w:rPr>
          <w:rFonts w:ascii="Times New Roman" w:hAnsi="Times New Roman" w:cs="Times New Roman"/>
          <w:color w:val="000000" w:themeColor="text1"/>
          <w:shd w:val="clear" w:color="auto" w:fill="FFFFFF"/>
          <w14:textFill>
            <w14:solidFill>
              <w14:schemeClr w14:val="tx1"/>
            </w14:solidFill>
          </w14:textFill>
        </w:rPr>
        <w:br w:type="textWrapping"/>
      </w:r>
      <w:r>
        <w:rPr>
          <w:rFonts w:ascii="Times New Roman" w:hAnsi="Times New Roman" w:cs="Times New Roman"/>
          <w:color w:val="000000" w:themeColor="text1"/>
          <w:shd w:val="clear" w:color="auto" w:fill="FFFFFF"/>
          <w14:textFill>
            <w14:solidFill>
              <w14:schemeClr w14:val="tx1"/>
            </w14:solidFill>
          </w14:textFill>
        </w:rPr>
        <w:t xml:space="preserve">w tym ścieżek rowerowych”, „tworzenie zagród edukacyjnych”, „działania kulturalne dla mieszkańców”, „wspieranie edukacji i podnoszenie kwalifikacji mieszkańców”, „promocja tradycyjnego kowalstwa sułkowickiego”, „promocja ekologii”, „rewitalizacja przestrzeni publicznych, tak by były przyjazne osobom niepełnosprawnym”, „pielęgnowanie relacji międzypokoleniowych” oraz „wsparcie seniorów”. </w:t>
      </w:r>
      <w:r>
        <w:rPr>
          <w:rFonts w:ascii="Times New Roman" w:hAnsi="Times New Roman" w:cs="Times New Roman"/>
          <w:color w:val="000000" w:themeColor="text1"/>
          <w14:textFill>
            <w14:solidFill>
              <w14:schemeClr w14:val="tx1"/>
            </w14:solidFill>
          </w14:textFill>
        </w:rPr>
        <w:t>Niewątpliwie najczęściej padającą odpowiedzią na pytanie o największy zasób czy wyróżnik obszaru było: „atrakcyjność turystyczna obszaru”, „potencjał kulturowy”, „</w:t>
      </w:r>
      <w:r>
        <w:rPr>
          <w:rFonts w:ascii="Times New Roman" w:hAnsi="Times New Roman" w:cs="Times New Roman"/>
          <w:color w:val="000000" w:themeColor="text1"/>
          <w:shd w:val="clear" w:color="auto" w:fill="FFFFFF"/>
          <w14:textFill>
            <w14:solidFill>
              <w14:schemeClr w14:val="tx1"/>
            </w14:solidFill>
          </w14:textFill>
        </w:rPr>
        <w:t xml:space="preserve">działania na rzecz klimatu i środowiska”, „bliskość Krakowa” oraz „innowacyjność, partnerstwo, integracja”. </w:t>
      </w:r>
      <w:r>
        <w:rPr>
          <w:rFonts w:ascii="Times New Roman" w:hAnsi="Times New Roman" w:cs="Times New Roman"/>
          <w:color w:val="000000" w:themeColor="text1"/>
          <w14:textFill>
            <w14:solidFill>
              <w14:schemeClr w14:val="tx1"/>
            </w14:solidFill>
          </w14:textFill>
        </w:rPr>
        <w:t>Ponadto, na spotkaniach w każdej gminie mieszkańcy zauważali, że szansą dla obszaru jest wdrożenie koncepcji Smart Village poprzez działania ukierunkowane na społeczeństwo oraz skupiające się na wykorzystaniu potencjałów obszaru przy jednoczesnym rozwoju cyfryzacji stymulującej rozwój gospodarczy. Oczekiwania mieszkańców w stosunku do korzyści jakie ma przynieść koncepcja Smart Village są zgodne z jej ideą, która zakłada, iż „inteligentna wieś” to obszar prawnie kwalifikowany jako wiejski i jego społeczność, których potencjał jest innowacyjnie wykorzystywany przez aktywnych obywateli i właściwe organy publiczne w ramach strategii poprawy społecznych, ekonomicznych i środowiskowych wskaźników rozwoju, m.in. poprzez stosowanie rozwiązań z zakresu nowych technologii</w:t>
      </w:r>
      <w:r>
        <w:rPr>
          <w:rFonts w:ascii="Times New Roman" w:hAnsi="Times New Roman" w:cs="Times New Roman"/>
          <w:color w:val="000000" w:themeColor="text1"/>
          <w:vertAlign w:val="superscript"/>
          <w14:textFill>
            <w14:solidFill>
              <w14:schemeClr w14:val="tx1"/>
            </w14:solidFill>
          </w14:textFill>
        </w:rPr>
        <w:footnoteReference w:id="4"/>
      </w:r>
      <w:r>
        <w:rPr>
          <w:rFonts w:ascii="Times New Roman" w:hAnsi="Times New Roman" w:cs="Times New Roman"/>
          <w:color w:val="000000" w:themeColor="text1"/>
          <w14:textFill>
            <w14:solidFill>
              <w14:schemeClr w14:val="tx1"/>
            </w14:solidFill>
          </w14:textFill>
        </w:rPr>
        <w:t>.</w:t>
      </w:r>
    </w:p>
    <w:p w14:paraId="3ED00F33">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W dniach 01–24.03.2023 r. przeprowadzone zostało badanie ankietowe na etapie diagnostycznym. Ankieta dostępna była w wersji papierowej w siedzibie LGD, ale też w wersji on-line, o czym ogłoszenie opublikowano zarówno na stronie internetowej LGD jak i gmin partnerskich oraz na profilu LGD na portalu Facebook. Udział w badaniu wzięło 51 osób, w tym 57% kobiet i 43% mężczyzn, najwięcej z terenu Gminy Myślenice (56%), głównie byli to reprezentanci sektora społecznego (78%). 65% ankietowanych to osoby w przedziale wiekowym 25–60 lat. W badaniu wzięło udział 15 osób (29%) w wieku poniżej 25. roku życia oraz 3 osoby w wieku powyżej 60. roku życia (6%). Ankieta dotyczyła mocnych i słabych stron obszaru, szans i zagrożeń związanych z jego rozwojem, a także określenia największych potencjałów i wyróżników, na bazie których powinien odbywać się rozwój obszaru. Pierwsze pytanie w badaniu ankietowym dotyczyło kluczowych mocnych stron obszaru. Możliwe było zaznaczenie maksymalnie 3 odpowiedzi. Większość ankietowanych wskazała odpowiedzi: „bliskość Krakowa” (49%), „ciekawa historia i unikalne dziedzictwo kulturowe obszaru, w tym cenne zabytki i wielokulturowość” oraz „unikatowe walory przyrodniczo-krajobrazowe, w tym różnorodne formy ochrony przyrody” (po 39%). Jako kluczowe słabe strony obszaru wskazano przede wszystkim: </w:t>
      </w:r>
      <w:bookmarkStart w:id="22" w:name="_Hlk135036205"/>
      <w:r>
        <w:rPr>
          <w:rFonts w:ascii="Times New Roman" w:hAnsi="Times New Roman" w:cs="Times New Roman"/>
          <w:color w:val="000000" w:themeColor="text1"/>
          <w14:textFill>
            <w14:solidFill>
              <w14:schemeClr w14:val="tx1"/>
            </w14:solidFill>
          </w14:textFill>
        </w:rPr>
        <w:t xml:space="preserve">„mało atrakcyjny rynek pracy” </w:t>
      </w:r>
      <w:bookmarkEnd w:id="22"/>
      <w:r>
        <w:rPr>
          <w:rFonts w:ascii="Times New Roman" w:hAnsi="Times New Roman" w:cs="Times New Roman"/>
          <w:color w:val="000000" w:themeColor="text1"/>
          <w14:textFill>
            <w14:solidFill>
              <w14:schemeClr w14:val="tx1"/>
            </w14:solidFill>
          </w14:textFill>
        </w:rPr>
        <w:t>(47%), „niewystarczające wykorzystanie walorów przyrodniczych i kulturowych” (67%) i „niezadawalający poziom dostępności usług medycznych” (29%). Ankietowani zostali również poproszeni o wskazanie najważniejszych szans stojących przed rozwojem obszaru i największych zagrożeń, które mogą wpłynąć na jego rozwój. Jako szanse wskazano przede wszystkim: „modę na zdrowy styl życia” (49%), „wzrost świadomości obywatelskiej, w tym poczucia tożsamości i identyfikacji z miejscem zamieszkania” (43%) oraz „cyfryzację życia codziennego” (41%). Mieszkańcy widzą zagrożenie dla rozwoju obszaru przede wszystkim we „wzroście kosztów życia” (82%) oraz w „konsekwencjach społecznych i gospodarczych związanych z pandemią COVID-19, wojny w Ukrainie i ewentualnie innych nieprzewidzianych wydarzeń” (53%).</w:t>
      </w:r>
      <w:r>
        <w:rPr>
          <w:rFonts w:ascii="Times New Roman" w:hAnsi="Times New Roman" w:cs="Times New Roman"/>
          <w:color w:val="000000" w:themeColor="text1"/>
          <w14:textFill>
            <w14:solidFill>
              <w14:schemeClr w14:val="tx1"/>
            </w14:solidFill>
          </w14:textFill>
        </w:rPr>
        <w:cr/>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 xml:space="preserve">W dniach 13.04–08.05.2023 r. przeprowadzone zostało kolejne badanie ankietowe – na etapie planistycznym. Ankieta dostępna była w wersji papierowej w siedzibie LGD, ale też w wersji on-line, o czym ogłoszenie opublikowano zarówno na stronie internetowej LGD jak i gmin partnerskich oraz na profilu LGD na portalu Facebook. W badaniu udział wzięły 64 osoby, </w:t>
      </w:r>
      <w:r>
        <w:rPr>
          <w:rFonts w:ascii="Times New Roman" w:hAnsi="Times New Roman" w:cs="Times New Roman"/>
        </w:rPr>
        <w:t xml:space="preserve">z czego 42% ankietowanych stanowiły kobiety, a 58% stanowili mężczyźni, 60% były to osoby w wieku 25–60 lat, w ankiecie brały również udział osoby powyżej 60. roku życia oraz poniżej 25. roku życia. Najwięcej osób biorących udział w ankiecie zamieszkuje bądź prowadzi działalność na terenie Gminy Sułkowice (57%). Ankietę najczęściej wypełniały osoby z sektora społecznego (64%). </w:t>
      </w:r>
      <w:r>
        <w:rPr>
          <w:rFonts w:ascii="Times New Roman" w:hAnsi="Times New Roman" w:cs="Times New Roman"/>
          <w:color w:val="000000" w:themeColor="text1"/>
          <w14:textFill>
            <w14:solidFill>
              <w14:schemeClr w14:val="tx1"/>
            </w14:solidFill>
          </w14:textFill>
        </w:rPr>
        <w:t xml:space="preserve"> Na pytanie o kluczowe kierunki/obszary rozwoju LGD (możliwość wskazania 3 odpowiedzi) ankietowani wskazywali: „rozwój turystyki i infrastruktury okołoturystycznej” (61%), „ochrona środowiska” (52%) oraz „rozwój działalności kulturalnej i sportu” (44%). Ankietowani w każdym pytaniu zamkniętym mieli możliwość zaznaczenia odpowiedzi „inne” i wpisania własnej odpowiedzi. W przypadku ww. pytania pojawiła się odpowiedź dotycząca zwiększenia bezpieczeństwa i rozwoju ratownictwa na obszarach wiejskich. Na pytanie o to, do jakiej grupy osób powinny być skierowane działania w ramach wdrażania LSR, w</w:t>
      </w:r>
      <w:bookmarkStart w:id="23" w:name="_Hlk136196010"/>
      <w:r>
        <w:rPr>
          <w:rFonts w:ascii="Times New Roman" w:hAnsi="Times New Roman" w:cs="Times New Roman"/>
          <w:color w:val="000000" w:themeColor="text1"/>
          <w14:textFill>
            <w14:solidFill>
              <w14:schemeClr w14:val="tx1"/>
            </w14:solidFill>
          </w14:textFill>
        </w:rPr>
        <w:t>skazano szczególnie seniorów (56%), młodzież – do 25. roku życia (39%) oraz osoby z niepełnosprawnościami (38%</w:t>
      </w:r>
      <w:bookmarkEnd w:id="23"/>
      <w:r>
        <w:rPr>
          <w:rFonts w:ascii="Times New Roman" w:hAnsi="Times New Roman" w:cs="Times New Roman"/>
          <w:color w:val="000000" w:themeColor="text1"/>
          <w14:textFill>
            <w14:solidFill>
              <w14:schemeClr w14:val="tx1"/>
            </w14:solidFill>
          </w14:textFill>
        </w:rPr>
        <w:t xml:space="preserve">). W ankiecie przedstawiono 8 głównych obszarów wsparcia określonych w </w:t>
      </w:r>
      <w:r>
        <w:rPr>
          <w:rFonts w:ascii="Times New Roman" w:hAnsi="Times New Roman" w:cs="Times New Roman"/>
          <w:i/>
          <w:iCs/>
          <w:color w:val="000000" w:themeColor="text1"/>
          <w14:textFill>
            <w14:solidFill>
              <w14:schemeClr w14:val="tx1"/>
            </w14:solidFill>
          </w14:textFill>
        </w:rPr>
        <w:t>Planie Strategicznym dla Wspólnej Polityki Rolnej na lata 2023–2027</w:t>
      </w:r>
      <w:r>
        <w:rPr>
          <w:rFonts w:ascii="Times New Roman" w:hAnsi="Times New Roman" w:cs="Times New Roman"/>
          <w:color w:val="000000" w:themeColor="text1"/>
          <w14:textFill>
            <w14:solidFill>
              <w14:schemeClr w14:val="tx1"/>
            </w14:solidFill>
          </w14:textFill>
        </w:rPr>
        <w:t xml:space="preserve"> i poproszono o wskazanie maksymalnie trzech, które powinny być wdrażane na obszarze objętym LSR. Najczęściej udzielaną odpowiedzią była: „poprawa dostępu do małej infrastruktury publicznej” (75%). Na prośbę o wskazanie jakie powinny być główne formy partycypacji/komunikacji między LGD i mieszkańcami, zdecydowana większość ankietowanych wskazała: „informacje na stronie internetowej LGD”, a także „media społecznościowe” (po 75%).</w:t>
      </w:r>
    </w:p>
    <w:p w14:paraId="4EE3F51D">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 dniach 09.03–07.04.2023 r. przeprowadzono otwarty nabór fiszek projektowych, tj. propozycji projektów do wdrażania w ramach LSR. W ramach naboru nie wpłynęły żadne fiszki, co świadczy o niskiej aktywności społecznej mieszkańców. Zasadne jest więc podjęcie wszelkich działań</w:t>
      </w:r>
      <w:r>
        <w:rPr>
          <w:rFonts w:ascii="Times New Roman" w:hAnsi="Times New Roman" w:cs="Times New Roman"/>
        </w:rPr>
        <w:t xml:space="preserve"> pobudzających aktywność środowisk lokalnych oraz stymulujących współpracę na rzecz rozwoju i promocji wartości związanych z miejscową specyfiką społeczną i kulturową.</w:t>
      </w:r>
      <w:r>
        <w:rPr>
          <w:sz w:val="23"/>
          <w:szCs w:val="23"/>
        </w:rPr>
        <w:t xml:space="preserve"> </w:t>
      </w:r>
    </w:p>
    <w:p w14:paraId="1A3F2E5B">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Na etapie opracowania LSR odbyły się również posiedzenia Zespołu ds. LSR. Pierwsze spotkanie miało charakter informacyjno-warsztatowy. Zespołowi przedstawiono </w:t>
      </w:r>
      <w:r>
        <w:rPr>
          <w:rFonts w:ascii="Times New Roman" w:hAnsi="Times New Roman" w:cs="Times New Roman"/>
          <w:i/>
          <w:iCs/>
          <w:color w:val="000000" w:themeColor="text1"/>
          <w14:textFill>
            <w14:solidFill>
              <w14:schemeClr w14:val="tx1"/>
            </w14:solidFill>
          </w14:textFill>
        </w:rPr>
        <w:t>Diagnozę obszaru na potrzeby Lokalnej Strategii Rozwoju</w:t>
      </w:r>
      <w:r>
        <w:rPr>
          <w:rFonts w:ascii="Times New Roman" w:hAnsi="Times New Roman" w:cs="Times New Roman"/>
          <w:color w:val="000000" w:themeColor="text1"/>
          <w14:textFill>
            <w14:solidFill>
              <w14:schemeClr w14:val="tx1"/>
            </w14:solidFill>
          </w14:textFill>
        </w:rPr>
        <w:t>. Po dyskusji na ten temat odbyły się warsztaty – członkowie Zespołu ds. LSR mieli za zadanie określić najważniejsze cele rozwoju obszaru, zaproponować przedsięwzięcia do realizacji oraz dokonać wstępnego podziału budżetu. W wyniku spotkania stwierdzono, że rozwój obszaru powinien opierać się na wykorzystaniu dziedzictwa kulturowego i międzypokoleniowości. Zauważono, że atutem obszaru LGD są również: bliskie sąsiedztwo Krakowa, działalność rzemieślnicza – kowalstwo sułkowickie, a także potencjał Tokarni, która jest zagłębiem artystów. Należy podejmować działania ukierunkowane na</w:t>
      </w:r>
      <w:r>
        <w:rPr>
          <w:rFonts w:ascii="Times New Roman" w:hAnsi="Times New Roman" w:cs="Times New Roman"/>
        </w:rPr>
        <w:t xml:space="preserve"> wzmacnianie potencjału organizacji pozarządowych na rzecz budowania oferty czasu wolnego</w:t>
      </w:r>
      <w:r>
        <w:rPr>
          <w:rFonts w:ascii="Times New Roman" w:hAnsi="Times New Roman" w:cs="Times New Roman"/>
          <w:color w:val="000000" w:themeColor="text1"/>
          <w14:textFill>
            <w14:solidFill>
              <w14:schemeClr w14:val="tx1"/>
            </w14:solidFill>
          </w14:textFill>
        </w:rPr>
        <w:t>, tworzenia atrakcyjnej infrastruktury publicznej oraz rekreacyjno-sportowej, a także poprzez kultywowanie folkloru, tradycji i organizację wydarzeń promujących lokalne zasoby. Podczas dyskusji omówiono m.in. poziom innowacyjności obszaru oraz jakie działania należy podjąć w celu jej zwiększenia. Wspólnie zdecydowano, że podczas realizacji LSR duży nacisk zostanie położony na animowanie mieszkańców do wdrażania innowacji, w tym celu mieszkańcy podczas różnych spotkań, warsztatów i szkoleń będą informowani o możliwościach zwiększenia innowacyjności usług, produktów itd. Na spotkaniu dyskutowano także o wdrażaniu operacji w partnerstwie, czyli takich, które są realizowane przez partnerów z obszaru jednej LSR oraz projektów partnerskich, które składają się z kilku operacji realizowanych przez partnerów z obszarów wykraczających poza jedną LSR</w:t>
      </w:r>
      <w:r>
        <w:rPr>
          <w:rStyle w:val="17"/>
          <w:rFonts w:ascii="Times New Roman" w:hAnsi="Times New Roman" w:cs="Times New Roman"/>
          <w:color w:val="000000" w:themeColor="text1"/>
          <w14:textFill>
            <w14:solidFill>
              <w14:schemeClr w14:val="tx1"/>
            </w14:solidFill>
          </w14:textFill>
        </w:rPr>
        <w:footnoteReference w:id="5"/>
      </w:r>
      <w:r>
        <w:rPr>
          <w:rFonts w:ascii="Times New Roman" w:hAnsi="Times New Roman" w:cs="Times New Roman"/>
          <w:color w:val="000000" w:themeColor="text1"/>
          <w14:textFill>
            <w14:solidFill>
              <w14:schemeClr w14:val="tx1"/>
            </w14:solidFill>
          </w14:textFill>
        </w:rPr>
        <w:t xml:space="preserve">. Uczestnicy spotkania wspólnie zdecydowali, że należy wdrażać zarówno operacje w partnerstwie jak i projekty partnerskie z partnerami krajowymi i zagranicznymi dla osiągniecia lepszych efektów wdrażania LSR. Podczas rozmowy analizowano też opinie mieszkańców oraz dane statystyczne pod kątem osób w niekorzystnej sytuacji. Zebrani zdecydowali, że należy kontynuować działania z poprzedniej LSR i nadal wspierać osoby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niepełnosprawnością. Grupa ta ma znikomy dostęp do środków utrzymania i egzystuje głównie z zasiłków opiekuńczych i celowych, co z góry przekreśla możliwości jej startu w prowadzeniu własnej działalności gospodarczej. Wskazano również na potrzebę zwiększenia aktywności społecznej oraz wsparcie dla osób w niekorzystnej sytuacji poprzez poprawę jakości życia i usług społecznych dla mieszkańców, co potwierdzają informacje zebrane podczas spotkań z mieszkańcami obszaru LGD oraz wyniki ankiety diagnostycznej na potrzeby opracowania LSR. </w:t>
      </w:r>
    </w:p>
    <w:p w14:paraId="04E22437">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Ponadto zwrócono uwagę na kontynuację wspierania przedsiębiorczości, w tym na rzecz tworzenia nowych miejsc pracy i rozwijania istniejących przedsiębiorstw działających w branżach lokalnych oraz rekomendacje płynące raportu ewaluacyjnego: „</w:t>
      </w:r>
      <w:r>
        <w:rPr>
          <w:rFonts w:ascii="Times New Roman" w:hAnsi="Times New Roman" w:cs="Times New Roman"/>
          <w:i/>
          <w:iCs/>
          <w:color w:val="000000" w:themeColor="text1"/>
          <w14:textFill>
            <w14:solidFill>
              <w14:schemeClr w14:val="tx1"/>
            </w14:solidFill>
          </w14:textFill>
        </w:rPr>
        <w:t>obecne działania LGD pozytywnie wpłynęły na rozwój przedsiębiorczości w badanym obszarze, a przeprowadzone badania wśród mieszkańców terenu LGD jednoznacznie wskazują na dalszą potrzebę wsparcia w obszarze zarówno podejmowania jak i rozwijania przedsiębiorczości w nowej perspektywie finansowej</w:t>
      </w:r>
      <w:r>
        <w:rPr>
          <w:rFonts w:ascii="Times New Roman" w:hAnsi="Times New Roman" w:cs="Times New Roman"/>
          <w:color w:val="000000" w:themeColor="text1"/>
          <w14:textFill>
            <w14:solidFill>
              <w14:schemeClr w14:val="tx1"/>
            </w14:solidFill>
          </w14:textFill>
        </w:rPr>
        <w:t>”</w:t>
      </w:r>
      <w:r>
        <w:rPr>
          <w:rStyle w:val="17"/>
          <w:rFonts w:ascii="Times New Roman" w:hAnsi="Times New Roman" w:cs="Times New Roman"/>
          <w:color w:val="000000" w:themeColor="text1"/>
          <w14:textFill>
            <w14:solidFill>
              <w14:schemeClr w14:val="tx1"/>
            </w14:solidFill>
          </w14:textFill>
        </w:rPr>
        <w:footnoteReference w:id="6"/>
      </w:r>
      <w:r>
        <w:rPr>
          <w:rFonts w:ascii="Times New Roman" w:hAnsi="Times New Roman" w:cs="Times New Roman"/>
          <w:color w:val="000000" w:themeColor="text1"/>
          <w14:textFill>
            <w14:solidFill>
              <w14:schemeClr w14:val="tx1"/>
            </w14:solidFill>
          </w14:textFill>
        </w:rPr>
        <w:t>.</w:t>
      </w:r>
    </w:p>
    <w:p w14:paraId="62A6878C">
      <w:pPr>
        <w:spacing w:after="0" w:line="276" w:lineRule="auto"/>
        <w:ind w:firstLine="709"/>
        <w:jc w:val="both"/>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Wypracowanie analizy SWOT oraz diagnozy obszaru było fundamentem stworzenia całego dokumentu. Na ich podstawie zostały sporządzone kolejne elementy LSR, które następnie były szczegółowo omawiane i poddawane dalszym konsultacjom społecznym. Zespół ds. LSR wszystkie zgłoszone uwagi i spostrzeżenia poddał dogłębnej analizie, a te z nich, które uznał za zasadne, uwzględniono podczas dalszych prac nad tworzeniem dokumentu.</w:t>
      </w:r>
    </w:p>
    <w:p w14:paraId="1FFD9208">
      <w:pPr>
        <w:spacing w:after="0" w:line="276" w:lineRule="auto"/>
        <w:ind w:firstLine="709"/>
        <w:jc w:val="both"/>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Ponadto wszystkie dokumenty przygotowane przez Zespół ds. LSR, na podstawie przeprowadzonych konsultacji społecznych oraz danych statystycznych, były zamieszczane na stronie internetowej LGD w celu zapewnienia możliwości zapoznania się z nimi jak najszerszemu gronu odbiorców.</w:t>
      </w:r>
    </w:p>
    <w:p w14:paraId="63E80529">
      <w:pPr>
        <w:spacing w:after="0" w:line="276" w:lineRule="auto"/>
        <w:ind w:firstLine="708"/>
        <w:jc w:val="both"/>
        <w:rPr>
          <w:rFonts w:ascii="Times New Roman" w:hAnsi="Times New Roman" w:cs="Times New Roman"/>
        </w:rPr>
      </w:pPr>
      <w:r>
        <w:rPr>
          <w:rFonts w:ascii="Times New Roman" w:hAnsi="Times New Roman" w:cs="Times New Roman"/>
        </w:rPr>
        <w:t xml:space="preserve">Projekt LSR został poddany konsultacjom społecznym, podczas których umożliwiono wszystkim zainteresowanym stronom składanie uwag pisemnych lub ustnych podczas spotkań konsultacyjnych. Konsultacje odbyły się w dniach: 22–29.05.2023 r. W ich wyniku do Biura LGD nie wpłynęły żadne uwagi. </w:t>
      </w:r>
    </w:p>
    <w:p w14:paraId="571AE10A">
      <w:pPr>
        <w:spacing w:after="0" w:line="276" w:lineRule="auto"/>
        <w:ind w:firstLine="708"/>
        <w:jc w:val="both"/>
        <w:rPr>
          <w:rFonts w:ascii="Times New Roman" w:hAnsi="Times New Roman" w:cs="Times New Roman"/>
        </w:rPr>
      </w:pPr>
      <w:r>
        <w:rPr>
          <w:rFonts w:ascii="Times New Roman" w:hAnsi="Times New Roman" w:cs="Times New Roman"/>
        </w:rPr>
        <w:t>W celu umożliwienia komunikacji jak najszerszemu gronu odbiorców, pracownicy Biura LGD udzielali informacji oraz konsultacji na platformie społecznościowej Facebook.</w:t>
      </w:r>
    </w:p>
    <w:p w14:paraId="4286763F">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 xml:space="preserve">Informacje o wszystkich spotkaniach były umieszczane na stronie internetowej LGD, w mediach społecznościowych, a także na tablicach ogłoszeń w każdej z gmin obszaru, tak aby zarówno młodzi mieszkańcy regionu jak i starsi mogli uczestniczyć w spotkaniach. Podczas dyskusji każdy z mieszkańców mógł zabrać głos i wszystkie postulaty uczestników spotkań zostały uwzględnione w pracach nad dokumentem. Podczas wszystkich przeprowadzonych spotkań znaczną grupę uczestników stanowili pracownicy urzędów – są oni nie tylko przedstawicielami instytucji publicznych, ale też dobrze zorientowanymi w sytuacji społeczno-gospodarczej mieszkańców tego obszaru. Aktywnymi uczestnikami byli także Radni i Sołtysi, którzy są wybierani przez mieszkańców i ich reprezentują. Jednymi z najbardziej zaangażowanych grup w tworzenie i wdrażanie LSR są organizacje pozarządowe oraz instytucje kultury. W spotkaniach znaczny udział miały kobiety i seniorzy. </w:t>
      </w:r>
    </w:p>
    <w:p w14:paraId="6C186204">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Oprócz wykorzystania materiałów z szeroko prowadzonych konsultacji społecznych, przy opracowywaniu Strategii wzięto pod uwagę wyniki raportu ewaluacyjnego, a w szczególności płynące z niego rekomendacje. W związku z tym, zwrócono szczególną uwagę na dalszy rozwój gospodarki, infrastruktury rekreacyjnej i okołoturystycznej, która jest szczególnie istotna w tym obszarze, a także wsparcie działań mających na celu integrację mieszkańców poszczególnych gmin LGD Między Dalinem i Gościbią. Rekomendacje: „</w:t>
      </w:r>
      <w:r>
        <w:rPr>
          <w:rFonts w:ascii="Times New Roman" w:hAnsi="Times New Roman" w:cs="Times New Roman"/>
          <w:i/>
          <w:iCs/>
          <w:color w:val="000000" w:themeColor="text1"/>
          <w14:textFill>
            <w14:solidFill>
              <w14:schemeClr w14:val="tx1"/>
            </w14:solidFill>
          </w14:textFill>
        </w:rPr>
        <w:t xml:space="preserve">Należy w przyszłości kontynuować działania mające na celu rozwój przedsiębiorczości, współpracy międzysektorowej i różnorodności, ale także działania mające na celu rozwój kapitału społecznego gmin LGD Między Dalinem i Gościbią. </w:t>
      </w:r>
      <w:r>
        <w:rPr>
          <w:rFonts w:ascii="Times New Roman" w:hAnsi="Times New Roman" w:cs="Times New Roman"/>
          <w:i/>
          <w:iCs/>
        </w:rPr>
        <w:t>W przyszłości należałoby zatem kontynuować działania w zakresie podejmowania i rozwijania działalności. Należałoby także wspierać rozwój infrastruktury turystycznej tego obszaru. Należy zatem kontynuować wsparcie w zakresie turystyki i dziedzictwa kulturowego, kierując działania w rozwój infrastruktury turystycznej. Ponadto należy wspierać działalność organizacji pozarządowych, które kultywują tradycje i historię tego regionu”</w:t>
      </w:r>
      <w:r>
        <w:rPr>
          <w:rStyle w:val="17"/>
          <w:rFonts w:ascii="Times New Roman" w:hAnsi="Times New Roman" w:cs="Times New Roman"/>
        </w:rPr>
        <w:footnoteReference w:id="7"/>
      </w:r>
      <w:r>
        <w:rPr>
          <w:rStyle w:val="17"/>
        </w:rPr>
        <w:t>.</w:t>
      </w:r>
      <w:r>
        <w:rPr>
          <w:rStyle w:val="17"/>
          <w:vertAlign w:val="baseline"/>
        </w:rPr>
        <w:t>.</w:t>
      </w:r>
      <w:r>
        <w:rPr>
          <w:rFonts w:ascii="Times New Roman" w:hAnsi="Times New Roman" w:cs="Times New Roman"/>
          <w:color w:val="000000" w:themeColor="text1"/>
          <w14:textFill>
            <w14:solidFill>
              <w14:schemeClr w14:val="tx1"/>
            </w14:solidFill>
          </w14:textFill>
        </w:rPr>
        <w:t xml:space="preserve"> Ponadto spójność niniejszej LSR z rekomendacjami zawartymi w raporcie ewaluacyjnym przejawia się w tym, że zaplanowano kolejne działania służące tworzeniu i rozwijaniu przedsiębiorstw oraz te ukierunkowane na współpracę międzysektorową. Ponadto na spotkaniach konsultacyjno-warsztatowych mieszkańcy jednoznacznie wskazywali na duże zapotrzebowanie w tym zakresie, dodatkowo tego rodzaju potrzebę podkreślali mieszkańcy gmin obszaru LGD w ankiecie planistycznej – jako kluczowe kierunki/obszary rozwoju LGD ankietowani wskazywali: „rozwój turystyki i infrastruktury okołoturystycznej” (61% odpowiedzi) oraz jako główny obszary wsparcia wskazali „poprawę dostępu do małej infrastruktury publicznej” (75%). </w:t>
      </w:r>
    </w:p>
    <w:p w14:paraId="7C1660C4">
      <w:pPr>
        <w:spacing w:after="0" w:line="276" w:lineRule="auto"/>
        <w:ind w:firstLine="708"/>
        <w:jc w:val="both"/>
        <w:rPr>
          <w:rFonts w:ascii="Times New Roman" w:hAnsi="Times New Roman" w:eastAsia="Calibri" w:cs="Times New Roman"/>
          <w:sz w:val="24"/>
          <w:szCs w:val="24"/>
          <w:lang w:eastAsia="pl-PL"/>
        </w:rPr>
      </w:pPr>
      <w:r>
        <w:rPr>
          <w:rFonts w:ascii="Times New Roman" w:hAnsi="Times New Roman" w:eastAsia="Calibri" w:cs="Times New Roman"/>
          <w:color w:val="000000" w:themeColor="text1"/>
          <w14:textFill>
            <w14:solidFill>
              <w14:schemeClr w14:val="tx1"/>
            </w14:solidFill>
          </w14:textFill>
        </w:rPr>
        <w:t xml:space="preserve">Czynny udział w tworzeniu dokumentu brali pracownicy Biura LGD poprzez uczestniczenie w szkoleniach </w:t>
      </w:r>
      <w:r>
        <w:rPr>
          <w:rFonts w:ascii="Times New Roman" w:hAnsi="Times New Roman" w:eastAsia="Calibri" w:cs="Times New Roman"/>
          <w:color w:val="000000" w:themeColor="text1"/>
          <w14:textFill>
            <w14:solidFill>
              <w14:schemeClr w14:val="tx1"/>
            </w14:solidFill>
          </w14:textFill>
        </w:rPr>
        <w:br w:type="textWrapping"/>
      </w:r>
      <w:r>
        <w:rPr>
          <w:rFonts w:ascii="Times New Roman" w:hAnsi="Times New Roman" w:eastAsia="Calibri" w:cs="Times New Roman"/>
          <w:color w:val="000000" w:themeColor="text1"/>
          <w14:textFill>
            <w14:solidFill>
              <w14:schemeClr w14:val="tx1"/>
            </w14:solidFill>
          </w14:textFill>
        </w:rPr>
        <w:t>i konsultacjach dotyczących tworzenia LSR oraz dzięki współpracy z innymi Lokalnymi Grupami Działania w celu wypracowania wspólnych stanowisk odnoszących się do poszczególnych elementów Strategii</w:t>
      </w:r>
      <w:r>
        <w:rPr>
          <w:rFonts w:ascii="Times New Roman" w:hAnsi="Times New Roman" w:eastAsia="Calibri" w:cs="Times New Roman"/>
          <w:sz w:val="24"/>
          <w:szCs w:val="24"/>
          <w:lang w:eastAsia="pl-PL"/>
        </w:rPr>
        <w:t>.</w:t>
      </w:r>
    </w:p>
    <w:p w14:paraId="00269790">
      <w:pPr>
        <w:spacing w:after="0" w:line="276" w:lineRule="auto"/>
        <w:ind w:firstLine="708"/>
        <w:jc w:val="both"/>
        <w:rPr>
          <w:rFonts w:ascii="Times New Roman" w:hAnsi="Times New Roman" w:cs="Times New Roman"/>
        </w:rPr>
      </w:pPr>
      <w:r>
        <w:rPr>
          <w:rFonts w:ascii="Times New Roman" w:hAnsi="Times New Roman" w:cs="Times New Roman"/>
        </w:rPr>
        <w:t xml:space="preserve">Podczas wdrażania LSR planuje się aktywizować osoby młode (do 25. roku życia) oraz osoby starsze (po 60. roku życia). Na etapie przygotowania LSR włączono ludzi starszych do współpracy w LGD poprzez członkostwo w Zarządzie. Zaplanowano również realizację operacji integrujących i animujących dla tej grupy. </w:t>
      </w:r>
    </w:p>
    <w:p w14:paraId="639124A9">
      <w:pPr>
        <w:spacing w:line="276" w:lineRule="auto"/>
        <w:ind w:firstLine="708"/>
        <w:jc w:val="both"/>
        <w:rPr>
          <w:rFonts w:ascii="Times New Roman" w:hAnsi="Times New Roman" w:cs="Times New Roman"/>
        </w:rPr>
      </w:pPr>
      <w:r>
        <w:rPr>
          <w:rFonts w:ascii="Times New Roman" w:hAnsi="Times New Roman" w:cs="Times New Roman"/>
        </w:rPr>
        <w:t>Działania związane z etapem opracowania LSR prowadzone były z uwzględnieniem zasad horyzontalnych. Metody komunikacji z mieszkańcami, partnerami i potencjalnymi beneficjentami spełniały wymagania w zakresie dostępności architektonicznej (spotkania konsultacyjne w obiektach dostępnych), dostępności cyfrowej oraz dostępności informacyjno-komunikacyjnej.</w:t>
      </w:r>
    </w:p>
    <w:p w14:paraId="702C12B5">
      <w:pPr>
        <w:pStyle w:val="28"/>
        <w:numPr>
          <w:ilvl w:val="0"/>
          <w:numId w:val="12"/>
        </w:numPr>
        <w:spacing w:before="240" w:line="276" w:lineRule="auto"/>
        <w:ind w:left="1134" w:hanging="357"/>
        <w:contextualSpacing w:val="0"/>
        <w:jc w:val="both"/>
        <w:outlineLvl w:val="1"/>
        <w:rPr>
          <w:rFonts w:ascii="Times New Roman" w:hAnsi="Times New Roman" w:cs="Times New Roman"/>
          <w:b/>
          <w:bCs/>
        </w:rPr>
      </w:pPr>
      <w:bookmarkStart w:id="24" w:name="_Toc135994831"/>
      <w:r>
        <w:rPr>
          <w:rFonts w:ascii="Times New Roman" w:hAnsi="Times New Roman" w:cs="Times New Roman"/>
          <w:b/>
          <w:bCs/>
        </w:rPr>
        <w:t>Etap wdrażania LSR</w:t>
      </w:r>
      <w:bookmarkEnd w:id="24"/>
    </w:p>
    <w:p w14:paraId="65D6A6A8">
      <w:pPr>
        <w:spacing w:after="0" w:line="276" w:lineRule="auto"/>
        <w:ind w:firstLine="708"/>
        <w:jc w:val="both"/>
        <w:rPr>
          <w:rFonts w:ascii="Times New Roman" w:hAnsi="Times New Roman" w:cs="Times New Roman"/>
        </w:rPr>
      </w:pPr>
      <w:r>
        <w:rPr>
          <w:rFonts w:ascii="Times New Roman" w:hAnsi="Times New Roman" w:cs="Times New Roman"/>
        </w:rPr>
        <w:t>Na etapie wdrażania i realizacji LSR również przewiduje się dalszy udział społeczności lokalnej i konsultacje społeczne. Dzięki odpowiednim zapisom w dokumentach regulujących, w sytuacjach tego wymagających możliwe jest przeprowadzenie jej aktualizacji. W trakcie wdrażania LSR uwagi i zastrzeżenia mieszkańców poddawane będą analizie i na ich podstawie możliwe będzie dokonywanie zmian w zakresie doradztwa czy w Planie komunikacji z lokalną społecznością, który posiada LGD. Zgodnie z procedurą aktualizacji, informacje o planowanych zmianach udostępnione zostaną do publicznej wiadomości za pomocą strony internetowej LGD oraz mediów społecznościowych, a także na tablicach ogłoszeń w każdej z gmin obszaru, do dalszej konsultacji społecznej.</w:t>
      </w:r>
    </w:p>
    <w:p w14:paraId="3149768F">
      <w:pPr>
        <w:spacing w:after="0" w:line="276" w:lineRule="auto"/>
        <w:ind w:firstLine="708"/>
        <w:jc w:val="both"/>
        <w:rPr>
          <w:rFonts w:ascii="Times New Roman" w:hAnsi="Times New Roman" w:cs="Times New Roman"/>
        </w:rPr>
      </w:pPr>
      <w:r>
        <w:rPr>
          <w:rFonts w:ascii="Times New Roman" w:hAnsi="Times New Roman" w:cs="Times New Roman"/>
        </w:rPr>
        <w:t>W trakcie wdrażania LSR możliwa będzie jej aktualizacja w przypadku wystąpienia istotnych okoliczności. Aby zaktualizowany dokument nadal odpowiadał potrzebom zgłaszanym przez mieszkańców, planuje się informowanie społeczności lokalnej o każdej zmianie za pomocą strony internetowej LGD, stron internetowych gmin oraz w mediach społecznościowych, a także poddawanie propozycji zmian do konsultacji społecznych. W zależności od rodzaju i ważności wprowadzanej zmiany, konsultacje przeprowadzane będą poprzez formularz zgłaszania uwag lub spotkania otwarte. Uwagi mieszkańców, tak jak podczas tworzenia LSR, poddawane będą analizie oraz uwzględniane będą te istotne i zasadne.</w:t>
      </w:r>
    </w:p>
    <w:p w14:paraId="698D8BEB">
      <w:pPr>
        <w:spacing w:after="0" w:line="276" w:lineRule="auto"/>
        <w:ind w:firstLine="708"/>
        <w:jc w:val="both"/>
        <w:rPr>
          <w:rFonts w:ascii="Times New Roman" w:hAnsi="Times New Roman" w:cs="Times New Roman"/>
        </w:rPr>
      </w:pPr>
      <w:r>
        <w:rPr>
          <w:rFonts w:ascii="Times New Roman" w:hAnsi="Times New Roman" w:cs="Times New Roman"/>
        </w:rPr>
        <w:t xml:space="preserve">Również na etapie wdrażania planuje się stosować metody komunikacji, które nie wykluczą żadnej z grup społecznych – osoby, które mają problem z przemieszczaniem się czy są ograniczone czasowo (np. młodzi rodzice), będą mogli pozyskiwać informacje w swoich domach – poprzez media społecznościowe, strony internetowe LGD </w:t>
      </w:r>
      <w:r>
        <w:rPr>
          <w:rFonts w:ascii="Times New Roman" w:hAnsi="Times New Roman" w:cs="Times New Roman"/>
        </w:rPr>
        <w:br w:type="textWrapping"/>
      </w:r>
      <w:r>
        <w:rPr>
          <w:rFonts w:ascii="Times New Roman" w:hAnsi="Times New Roman" w:cs="Times New Roman"/>
        </w:rPr>
        <w:t xml:space="preserve">i gmin zrzeszonych w LGD, rozmowy telefoniczne, podczas konsultacji będą mieli możliwość zgłaszania uwag </w:t>
      </w:r>
      <w:r>
        <w:rPr>
          <w:rFonts w:ascii="Times New Roman" w:hAnsi="Times New Roman" w:cs="Times New Roman"/>
        </w:rPr>
        <w:br w:type="textWrapping"/>
      </w:r>
      <w:r>
        <w:rPr>
          <w:rFonts w:ascii="Times New Roman" w:hAnsi="Times New Roman" w:cs="Times New Roman"/>
        </w:rPr>
        <w:t xml:space="preserve">w formie elektronicznej, przewiduje się także transmisję spotkań w czasie rzeczywistym z możliwością zabierania głosu poprzez czat. Osoby, które są wykluczone cyfrowo lub preferują tradycyjne formy komunikacji, będą mogły uzyskać wszelkie informacje w siedzibie LGD lub podczas spotkań, a także będą miały możliwość zgłaszania uwag w formie papierowej. Badania ankietowe prowadzone będą zarówno w formie tradycyjnej (papierowej), jak </w:t>
      </w:r>
      <w:r>
        <w:rPr>
          <w:rFonts w:ascii="Times New Roman" w:hAnsi="Times New Roman" w:cs="Times New Roman"/>
        </w:rPr>
        <w:br w:type="textWrapping"/>
      </w:r>
      <w:r>
        <w:rPr>
          <w:rFonts w:ascii="Times New Roman" w:hAnsi="Times New Roman" w:cs="Times New Roman"/>
        </w:rPr>
        <w:t xml:space="preserve">i on-line. LGD o swoich działaniach będzie informował również tradycyjnymi kanałami komunikacji, tj. ogłoszenia </w:t>
      </w:r>
      <w:r>
        <w:rPr>
          <w:rFonts w:ascii="Times New Roman" w:hAnsi="Times New Roman" w:cs="Times New Roman"/>
        </w:rPr>
        <w:br w:type="textWrapping"/>
      </w:r>
      <w:r>
        <w:rPr>
          <w:rFonts w:ascii="Times New Roman" w:hAnsi="Times New Roman" w:cs="Times New Roman"/>
        </w:rPr>
        <w:t xml:space="preserve">w lokalnych mediach. Zaplanowane metody pozwolą na dotarcie do szerokiego grona odbiorców, zarówno tych, którzy do tej pory uczestniczyli we wdrażaniu LSR, jak i osób do tej pory niezainteresowanych współpracą w ramach LGD. Wszystkie opisane metody zostały uwzględnione w Planie komunikacji. </w:t>
      </w:r>
    </w:p>
    <w:p w14:paraId="763D9680">
      <w:pPr>
        <w:spacing w:after="0" w:line="276" w:lineRule="auto"/>
        <w:ind w:firstLine="708"/>
        <w:jc w:val="both"/>
        <w:rPr>
          <w:rFonts w:ascii="Times New Roman" w:hAnsi="Times New Roman" w:cs="Times New Roman"/>
        </w:rPr>
      </w:pPr>
      <w:r>
        <w:rPr>
          <w:rFonts w:ascii="Times New Roman" w:hAnsi="Times New Roman" w:cs="Times New Roman"/>
        </w:rPr>
        <w:t>Udział mieszkańców obszaru LGD reprezentujących różne sektory w tworzeniu Strategii był niewystarczający. To pokazało, iż mieszkańcy nie są zainteresowani udziałem w życiu społecznym obszaru. Dlatego bardzo istotne są działania angażujące mieszkańców we współpracę na rzecz regionu. Pierwszym działaniem w tym kierunku będzie organizacja konferencji otwierającej wdrażanie nowej LSR, na której uczestnicy zostaną zapoznani z możliwościami jakie płyną z wdrażania założeń dokumentu.</w:t>
      </w:r>
    </w:p>
    <w:p w14:paraId="1F0FA937">
      <w:pPr>
        <w:spacing w:after="0" w:line="276" w:lineRule="auto"/>
        <w:ind w:firstLine="708"/>
        <w:jc w:val="both"/>
        <w:rPr>
          <w:rFonts w:ascii="Times New Roman" w:hAnsi="Times New Roman" w:cs="Times New Roman"/>
        </w:rPr>
      </w:pPr>
      <w:r>
        <w:rPr>
          <w:rFonts w:ascii="Times New Roman" w:hAnsi="Times New Roman" w:cs="Times New Roman"/>
        </w:rPr>
        <w:t xml:space="preserve">Wszystkie zainteresowane strony, szczególnie partnerzy lokalni i mieszkańcy będą angażowani we wdrażanie Strategii poprzez odpowiednią komunikację i animację, umożliwienie podejmowania decyzji (planowane mobilizowanie biernych interesariuszy do realizacji Strategii), możliwość wdrażania projektów oraz rozwijanie współpracy między podmiotami i zachęcanie do realizacji projektów partnerskich (budowanie zaufania). </w:t>
      </w:r>
    </w:p>
    <w:p w14:paraId="33C3AE6D">
      <w:pPr>
        <w:spacing w:after="0" w:line="276" w:lineRule="auto"/>
        <w:ind w:firstLine="708"/>
        <w:jc w:val="both"/>
        <w:rPr>
          <w:rFonts w:ascii="Times New Roman" w:hAnsi="Times New Roman" w:cs="Times New Roman"/>
        </w:rPr>
      </w:pPr>
      <w:r>
        <w:rPr>
          <w:rFonts w:ascii="Times New Roman" w:hAnsi="Times New Roman" w:cs="Times New Roman"/>
        </w:rPr>
        <w:t xml:space="preserve">W kontekście partycypacji ważna jest również współpraca wewnątrz LGD. W związku z tym zakłada się, iż raz na kwartał będą odbywały się spotkania jak najszerszej grupy członków w celu omawiania bieżących spraw oraz monitorowania przebiegu realizacji założeń Strategii, a także rozważania wprowadzenia zmian w założeniach. Ponadto planuje się zwiększenie częstotliwości i ilości decyzji podejmowanych w sposób kolegialny. LGD będzie otwarta na inicjatywy członków i będzie do takich inicjatyw zachęcała poprzez zaproszenia do zgłaszania propozycji dotyczących funkcjonowania LGD i wdrażania LSR (konkursy). Sugestie członków LGD jak i zwykłych mieszkańców będą brane pod uwagę przez Zarząd Stowarzyszenia oraz Radę. Informacje o spotkaniach członków będą zamieszczane na stronie internetowej LGD, w mediach społecznościowych, a także będą rozsyłane wiadomości o spotkaniach drogą mailową bądź w wiadomości SMS, w zależności od wyboru drogi komunikacji przez członków. </w:t>
      </w:r>
    </w:p>
    <w:p w14:paraId="7507643C">
      <w:pPr>
        <w:spacing w:after="0" w:line="276" w:lineRule="auto"/>
        <w:ind w:firstLine="708"/>
        <w:jc w:val="both"/>
        <w:rPr>
          <w:rFonts w:ascii="Times New Roman" w:hAnsi="Times New Roman" w:cs="Times New Roman"/>
        </w:rPr>
      </w:pPr>
      <w:r>
        <w:rPr>
          <w:rFonts w:ascii="Times New Roman" w:hAnsi="Times New Roman" w:cs="Times New Roman"/>
        </w:rPr>
        <w:t xml:space="preserve">Członkowie LGD Między Dalinem i Gościbią zdają sobie sprawę, że samo informowanie mieszkańców, iż mogą brać udział w rozwijaniu LSR i prezentowanie ofert finansowania dla regionu to za mało, a animacja to proces ciągły, dlatego też zaplanowano szereg innych działań animujących do podejmowania wspólnych inicjatyw ukierunkowanych na partnerstwo oraz zwiększenie innowacyjności obszaru, a także włączających wszystkich mieszkańców do aktywności, tak aby z czasem to sami mieszkańcy przejęli inicjatywę i stali się twórcami i kreatorami zmian w lokalnej społeczności. </w:t>
      </w:r>
    </w:p>
    <w:p w14:paraId="379D4D6E">
      <w:pPr>
        <w:spacing w:after="0" w:line="276" w:lineRule="auto"/>
        <w:ind w:firstLine="708"/>
        <w:jc w:val="both"/>
        <w:rPr>
          <w:rFonts w:ascii="Times New Roman" w:hAnsi="Times New Roman" w:cs="Times New Roman"/>
          <w:b/>
          <w:bCs/>
        </w:rPr>
      </w:pPr>
      <w:r>
        <w:rPr>
          <w:rFonts w:ascii="Times New Roman" w:hAnsi="Times New Roman" w:cs="Times New Roman"/>
        </w:rPr>
        <w:t xml:space="preserve">W związku z powyższym pracownicy Biura LGD będą organizowali spotkania otwarte oraz spotkania online przez cały okres wdrażania LSR oraz przed ogłaszaniem naborów wniosków, na którym będą informować mieszkańców o możliwościach realizacji projektów w partnerstwie oraz innowacyjnych. Podczas spotkań mieszkańcy dowiedzą się jakie korzyści płyną z współpracy partnerskiej oraz jak wdrażanie rozwiązań innowacyjnych wpłynie na rozwój obszaru. W spotkaniach będą uczestniczyć również potencjalni partnerzy z obszaru LGD oraz spoza niego. Ponadto raz w roku LGD planuje udział w wydarzeniu otwartym, na którym będzie prezentowała informacje na temat wdrażania LSR gdzie również zostanie uwzględniony temat wyżej opisanych projektów. Ważnym zadaniem stojącym przed LGD jest zachęcanie mieszkańców z różnych grup do podejmowania działania w partnerstwie. W związku z tym na stronie internetowej LGD powstanie również baza z projektami partnerskimi, które będą zgłaszane przez mieszkańców obszaru, a także informacja z listą potencjalnych partnerów, którzy będą chcieli realizować projekty zarówno z partnerami z obszaru oraz spoza niego. </w:t>
      </w:r>
    </w:p>
    <w:p w14:paraId="0D22734A">
      <w:pPr>
        <w:spacing w:after="0" w:line="276" w:lineRule="auto"/>
        <w:ind w:firstLine="708"/>
        <w:jc w:val="both"/>
        <w:rPr>
          <w:rFonts w:ascii="Times New Roman" w:hAnsi="Times New Roman" w:cs="Times New Roman"/>
        </w:rPr>
      </w:pPr>
      <w:r>
        <w:rPr>
          <w:rFonts w:ascii="Times New Roman" w:hAnsi="Times New Roman" w:cs="Times New Roman"/>
        </w:rPr>
        <w:t>Oprócz spotkań z członkami oraz potencjalnymi partnerami z obszaru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grantowe oraz własne. Ponadto LGD będzie otwarte na przyjmowanie nowych członków, w celu lepszej realizacji Strategii. Informacje o możliwości przystąpienia nowych członków do Stowarzyszenia będą również umieszczane na stronie internetowej LGD oraz w mediach społecznościowych.</w:t>
      </w:r>
    </w:p>
    <w:p w14:paraId="6F3B717D">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W ramach wdrażania niniejszej LSR zaplanowano preferencje punktowe dla projektów realizowanych w partnerstwie, co przyczyni się do rozwinięcia współpracy między podmiotami z obszaru LGD, zwiększenia zainteresowania, a docelowo realizacji projektów partnerskich. LSR jest narzędziem prowadzącym do uruchomienia potencjałów i kreatywności różnych podmiotów lokalnych, które poprzez współpracę i komplementarne wykorzystywanie posiadanych zasobów będą tworzyć nowe wartości odpowiadające na oczekiwania społeczności lokalnych. Dlatego proces wdrażania Strategii opierać się będzie na partnerstwie lokalnym, w którym powinny uczestniczyć różne sektory.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grantowe. </w:t>
      </w:r>
    </w:p>
    <w:p w14:paraId="3AC5C99B">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Wszystkie wskazane powyżej metody i kanały komunikacji będą służyły konkretnym celom. Niektóre stosowane będą w celu wywołania zmiany czy wygenerowania działania (preferencje punktowe dla projektów partnerskich, animowanie społeczności, animowanie podmiotów z obszaru LSR do współpracy z innymi podmiotami, możliwość zgłaszania pomysłów na realizację nowych projektów), ale też osiągnięcia zrozumienia przekazania informacji lub zadania pytania (badania ankietowe, publikowane w różny sposób informacje, organizowane spotkania i szkolenia itp.). </w:t>
      </w:r>
    </w:p>
    <w:p w14:paraId="5F6BD4AA">
      <w:pPr>
        <w:spacing w:line="276" w:lineRule="auto"/>
        <w:ind w:firstLine="708"/>
        <w:jc w:val="both"/>
        <w:rPr>
          <w:rFonts w:ascii="Times New Roman" w:hAnsi="Times New Roman" w:cs="Times New Roman"/>
        </w:rPr>
      </w:pPr>
      <w:r>
        <w:rPr>
          <w:rFonts w:ascii="Times New Roman" w:hAnsi="Times New Roman" w:cs="Times New Roman"/>
        </w:rPr>
        <w:t>Działania związane z wdrażaniem LSR oraz wszelkie planowane formy i metody komunikacji z mieszkańcami, partnerami czy potencjalnymi beneficjentami będą możliwie szeroko spełniały wymagania w zakresie dostępności architektonicznej (powstająca w ramach LSR infrastruktura dostosowana do potrzeb osób niepełnosprawnych, spotkania informacyjne w obiektach dostępnych), dostępności cyfrowej oraz dostępności informacyjno-komunikacyjnej.</w:t>
      </w:r>
    </w:p>
    <w:p w14:paraId="2633D8E0">
      <w:pPr>
        <w:rPr>
          <w:rFonts w:ascii="Times New Roman" w:hAnsi="Times New Roman" w:cs="Times New Roman"/>
        </w:rPr>
      </w:pPr>
      <w:r>
        <w:rPr>
          <w:rFonts w:ascii="Times New Roman" w:hAnsi="Times New Roman" w:cs="Times New Roman"/>
        </w:rPr>
        <w:br w:type="page"/>
      </w:r>
    </w:p>
    <w:p w14:paraId="121AB6DC">
      <w:pPr>
        <w:pStyle w:val="28"/>
        <w:numPr>
          <w:ilvl w:val="0"/>
          <w:numId w:val="2"/>
        </w:numPr>
        <w:spacing w:after="0" w:line="276" w:lineRule="auto"/>
        <w:jc w:val="both"/>
        <w:outlineLvl w:val="0"/>
        <w:rPr>
          <w:rFonts w:ascii="Times New Roman" w:hAnsi="Times New Roman" w:cs="Times New Roman"/>
          <w:b/>
          <w:bCs/>
        </w:rPr>
      </w:pPr>
      <w:bookmarkStart w:id="25" w:name="_Toc135994832"/>
      <w:r>
        <w:rPr>
          <w:rFonts w:ascii="Times New Roman" w:hAnsi="Times New Roman" w:cs="Times New Roman"/>
          <w:b/>
          <w:bCs/>
          <w:color w:val="000000" w:themeColor="text1"/>
          <w14:textFill>
            <w14:solidFill>
              <w14:schemeClr w14:val="tx1"/>
            </w14:solidFill>
          </w14:textFill>
        </w:rPr>
        <w:t>ANALIZA POTRZEB I POTENCJAŁU LSR</w:t>
      </w:r>
      <w:bookmarkEnd w:id="25"/>
    </w:p>
    <w:p w14:paraId="7AD3C694">
      <w:pPr>
        <w:pStyle w:val="28"/>
        <w:numPr>
          <w:ilvl w:val="0"/>
          <w:numId w:val="14"/>
        </w:numPr>
        <w:spacing w:before="240" w:line="276" w:lineRule="auto"/>
        <w:ind w:left="1134" w:hanging="357"/>
        <w:contextualSpacing w:val="0"/>
        <w:jc w:val="both"/>
        <w:outlineLvl w:val="1"/>
        <w:rPr>
          <w:rFonts w:ascii="Times New Roman" w:hAnsi="Times New Roman" w:cs="Times New Roman"/>
          <w:b/>
          <w:bCs/>
        </w:rPr>
      </w:pPr>
      <w:bookmarkStart w:id="26" w:name="_Toc135994833"/>
      <w:r>
        <w:rPr>
          <w:rFonts w:ascii="Times New Roman" w:hAnsi="Times New Roman" w:cs="Times New Roman"/>
          <w:b/>
          <w:bCs/>
        </w:rPr>
        <w:t>Potrzeby rozwojowe i potencjały obszaru</w:t>
      </w:r>
      <w:bookmarkEnd w:id="26"/>
    </w:p>
    <w:p w14:paraId="31473FD9">
      <w:pPr>
        <w:pStyle w:val="28"/>
        <w:spacing w:before="240" w:line="276" w:lineRule="auto"/>
        <w:ind w:left="0" w:firstLine="708"/>
        <w:jc w:val="both"/>
        <w:rPr>
          <w:rFonts w:ascii="Times New Roman" w:hAnsi="Times New Roman" w:cs="Times New Roman"/>
        </w:rPr>
      </w:pPr>
      <w:r>
        <w:rPr>
          <w:rFonts w:ascii="Times New Roman" w:hAnsi="Times New Roman" w:cs="Times New Roman"/>
        </w:rPr>
        <w:t xml:space="preserve">Podstawę przygotowania jakiejkolwiek strategii rozwoju stanowi dobrze przeprowadzona diagnoza obszaru dotycząca problemów i potrzeb, jak również zasobów i potencjału danego terytorium i danej społeczności. Na cele opracowania LSR opracowana została w I kwartale 2023 r. </w:t>
      </w:r>
      <w:r>
        <w:rPr>
          <w:rFonts w:ascii="Times New Roman" w:hAnsi="Times New Roman" w:cs="Times New Roman"/>
          <w:i/>
          <w:iCs/>
        </w:rPr>
        <w:t>Diagnoza obszaru na potrzeby Lokalnej Strategii Rozwoju</w:t>
      </w:r>
      <w:r>
        <w:rPr>
          <w:rFonts w:ascii="Times New Roman" w:hAnsi="Times New Roman" w:cs="Times New Roman"/>
        </w:rPr>
        <w:t xml:space="preserve">. W niniejszym rozdziale LSR przytoczono te jej zapisy i wyniki analiz, które mają szczególne znaczenie dla obszaru. </w:t>
      </w:r>
    </w:p>
    <w:p w14:paraId="7F267664">
      <w:pPr>
        <w:pStyle w:val="28"/>
        <w:numPr>
          <w:ilvl w:val="1"/>
          <w:numId w:val="15"/>
        </w:numPr>
        <w:spacing w:before="240"/>
        <w:ind w:left="1701" w:hanging="567"/>
        <w:contextualSpacing w:val="0"/>
        <w:rPr>
          <w:rFonts w:ascii="Times New Roman" w:hAnsi="Times New Roman" w:cs="Times New Roman"/>
          <w:b/>
          <w:bCs/>
        </w:rPr>
      </w:pPr>
      <w:r>
        <w:rPr>
          <w:rFonts w:ascii="Times New Roman" w:hAnsi="Times New Roman" w:cs="Times New Roman"/>
          <w:b/>
          <w:bCs/>
        </w:rPr>
        <w:t>Demografia</w:t>
      </w:r>
    </w:p>
    <w:p w14:paraId="40C17376">
      <w:pPr>
        <w:spacing w:line="276" w:lineRule="auto"/>
        <w:ind w:firstLine="708"/>
        <w:jc w:val="both"/>
        <w:rPr>
          <w:rFonts w:ascii="Times New Roman" w:hAnsi="Times New Roman" w:cs="Times New Roman"/>
        </w:rPr>
      </w:pPr>
      <w:bookmarkStart w:id="27" w:name="_Toc120467244"/>
      <w:bookmarkStart w:id="28" w:name="_Toc134966352"/>
      <w:r>
        <w:rPr>
          <w:rFonts w:ascii="Times New Roman" w:hAnsi="Times New Roman" w:cs="Times New Roman"/>
        </w:rPr>
        <w:t>Zgodnie z danymi Głównego Urzędu Statystycznego na dzień 31 grudnia 2020 roku, obszar objęty strategią rozwoju lokalnego kierowanego przez społeczność zamieszkiwało 104 240 osób, w tym 52 731 kobiet (50,6%) i 51 509 mężczyzn (49,4%), co stanowiło 80,7% ludności powiatu myślenickiego i 3,0% ludności województwa małopolskiego. Biorąc pod uwagę gminy wchodzące w skład LGD, najwięcej ludzi zamieszkiwało gminę miejsko-wiejską Myślenice (45 166 osób), natomiast najmniej gminę wiejską Raciechowice (6 414 osób). Szczegółowe dane na temat liczby ludności poszczególnych gmin w 2020 r. zaprezentowano w tabeli 3.</w:t>
      </w:r>
    </w:p>
    <w:p w14:paraId="5DB15FD9">
      <w:pPr>
        <w:spacing w:after="0" w:line="240" w:lineRule="auto"/>
        <w:jc w:val="center"/>
        <w:rPr>
          <w:rFonts w:ascii="Times New Roman" w:hAnsi="Times New Roman" w:eastAsia="Calibri" w:cs="Times New Roman"/>
          <w:b/>
          <w:bCs/>
          <w:sz w:val="20"/>
          <w:szCs w:val="20"/>
        </w:rPr>
      </w:pPr>
      <w:bookmarkStart w:id="29" w:name="_Toc136241391"/>
      <w:r>
        <w:rPr>
          <w:rFonts w:ascii="Times New Roman" w:hAnsi="Times New Roman" w:eastAsia="Calibri" w:cs="Times New Roman"/>
          <w:b/>
          <w:bCs/>
          <w:sz w:val="20"/>
          <w:szCs w:val="20"/>
        </w:rPr>
        <w:t xml:space="preserve">Tabela </w:t>
      </w:r>
      <w:r>
        <w:rPr>
          <w:rFonts w:ascii="Times New Roman" w:hAnsi="Times New Roman" w:eastAsia="Calibri" w:cs="Times New Roman"/>
          <w:i/>
          <w:iCs/>
          <w:color w:val="44546A" w:themeColor="text2"/>
          <w:sz w:val="18"/>
          <w:szCs w:val="18"/>
          <w14:textFill>
            <w14:solidFill>
              <w14:schemeClr w14:val="tx2"/>
            </w14:solidFill>
          </w14:textFill>
        </w:rPr>
        <w:fldChar w:fldCharType="begin"/>
      </w:r>
      <w:r>
        <w:rPr>
          <w:rFonts w:ascii="Times New Roman" w:hAnsi="Times New Roman" w:eastAsia="Calibri" w:cs="Times New Roman"/>
          <w:b/>
          <w:bCs/>
          <w:sz w:val="20"/>
          <w:szCs w:val="20"/>
        </w:rPr>
        <w:instrText xml:space="preserve"> SEQ Tabela \* ARABIC </w:instrText>
      </w:r>
      <w:r>
        <w:rPr>
          <w:rFonts w:ascii="Times New Roman" w:hAnsi="Times New Roman" w:eastAsia="Calibri" w:cs="Times New Roman"/>
          <w:i/>
          <w:iCs/>
          <w:color w:val="44546A" w:themeColor="text2"/>
          <w:sz w:val="18"/>
          <w:szCs w:val="18"/>
          <w14:textFill>
            <w14:solidFill>
              <w14:schemeClr w14:val="tx2"/>
            </w14:solidFill>
          </w14:textFill>
        </w:rPr>
        <w:fldChar w:fldCharType="separate"/>
      </w:r>
      <w:r>
        <w:rPr>
          <w:rFonts w:ascii="Times New Roman" w:hAnsi="Times New Roman" w:eastAsia="Calibri" w:cs="Times New Roman"/>
          <w:b/>
          <w:bCs/>
          <w:sz w:val="20"/>
          <w:szCs w:val="20"/>
        </w:rPr>
        <w:t>3</w:t>
      </w:r>
      <w:r>
        <w:rPr>
          <w:rFonts w:ascii="Times New Roman" w:hAnsi="Times New Roman" w:eastAsia="Calibri" w:cs="Times New Roman"/>
          <w:i/>
          <w:iCs/>
          <w:color w:val="44546A" w:themeColor="text2"/>
          <w:sz w:val="18"/>
          <w:szCs w:val="18"/>
          <w14:textFill>
            <w14:solidFill>
              <w14:schemeClr w14:val="tx2"/>
            </w14:solidFill>
          </w14:textFill>
        </w:rPr>
        <w:fldChar w:fldCharType="end"/>
      </w:r>
      <w:r>
        <w:rPr>
          <w:rFonts w:ascii="Times New Roman" w:hAnsi="Times New Roman" w:eastAsia="Calibri" w:cs="Times New Roman"/>
          <w:b/>
          <w:bCs/>
          <w:sz w:val="20"/>
          <w:szCs w:val="20"/>
        </w:rPr>
        <w:t xml:space="preserve"> Ludność poszczególnych gmin LGD w 2020 r.</w:t>
      </w:r>
      <w:bookmarkEnd w:id="27"/>
      <w:bookmarkEnd w:id="28"/>
      <w:bookmarkEnd w:id="29"/>
    </w:p>
    <w:tbl>
      <w:tblPr>
        <w:tblStyle w:val="6"/>
        <w:tblW w:w="4928" w:type="pct"/>
        <w:tblInd w:w="0" w:type="dxa"/>
        <w:tblLayout w:type="autofit"/>
        <w:tblCellMar>
          <w:top w:w="0" w:type="dxa"/>
          <w:left w:w="70" w:type="dxa"/>
          <w:bottom w:w="0" w:type="dxa"/>
          <w:right w:w="70" w:type="dxa"/>
        </w:tblCellMar>
      </w:tblPr>
      <w:tblGrid>
        <w:gridCol w:w="3344"/>
        <w:gridCol w:w="1250"/>
        <w:gridCol w:w="1658"/>
        <w:gridCol w:w="1629"/>
        <w:gridCol w:w="1168"/>
        <w:gridCol w:w="1146"/>
      </w:tblGrid>
      <w:tr w14:paraId="61E9070F">
        <w:tblPrEx>
          <w:tblCellMar>
            <w:top w:w="0" w:type="dxa"/>
            <w:left w:w="70" w:type="dxa"/>
            <w:bottom w:w="0" w:type="dxa"/>
            <w:right w:w="70" w:type="dxa"/>
          </w:tblCellMar>
        </w:tblPrEx>
        <w:trPr>
          <w:trHeight w:val="574" w:hRule="atLeast"/>
        </w:trPr>
        <w:tc>
          <w:tcPr>
            <w:tcW w:w="1640" w:type="pct"/>
            <w:tcBorders>
              <w:top w:val="single" w:color="auto" w:sz="4" w:space="0"/>
              <w:left w:val="single" w:color="auto" w:sz="4" w:space="0"/>
              <w:bottom w:val="single" w:color="auto" w:sz="4" w:space="0"/>
              <w:right w:val="single" w:color="auto" w:sz="4" w:space="0"/>
            </w:tcBorders>
            <w:shd w:val="clear" w:color="auto" w:fill="auto"/>
            <w:vAlign w:val="center"/>
          </w:tcPr>
          <w:p w14:paraId="749AF6ED">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Nazwa gminy</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77FFE166">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 xml:space="preserve">Liczba ludności </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2E76F746">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Liczba kobiet</w:t>
            </w:r>
          </w:p>
        </w:tc>
        <w:tc>
          <w:tcPr>
            <w:tcW w:w="799" w:type="pct"/>
            <w:tcBorders>
              <w:top w:val="single" w:color="auto" w:sz="4" w:space="0"/>
              <w:left w:val="single" w:color="auto" w:sz="4" w:space="0"/>
              <w:bottom w:val="single" w:color="auto" w:sz="4" w:space="0"/>
              <w:right w:val="single" w:color="auto" w:sz="4" w:space="0"/>
            </w:tcBorders>
            <w:shd w:val="clear" w:color="auto" w:fill="auto"/>
            <w:vAlign w:val="center"/>
          </w:tcPr>
          <w:p w14:paraId="24F8FD97">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Liczba mężczyzn</w:t>
            </w: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7F25566E">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 xml:space="preserve">Procentowy udział </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14:paraId="5671AC3A">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Gęstość zaludnienia</w:t>
            </w:r>
          </w:p>
        </w:tc>
      </w:tr>
      <w:tr w14:paraId="1AA61E2E">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031C7CC5">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Lubień</w:t>
            </w:r>
          </w:p>
        </w:tc>
        <w:tc>
          <w:tcPr>
            <w:tcW w:w="613" w:type="pct"/>
            <w:tcBorders>
              <w:top w:val="nil"/>
              <w:left w:val="nil"/>
              <w:bottom w:val="single" w:color="auto" w:sz="4" w:space="0"/>
              <w:right w:val="single" w:color="auto" w:sz="4" w:space="0"/>
            </w:tcBorders>
            <w:shd w:val="clear" w:color="auto" w:fill="auto"/>
            <w:noWrap/>
            <w:vAlign w:val="center"/>
          </w:tcPr>
          <w:p w14:paraId="76EB406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10 094</w:t>
            </w:r>
          </w:p>
        </w:tc>
        <w:tc>
          <w:tcPr>
            <w:tcW w:w="813" w:type="pct"/>
            <w:tcBorders>
              <w:top w:val="nil"/>
              <w:left w:val="nil"/>
              <w:bottom w:val="single" w:color="auto" w:sz="4" w:space="0"/>
              <w:right w:val="single" w:color="auto" w:sz="4" w:space="0"/>
            </w:tcBorders>
            <w:shd w:val="clear" w:color="auto" w:fill="auto"/>
            <w:noWrap/>
            <w:vAlign w:val="center"/>
          </w:tcPr>
          <w:p w14:paraId="3A1250B0">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5 152</w:t>
            </w:r>
          </w:p>
        </w:tc>
        <w:tc>
          <w:tcPr>
            <w:tcW w:w="799" w:type="pct"/>
            <w:tcBorders>
              <w:top w:val="nil"/>
              <w:left w:val="nil"/>
              <w:bottom w:val="single" w:color="auto" w:sz="4" w:space="0"/>
              <w:right w:val="single" w:color="auto" w:sz="4" w:space="0"/>
            </w:tcBorders>
            <w:shd w:val="clear" w:color="auto" w:fill="auto"/>
            <w:noWrap/>
            <w:vAlign w:val="center"/>
          </w:tcPr>
          <w:p w14:paraId="6BAE535D">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4 942</w:t>
            </w:r>
          </w:p>
        </w:tc>
        <w:tc>
          <w:tcPr>
            <w:tcW w:w="573" w:type="pct"/>
            <w:tcBorders>
              <w:top w:val="nil"/>
              <w:left w:val="nil"/>
              <w:bottom w:val="single" w:color="auto" w:sz="4" w:space="0"/>
              <w:right w:val="single" w:color="auto" w:sz="4" w:space="0"/>
            </w:tcBorders>
            <w:shd w:val="clear" w:color="auto" w:fill="auto"/>
            <w:vAlign w:val="center"/>
          </w:tcPr>
          <w:p w14:paraId="19C1186A">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9,7</w:t>
            </w:r>
          </w:p>
        </w:tc>
        <w:tc>
          <w:tcPr>
            <w:tcW w:w="562" w:type="pct"/>
            <w:tcBorders>
              <w:top w:val="nil"/>
              <w:left w:val="nil"/>
              <w:bottom w:val="single" w:color="auto" w:sz="4" w:space="0"/>
              <w:right w:val="single" w:color="auto" w:sz="4" w:space="0"/>
            </w:tcBorders>
            <w:shd w:val="clear" w:color="auto" w:fill="auto"/>
            <w:vAlign w:val="center"/>
          </w:tcPr>
          <w:p w14:paraId="1FD25747">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135</w:t>
            </w:r>
          </w:p>
        </w:tc>
      </w:tr>
      <w:tr w14:paraId="40D0E940">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71E07AAA">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Myślenice</w:t>
            </w:r>
          </w:p>
        </w:tc>
        <w:tc>
          <w:tcPr>
            <w:tcW w:w="613" w:type="pct"/>
            <w:tcBorders>
              <w:top w:val="nil"/>
              <w:left w:val="nil"/>
              <w:bottom w:val="single" w:color="auto" w:sz="4" w:space="0"/>
              <w:right w:val="single" w:color="auto" w:sz="4" w:space="0"/>
            </w:tcBorders>
            <w:shd w:val="clear" w:color="auto" w:fill="auto"/>
            <w:noWrap/>
            <w:vAlign w:val="center"/>
          </w:tcPr>
          <w:p w14:paraId="4BCEAF30">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45 166</w:t>
            </w:r>
          </w:p>
        </w:tc>
        <w:tc>
          <w:tcPr>
            <w:tcW w:w="813" w:type="pct"/>
            <w:tcBorders>
              <w:top w:val="nil"/>
              <w:left w:val="nil"/>
              <w:bottom w:val="single" w:color="auto" w:sz="4" w:space="0"/>
              <w:right w:val="single" w:color="auto" w:sz="4" w:space="0"/>
            </w:tcBorders>
            <w:shd w:val="clear" w:color="auto" w:fill="auto"/>
            <w:noWrap/>
            <w:vAlign w:val="center"/>
          </w:tcPr>
          <w:p w14:paraId="53239FC6">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22 953</w:t>
            </w:r>
          </w:p>
        </w:tc>
        <w:tc>
          <w:tcPr>
            <w:tcW w:w="799" w:type="pct"/>
            <w:tcBorders>
              <w:top w:val="nil"/>
              <w:left w:val="nil"/>
              <w:bottom w:val="single" w:color="auto" w:sz="4" w:space="0"/>
              <w:right w:val="single" w:color="auto" w:sz="4" w:space="0"/>
            </w:tcBorders>
            <w:shd w:val="clear" w:color="auto" w:fill="auto"/>
            <w:noWrap/>
            <w:vAlign w:val="center"/>
          </w:tcPr>
          <w:p w14:paraId="18B558E2">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22 213</w:t>
            </w:r>
          </w:p>
        </w:tc>
        <w:tc>
          <w:tcPr>
            <w:tcW w:w="573" w:type="pct"/>
            <w:tcBorders>
              <w:top w:val="nil"/>
              <w:left w:val="nil"/>
              <w:bottom w:val="single" w:color="auto" w:sz="4" w:space="0"/>
              <w:right w:val="single" w:color="auto" w:sz="4" w:space="0"/>
            </w:tcBorders>
            <w:shd w:val="clear" w:color="auto" w:fill="auto"/>
            <w:vAlign w:val="center"/>
          </w:tcPr>
          <w:p w14:paraId="001F8370">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43,3</w:t>
            </w:r>
          </w:p>
        </w:tc>
        <w:tc>
          <w:tcPr>
            <w:tcW w:w="562" w:type="pct"/>
            <w:tcBorders>
              <w:top w:val="nil"/>
              <w:left w:val="nil"/>
              <w:bottom w:val="single" w:color="auto" w:sz="4" w:space="0"/>
              <w:right w:val="single" w:color="auto" w:sz="4" w:space="0"/>
            </w:tcBorders>
            <w:shd w:val="clear" w:color="auto" w:fill="auto"/>
            <w:vAlign w:val="center"/>
          </w:tcPr>
          <w:p w14:paraId="54020F0B">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293</w:t>
            </w:r>
          </w:p>
        </w:tc>
      </w:tr>
      <w:tr w14:paraId="206198C2">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29911797">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Pcim</w:t>
            </w:r>
          </w:p>
        </w:tc>
        <w:tc>
          <w:tcPr>
            <w:tcW w:w="613" w:type="pct"/>
            <w:tcBorders>
              <w:top w:val="nil"/>
              <w:left w:val="nil"/>
              <w:bottom w:val="single" w:color="auto" w:sz="4" w:space="0"/>
              <w:right w:val="single" w:color="auto" w:sz="4" w:space="0"/>
            </w:tcBorders>
            <w:shd w:val="clear" w:color="auto" w:fill="auto"/>
            <w:noWrap/>
            <w:vAlign w:val="center"/>
          </w:tcPr>
          <w:p w14:paraId="3E42BF71">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11 171</w:t>
            </w:r>
          </w:p>
        </w:tc>
        <w:tc>
          <w:tcPr>
            <w:tcW w:w="813" w:type="pct"/>
            <w:tcBorders>
              <w:top w:val="nil"/>
              <w:left w:val="nil"/>
              <w:bottom w:val="single" w:color="auto" w:sz="4" w:space="0"/>
              <w:right w:val="single" w:color="auto" w:sz="4" w:space="0"/>
            </w:tcBorders>
            <w:shd w:val="clear" w:color="auto" w:fill="auto"/>
            <w:noWrap/>
            <w:vAlign w:val="center"/>
          </w:tcPr>
          <w:p w14:paraId="21B725BF">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5 631</w:t>
            </w:r>
          </w:p>
        </w:tc>
        <w:tc>
          <w:tcPr>
            <w:tcW w:w="799" w:type="pct"/>
            <w:tcBorders>
              <w:top w:val="nil"/>
              <w:left w:val="nil"/>
              <w:bottom w:val="single" w:color="auto" w:sz="4" w:space="0"/>
              <w:right w:val="single" w:color="auto" w:sz="4" w:space="0"/>
            </w:tcBorders>
            <w:shd w:val="clear" w:color="auto" w:fill="auto"/>
            <w:noWrap/>
            <w:vAlign w:val="center"/>
          </w:tcPr>
          <w:p w14:paraId="0A2FE61C">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5 540</w:t>
            </w:r>
          </w:p>
        </w:tc>
        <w:tc>
          <w:tcPr>
            <w:tcW w:w="573" w:type="pct"/>
            <w:tcBorders>
              <w:top w:val="nil"/>
              <w:left w:val="nil"/>
              <w:bottom w:val="single" w:color="auto" w:sz="4" w:space="0"/>
              <w:right w:val="single" w:color="auto" w:sz="4" w:space="0"/>
            </w:tcBorders>
            <w:shd w:val="clear" w:color="auto" w:fill="auto"/>
            <w:vAlign w:val="center"/>
          </w:tcPr>
          <w:p w14:paraId="6A9B6BDA">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10,7</w:t>
            </w:r>
          </w:p>
        </w:tc>
        <w:tc>
          <w:tcPr>
            <w:tcW w:w="562" w:type="pct"/>
            <w:tcBorders>
              <w:top w:val="nil"/>
              <w:left w:val="nil"/>
              <w:bottom w:val="single" w:color="auto" w:sz="4" w:space="0"/>
              <w:right w:val="single" w:color="auto" w:sz="4" w:space="0"/>
            </w:tcBorders>
            <w:shd w:val="clear" w:color="auto" w:fill="auto"/>
            <w:vAlign w:val="center"/>
          </w:tcPr>
          <w:p w14:paraId="6785866D">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126</w:t>
            </w:r>
          </w:p>
        </w:tc>
      </w:tr>
      <w:tr w14:paraId="7BFCDD3C">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5B2E04D8">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Raciechowice</w:t>
            </w:r>
          </w:p>
        </w:tc>
        <w:tc>
          <w:tcPr>
            <w:tcW w:w="613" w:type="pct"/>
            <w:tcBorders>
              <w:top w:val="nil"/>
              <w:left w:val="nil"/>
              <w:bottom w:val="single" w:color="auto" w:sz="4" w:space="0"/>
              <w:right w:val="single" w:color="auto" w:sz="4" w:space="0"/>
            </w:tcBorders>
            <w:shd w:val="clear" w:color="auto" w:fill="auto"/>
            <w:noWrap/>
            <w:vAlign w:val="center"/>
          </w:tcPr>
          <w:p w14:paraId="0F7CBF6B">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6 414</w:t>
            </w:r>
          </w:p>
        </w:tc>
        <w:tc>
          <w:tcPr>
            <w:tcW w:w="813" w:type="pct"/>
            <w:tcBorders>
              <w:top w:val="nil"/>
              <w:left w:val="nil"/>
              <w:bottom w:val="single" w:color="auto" w:sz="4" w:space="0"/>
              <w:right w:val="single" w:color="auto" w:sz="4" w:space="0"/>
            </w:tcBorders>
            <w:shd w:val="clear" w:color="auto" w:fill="auto"/>
            <w:noWrap/>
            <w:vAlign w:val="center"/>
          </w:tcPr>
          <w:p w14:paraId="3FC8236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3 205</w:t>
            </w:r>
          </w:p>
        </w:tc>
        <w:tc>
          <w:tcPr>
            <w:tcW w:w="799" w:type="pct"/>
            <w:tcBorders>
              <w:top w:val="nil"/>
              <w:left w:val="nil"/>
              <w:bottom w:val="single" w:color="auto" w:sz="4" w:space="0"/>
              <w:right w:val="single" w:color="auto" w:sz="4" w:space="0"/>
            </w:tcBorders>
            <w:shd w:val="clear" w:color="auto" w:fill="auto"/>
            <w:noWrap/>
            <w:vAlign w:val="center"/>
          </w:tcPr>
          <w:p w14:paraId="7C02A404">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3 209</w:t>
            </w:r>
          </w:p>
        </w:tc>
        <w:tc>
          <w:tcPr>
            <w:tcW w:w="573" w:type="pct"/>
            <w:tcBorders>
              <w:top w:val="nil"/>
              <w:left w:val="nil"/>
              <w:bottom w:val="single" w:color="auto" w:sz="4" w:space="0"/>
              <w:right w:val="single" w:color="auto" w:sz="4" w:space="0"/>
            </w:tcBorders>
            <w:shd w:val="clear" w:color="auto" w:fill="auto"/>
            <w:vAlign w:val="center"/>
          </w:tcPr>
          <w:p w14:paraId="0C5B34DA">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6,2</w:t>
            </w:r>
          </w:p>
        </w:tc>
        <w:tc>
          <w:tcPr>
            <w:tcW w:w="562" w:type="pct"/>
            <w:tcBorders>
              <w:top w:val="nil"/>
              <w:left w:val="nil"/>
              <w:bottom w:val="single" w:color="auto" w:sz="4" w:space="0"/>
              <w:right w:val="single" w:color="auto" w:sz="4" w:space="0"/>
            </w:tcBorders>
            <w:shd w:val="clear" w:color="auto" w:fill="auto"/>
            <w:vAlign w:val="center"/>
          </w:tcPr>
          <w:p w14:paraId="22074B5D">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105</w:t>
            </w:r>
          </w:p>
        </w:tc>
      </w:tr>
      <w:tr w14:paraId="06978C4E">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2EC0407B">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Sułkowice</w:t>
            </w:r>
          </w:p>
        </w:tc>
        <w:tc>
          <w:tcPr>
            <w:tcW w:w="613" w:type="pct"/>
            <w:tcBorders>
              <w:top w:val="nil"/>
              <w:left w:val="nil"/>
              <w:bottom w:val="single" w:color="auto" w:sz="4" w:space="0"/>
              <w:right w:val="single" w:color="auto" w:sz="4" w:space="0"/>
            </w:tcBorders>
            <w:shd w:val="clear" w:color="auto" w:fill="auto"/>
            <w:noWrap/>
            <w:vAlign w:val="center"/>
          </w:tcPr>
          <w:p w14:paraId="207687ED">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15 053</w:t>
            </w:r>
          </w:p>
        </w:tc>
        <w:tc>
          <w:tcPr>
            <w:tcW w:w="813" w:type="pct"/>
            <w:tcBorders>
              <w:top w:val="nil"/>
              <w:left w:val="nil"/>
              <w:bottom w:val="single" w:color="auto" w:sz="4" w:space="0"/>
              <w:right w:val="single" w:color="auto" w:sz="4" w:space="0"/>
            </w:tcBorders>
            <w:shd w:val="clear" w:color="auto" w:fill="auto"/>
            <w:noWrap/>
            <w:vAlign w:val="center"/>
          </w:tcPr>
          <w:p w14:paraId="7E494F62">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7 668</w:t>
            </w:r>
          </w:p>
        </w:tc>
        <w:tc>
          <w:tcPr>
            <w:tcW w:w="799" w:type="pct"/>
            <w:tcBorders>
              <w:top w:val="nil"/>
              <w:left w:val="nil"/>
              <w:bottom w:val="single" w:color="auto" w:sz="4" w:space="0"/>
              <w:right w:val="single" w:color="auto" w:sz="4" w:space="0"/>
            </w:tcBorders>
            <w:shd w:val="clear" w:color="auto" w:fill="auto"/>
            <w:noWrap/>
            <w:vAlign w:val="center"/>
          </w:tcPr>
          <w:p w14:paraId="5D775CF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7 385</w:t>
            </w:r>
          </w:p>
        </w:tc>
        <w:tc>
          <w:tcPr>
            <w:tcW w:w="573" w:type="pct"/>
            <w:tcBorders>
              <w:top w:val="nil"/>
              <w:left w:val="nil"/>
              <w:bottom w:val="single" w:color="auto" w:sz="4" w:space="0"/>
              <w:right w:val="single" w:color="auto" w:sz="4" w:space="0"/>
            </w:tcBorders>
            <w:shd w:val="clear" w:color="auto" w:fill="auto"/>
            <w:vAlign w:val="center"/>
          </w:tcPr>
          <w:p w14:paraId="473614AC">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14,4</w:t>
            </w:r>
          </w:p>
        </w:tc>
        <w:tc>
          <w:tcPr>
            <w:tcW w:w="562" w:type="pct"/>
            <w:tcBorders>
              <w:top w:val="nil"/>
              <w:left w:val="nil"/>
              <w:bottom w:val="single" w:color="auto" w:sz="4" w:space="0"/>
              <w:right w:val="single" w:color="auto" w:sz="4" w:space="0"/>
            </w:tcBorders>
            <w:shd w:val="clear" w:color="auto" w:fill="auto"/>
            <w:vAlign w:val="center"/>
          </w:tcPr>
          <w:p w14:paraId="00C3D30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251</w:t>
            </w:r>
          </w:p>
        </w:tc>
      </w:tr>
      <w:tr w14:paraId="5DE3F56E">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7EEE35EB">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Tokarnia</w:t>
            </w:r>
          </w:p>
        </w:tc>
        <w:tc>
          <w:tcPr>
            <w:tcW w:w="613" w:type="pct"/>
            <w:tcBorders>
              <w:top w:val="nil"/>
              <w:left w:val="nil"/>
              <w:bottom w:val="single" w:color="auto" w:sz="4" w:space="0"/>
              <w:right w:val="single" w:color="auto" w:sz="4" w:space="0"/>
            </w:tcBorders>
            <w:shd w:val="clear" w:color="auto" w:fill="auto"/>
            <w:noWrap/>
            <w:vAlign w:val="center"/>
          </w:tcPr>
          <w:p w14:paraId="1397714F">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8 861</w:t>
            </w:r>
          </w:p>
        </w:tc>
        <w:tc>
          <w:tcPr>
            <w:tcW w:w="813" w:type="pct"/>
            <w:tcBorders>
              <w:top w:val="nil"/>
              <w:left w:val="nil"/>
              <w:bottom w:val="single" w:color="auto" w:sz="4" w:space="0"/>
              <w:right w:val="single" w:color="auto" w:sz="4" w:space="0"/>
            </w:tcBorders>
            <w:shd w:val="clear" w:color="auto" w:fill="auto"/>
            <w:noWrap/>
            <w:vAlign w:val="center"/>
          </w:tcPr>
          <w:p w14:paraId="33E29DC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4 359</w:t>
            </w:r>
          </w:p>
        </w:tc>
        <w:tc>
          <w:tcPr>
            <w:tcW w:w="799" w:type="pct"/>
            <w:tcBorders>
              <w:top w:val="nil"/>
              <w:left w:val="nil"/>
              <w:bottom w:val="single" w:color="auto" w:sz="4" w:space="0"/>
              <w:right w:val="single" w:color="auto" w:sz="4" w:space="0"/>
            </w:tcBorders>
            <w:shd w:val="clear" w:color="auto" w:fill="auto"/>
            <w:noWrap/>
            <w:vAlign w:val="center"/>
          </w:tcPr>
          <w:p w14:paraId="17CB5FA4">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4 502</w:t>
            </w:r>
          </w:p>
        </w:tc>
        <w:tc>
          <w:tcPr>
            <w:tcW w:w="573" w:type="pct"/>
            <w:tcBorders>
              <w:top w:val="nil"/>
              <w:left w:val="nil"/>
              <w:bottom w:val="single" w:color="auto" w:sz="4" w:space="0"/>
              <w:right w:val="single" w:color="auto" w:sz="4" w:space="0"/>
            </w:tcBorders>
            <w:shd w:val="clear" w:color="auto" w:fill="auto"/>
            <w:vAlign w:val="center"/>
          </w:tcPr>
          <w:p w14:paraId="7020DE9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8,5</w:t>
            </w:r>
          </w:p>
        </w:tc>
        <w:tc>
          <w:tcPr>
            <w:tcW w:w="562" w:type="pct"/>
            <w:tcBorders>
              <w:top w:val="nil"/>
              <w:left w:val="nil"/>
              <w:bottom w:val="single" w:color="auto" w:sz="4" w:space="0"/>
              <w:right w:val="single" w:color="auto" w:sz="4" w:space="0"/>
            </w:tcBorders>
            <w:shd w:val="clear" w:color="auto" w:fill="auto"/>
            <w:vAlign w:val="center"/>
          </w:tcPr>
          <w:p w14:paraId="3807E953">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128</w:t>
            </w:r>
          </w:p>
        </w:tc>
      </w:tr>
      <w:tr w14:paraId="0D77BA4F">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0D4B693C">
            <w:pPr>
              <w:spacing w:after="0" w:line="240" w:lineRule="auto"/>
              <w:rPr>
                <w:rFonts w:ascii="Times New Roman" w:hAnsi="Times New Roman" w:eastAsia="Calibri" w:cs="Times New Roman"/>
                <w:sz w:val="20"/>
                <w:szCs w:val="20"/>
              </w:rPr>
            </w:pPr>
            <w:r>
              <w:rPr>
                <w:rFonts w:ascii="Times New Roman" w:hAnsi="Times New Roman" w:eastAsia="Calibri" w:cs="Times New Roman"/>
                <w:sz w:val="20"/>
                <w:szCs w:val="20"/>
              </w:rPr>
              <w:t>Wiśniowa</w:t>
            </w:r>
          </w:p>
        </w:tc>
        <w:tc>
          <w:tcPr>
            <w:tcW w:w="613" w:type="pct"/>
            <w:tcBorders>
              <w:top w:val="nil"/>
              <w:left w:val="nil"/>
              <w:bottom w:val="single" w:color="auto" w:sz="4" w:space="0"/>
              <w:right w:val="single" w:color="auto" w:sz="4" w:space="0"/>
            </w:tcBorders>
            <w:shd w:val="clear" w:color="auto" w:fill="auto"/>
            <w:noWrap/>
            <w:vAlign w:val="center"/>
          </w:tcPr>
          <w:p w14:paraId="2110E855">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7 481</w:t>
            </w:r>
          </w:p>
        </w:tc>
        <w:tc>
          <w:tcPr>
            <w:tcW w:w="813" w:type="pct"/>
            <w:tcBorders>
              <w:top w:val="nil"/>
              <w:left w:val="nil"/>
              <w:bottom w:val="single" w:color="auto" w:sz="4" w:space="0"/>
              <w:right w:val="single" w:color="auto" w:sz="4" w:space="0"/>
            </w:tcBorders>
            <w:shd w:val="clear" w:color="auto" w:fill="auto"/>
            <w:noWrap/>
            <w:vAlign w:val="center"/>
          </w:tcPr>
          <w:p w14:paraId="20ADCDF0">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3 763</w:t>
            </w:r>
          </w:p>
        </w:tc>
        <w:tc>
          <w:tcPr>
            <w:tcW w:w="799" w:type="pct"/>
            <w:tcBorders>
              <w:top w:val="nil"/>
              <w:left w:val="nil"/>
              <w:bottom w:val="single" w:color="auto" w:sz="4" w:space="0"/>
              <w:right w:val="single" w:color="auto" w:sz="4" w:space="0"/>
            </w:tcBorders>
            <w:shd w:val="clear" w:color="auto" w:fill="auto"/>
            <w:noWrap/>
            <w:vAlign w:val="center"/>
          </w:tcPr>
          <w:p w14:paraId="46C2277C">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3 718</w:t>
            </w:r>
          </w:p>
        </w:tc>
        <w:tc>
          <w:tcPr>
            <w:tcW w:w="573" w:type="pct"/>
            <w:tcBorders>
              <w:top w:val="nil"/>
              <w:left w:val="nil"/>
              <w:bottom w:val="single" w:color="auto" w:sz="4" w:space="0"/>
              <w:right w:val="single" w:color="auto" w:sz="4" w:space="0"/>
            </w:tcBorders>
            <w:shd w:val="clear" w:color="auto" w:fill="auto"/>
            <w:vAlign w:val="center"/>
          </w:tcPr>
          <w:p w14:paraId="21719BD6">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7,2</w:t>
            </w:r>
          </w:p>
        </w:tc>
        <w:tc>
          <w:tcPr>
            <w:tcW w:w="562" w:type="pct"/>
            <w:tcBorders>
              <w:top w:val="nil"/>
              <w:left w:val="nil"/>
              <w:bottom w:val="single" w:color="auto" w:sz="4" w:space="0"/>
              <w:right w:val="single" w:color="auto" w:sz="4" w:space="0"/>
            </w:tcBorders>
            <w:shd w:val="clear" w:color="auto" w:fill="auto"/>
            <w:vAlign w:val="center"/>
          </w:tcPr>
          <w:p w14:paraId="1E7427C7">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112</w:t>
            </w:r>
          </w:p>
        </w:tc>
      </w:tr>
      <w:tr w14:paraId="0A0A7C69">
        <w:tblPrEx>
          <w:tblCellMar>
            <w:top w:w="0" w:type="dxa"/>
            <w:left w:w="70" w:type="dxa"/>
            <w:bottom w:w="0" w:type="dxa"/>
            <w:right w:w="70" w:type="dxa"/>
          </w:tblCellMar>
        </w:tblPrEx>
        <w:trPr>
          <w:trHeight w:val="369" w:hRule="atLeast"/>
        </w:trPr>
        <w:tc>
          <w:tcPr>
            <w:tcW w:w="1640" w:type="pct"/>
            <w:tcBorders>
              <w:top w:val="nil"/>
              <w:left w:val="single" w:color="auto" w:sz="4" w:space="0"/>
              <w:bottom w:val="single" w:color="auto" w:sz="4" w:space="0"/>
              <w:right w:val="single" w:color="auto" w:sz="4" w:space="0"/>
            </w:tcBorders>
            <w:shd w:val="clear" w:color="auto" w:fill="auto"/>
            <w:noWrap/>
            <w:vAlign w:val="center"/>
          </w:tcPr>
          <w:p w14:paraId="4533259E">
            <w:pPr>
              <w:spacing w:after="0" w:line="240" w:lineRule="auto"/>
              <w:rPr>
                <w:rFonts w:ascii="Times New Roman" w:hAnsi="Times New Roman" w:eastAsia="Calibri" w:cs="Times New Roman"/>
                <w:b/>
                <w:bCs/>
                <w:sz w:val="20"/>
                <w:szCs w:val="20"/>
              </w:rPr>
            </w:pPr>
            <w:r>
              <w:rPr>
                <w:rFonts w:ascii="Times New Roman" w:hAnsi="Times New Roman" w:eastAsia="Calibri" w:cs="Times New Roman"/>
                <w:b/>
                <w:bCs/>
                <w:sz w:val="20"/>
                <w:szCs w:val="20"/>
              </w:rPr>
              <w:t>LGD Między Dalinem i Gościbią</w:t>
            </w:r>
          </w:p>
        </w:tc>
        <w:tc>
          <w:tcPr>
            <w:tcW w:w="613" w:type="pct"/>
            <w:tcBorders>
              <w:top w:val="nil"/>
              <w:left w:val="nil"/>
              <w:bottom w:val="single" w:color="auto" w:sz="4" w:space="0"/>
              <w:right w:val="single" w:color="auto" w:sz="4" w:space="0"/>
            </w:tcBorders>
            <w:shd w:val="clear" w:color="auto" w:fill="auto"/>
            <w:noWrap/>
            <w:vAlign w:val="center"/>
          </w:tcPr>
          <w:p w14:paraId="5636EBB9">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104 240</w:t>
            </w:r>
          </w:p>
        </w:tc>
        <w:tc>
          <w:tcPr>
            <w:tcW w:w="813" w:type="pct"/>
            <w:tcBorders>
              <w:top w:val="nil"/>
              <w:left w:val="nil"/>
              <w:bottom w:val="single" w:color="auto" w:sz="4" w:space="0"/>
              <w:right w:val="single" w:color="auto" w:sz="4" w:space="0"/>
            </w:tcBorders>
            <w:shd w:val="clear" w:color="auto" w:fill="auto"/>
            <w:noWrap/>
            <w:vAlign w:val="center"/>
          </w:tcPr>
          <w:p w14:paraId="13FE036F">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52 731</w:t>
            </w:r>
          </w:p>
        </w:tc>
        <w:tc>
          <w:tcPr>
            <w:tcW w:w="799" w:type="pct"/>
            <w:tcBorders>
              <w:top w:val="nil"/>
              <w:left w:val="nil"/>
              <w:bottom w:val="single" w:color="auto" w:sz="4" w:space="0"/>
              <w:right w:val="single" w:color="auto" w:sz="4" w:space="0"/>
            </w:tcBorders>
            <w:shd w:val="clear" w:color="auto" w:fill="auto"/>
            <w:noWrap/>
            <w:vAlign w:val="center"/>
          </w:tcPr>
          <w:p w14:paraId="12D66A08">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51 509</w:t>
            </w:r>
          </w:p>
        </w:tc>
        <w:tc>
          <w:tcPr>
            <w:tcW w:w="573" w:type="pct"/>
            <w:tcBorders>
              <w:top w:val="nil"/>
              <w:left w:val="nil"/>
              <w:bottom w:val="single" w:color="auto" w:sz="4" w:space="0"/>
              <w:right w:val="single" w:color="auto" w:sz="4" w:space="0"/>
            </w:tcBorders>
            <w:shd w:val="clear" w:color="auto" w:fill="auto"/>
            <w:vAlign w:val="center"/>
          </w:tcPr>
          <w:p w14:paraId="46AE6AEE">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100</w:t>
            </w:r>
          </w:p>
        </w:tc>
        <w:tc>
          <w:tcPr>
            <w:tcW w:w="562" w:type="pct"/>
            <w:tcBorders>
              <w:top w:val="nil"/>
              <w:left w:val="nil"/>
              <w:bottom w:val="single" w:color="auto" w:sz="4" w:space="0"/>
              <w:right w:val="single" w:color="auto" w:sz="4" w:space="0"/>
            </w:tcBorders>
            <w:shd w:val="clear" w:color="auto" w:fill="auto"/>
            <w:vAlign w:val="center"/>
          </w:tcPr>
          <w:p w14:paraId="2C4904E1">
            <w:pPr>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181</w:t>
            </w:r>
          </w:p>
        </w:tc>
      </w:tr>
    </w:tbl>
    <w:p w14:paraId="0B61FEE9">
      <w:pPr>
        <w:spacing w:line="256" w:lineRule="auto"/>
        <w:jc w:val="center"/>
        <w:rPr>
          <w:rFonts w:ascii="Times New Roman" w:hAnsi="Times New Roman" w:eastAsia="Calibri" w:cs="Times New Roman"/>
          <w:i/>
          <w:iCs/>
          <w:sz w:val="20"/>
          <w:szCs w:val="20"/>
        </w:rPr>
      </w:pPr>
      <w:r>
        <w:rPr>
          <w:rFonts w:ascii="Times New Roman" w:hAnsi="Times New Roman" w:eastAsia="Calibri" w:cs="Times New Roman"/>
          <w:i/>
          <w:iCs/>
          <w:sz w:val="20"/>
          <w:szCs w:val="20"/>
        </w:rPr>
        <w:t>Źródło: opracowanie własne na podstawie danych GUS</w:t>
      </w:r>
    </w:p>
    <w:p w14:paraId="497CD5CF">
      <w:pPr>
        <w:ind w:firstLine="709"/>
        <w:jc w:val="both"/>
        <w:rPr>
          <w:rFonts w:ascii="Times New Roman" w:hAnsi="Times New Roman" w:cs="Times New Roman"/>
          <w:b/>
          <w:bCs/>
          <w:color w:val="000000" w:themeColor="text1"/>
          <w14:textFill>
            <w14:solidFill>
              <w14:schemeClr w14:val="tx1"/>
            </w14:solidFill>
          </w14:textFill>
        </w:rPr>
      </w:pPr>
      <w:r>
        <w:rPr>
          <w:rFonts w:ascii="Times New Roman" w:hAnsi="Times New Roman" w:eastAsia="Calibri" w:cs="Times New Roman"/>
        </w:rPr>
        <w:t xml:space="preserve">Na przestrzeni omawianych lat liczba ludności obszaru systematycznie wzrastała </w:t>
      </w:r>
      <w:r>
        <w:rPr>
          <w:rFonts w:ascii="Times New Roman" w:hAnsi="Times New Roman" w:cs="Times New Roman"/>
          <w:color w:val="000000" w:themeColor="text1"/>
          <w14:textFill>
            <w14:solidFill>
              <w14:schemeClr w14:val="tx1"/>
            </w14:solidFill>
          </w14:textFill>
        </w:rPr>
        <w:t>(wykres 1)</w:t>
      </w:r>
      <w:bookmarkStart w:id="30" w:name="_Hlk111036959"/>
      <w:r>
        <w:rPr>
          <w:rFonts w:ascii="Times New Roman" w:hAnsi="Times New Roman" w:cs="Times New Roman"/>
          <w:color w:val="000000" w:themeColor="text1"/>
          <w14:textFill>
            <w14:solidFill>
              <w14:schemeClr w14:val="tx1"/>
            </w14:solidFill>
          </w14:textFill>
        </w:rPr>
        <w:t xml:space="preserve">. Na wykresie 2 przedstawiono wartości wskaźnika </w:t>
      </w:r>
      <w:r>
        <w:rPr>
          <w:rFonts w:ascii="Times New Roman" w:hAnsi="Times New Roman" w:cs="Times New Roman"/>
          <w:i/>
          <w:iCs/>
          <w:color w:val="000000" w:themeColor="text1"/>
          <w14:textFill>
            <w14:solidFill>
              <w14:schemeClr w14:val="tx1"/>
            </w14:solidFill>
          </w14:textFill>
        </w:rPr>
        <w:t xml:space="preserve">udział ludności wg ekonomicznych grup wieku w % ludności ogółem </w:t>
      </w:r>
      <w:r>
        <w:rPr>
          <w:rFonts w:ascii="Times New Roman" w:hAnsi="Times New Roman" w:cs="Times New Roman"/>
          <w:color w:val="000000" w:themeColor="text1"/>
          <w14:textFill>
            <w14:solidFill>
              <w14:schemeClr w14:val="tx1"/>
            </w14:solidFill>
          </w14:textFill>
        </w:rPr>
        <w:t>na obszarze LGD w latach 2016–2021, natomiast na wykresie 3 pokazano wartości tego wskaźnika</w:t>
      </w:r>
      <w:r>
        <w:rPr>
          <w:rFonts w:ascii="Times New Roman" w:hAnsi="Times New Roman" w:cs="Times New Roman"/>
          <w:i/>
          <w:iCs/>
          <w:color w:val="000000" w:themeColor="text1"/>
          <w:sz w:val="20"/>
          <w:szCs w:val="20"/>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w porównaniu do średniej dla województwa i kraju w 2021 r.</w:t>
      </w:r>
    </w:p>
    <w:p w14:paraId="552343A2">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31" w:name="_Toc136240705"/>
      <w:bookmarkStart w:id="32" w:name="_Toc112838954"/>
      <w:bookmarkStart w:id="33" w:name="_Toc134966313"/>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Liczba ludności ogółem na obszarze LGD w latach 2016–2021</w:t>
      </w:r>
      <w:bookmarkEnd w:id="31"/>
      <w:bookmarkEnd w:id="32"/>
      <w:bookmarkEnd w:id="33"/>
    </w:p>
    <w:p w14:paraId="44E68B19">
      <w:pPr>
        <w:spacing w:after="0" w:line="240" w:lineRule="auto"/>
        <w:jc w:val="center"/>
      </w:pPr>
      <w:r>
        <w:rPr>
          <w:lang w:eastAsia="pl-PL"/>
        </w:rPr>
        <w:drawing>
          <wp:inline distT="0" distB="0" distL="0" distR="0">
            <wp:extent cx="5628640" cy="24765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3117A">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68725587">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34" w:name="_Toc134966314"/>
      <w:bookmarkStart w:id="35" w:name="_Toc136240706"/>
      <w:bookmarkStart w:id="36" w:name="_Toc112838955"/>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2</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Udział ludności wg ekonomicznych grup wieku w % ludności ogółem na obszarze LGD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w latach 2016–2021</w:t>
      </w:r>
      <w:bookmarkEnd w:id="34"/>
      <w:bookmarkEnd w:id="35"/>
      <w:bookmarkEnd w:id="36"/>
    </w:p>
    <w:p w14:paraId="0547FE94">
      <w:pPr>
        <w:spacing w:after="0" w:line="240" w:lineRule="auto"/>
        <w:jc w:val="center"/>
        <w:rPr>
          <w:rFonts w:ascii="Times New Roman" w:hAnsi="Times New Roman" w:cs="Times New Roman"/>
          <w:i/>
          <w:iCs/>
          <w:sz w:val="20"/>
          <w:szCs w:val="20"/>
        </w:rPr>
      </w:pPr>
      <w:bookmarkStart w:id="37" w:name="_Hlk134807108"/>
      <w:r>
        <w:rPr>
          <w:lang w:eastAsia="pl-PL"/>
        </w:rPr>
        <w:drawing>
          <wp:inline distT="0" distB="0" distL="0" distR="0">
            <wp:extent cx="5678805" cy="2535555"/>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FE21C6">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bookmarkEnd w:id="37"/>
    <w:p w14:paraId="716270A2">
      <w:pPr>
        <w:pStyle w:val="9"/>
        <w:spacing w:before="240"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38" w:name="_Toc134966315"/>
      <w:bookmarkStart w:id="39" w:name="_Toc136240707"/>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3</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Udział ludności wg ekonomicznych grup wieku w % ludności ogółem na obszarze LGD w porównaniu do średniej dla województwa i kraju w </w:t>
      </w:r>
      <w:bookmarkEnd w:id="38"/>
      <w:r>
        <w:rPr>
          <w:rFonts w:ascii="Times New Roman" w:hAnsi="Times New Roman" w:cs="Times New Roman"/>
          <w:b/>
          <w:bCs/>
          <w:i w:val="0"/>
          <w:iCs w:val="0"/>
          <w:color w:val="000000" w:themeColor="text1"/>
          <w:sz w:val="20"/>
          <w:szCs w:val="20"/>
          <w14:textFill>
            <w14:solidFill>
              <w14:schemeClr w14:val="tx1"/>
            </w14:solidFill>
          </w14:textFill>
        </w:rPr>
        <w:t>2021 r.</w:t>
      </w:r>
      <w:bookmarkEnd w:id="39"/>
    </w:p>
    <w:p w14:paraId="6887F088">
      <w:pPr>
        <w:spacing w:after="0" w:line="240" w:lineRule="auto"/>
        <w:jc w:val="center"/>
      </w:pPr>
      <w:r>
        <w:rPr>
          <w:lang w:eastAsia="pl-PL"/>
        </w:rPr>
        <w:drawing>
          <wp:inline distT="0" distB="0" distL="0" distR="0">
            <wp:extent cx="5126990" cy="2466975"/>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239102">
      <w:pPr>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697EE060">
      <w:pPr>
        <w:pStyle w:val="28"/>
        <w:spacing w:line="276" w:lineRule="auto"/>
        <w:ind w:left="0" w:firstLine="709"/>
        <w:jc w:val="both"/>
        <w:rPr>
          <w:rFonts w:ascii="Times New Roman" w:hAnsi="Times New Roman" w:eastAsia="Calibri" w:cs="Times New Roman"/>
        </w:rPr>
      </w:pPr>
      <w:r>
        <w:rPr>
          <w:rFonts w:ascii="Times New Roman" w:hAnsi="Times New Roman" w:cs="Times New Roman"/>
          <w:color w:val="000000" w:themeColor="text1"/>
          <w14:textFill>
            <w14:solidFill>
              <w14:schemeClr w14:val="tx1"/>
            </w14:solidFill>
          </w14:textFill>
        </w:rPr>
        <w:t>Dane zobrazowane na wykresie 2 wskazują,</w:t>
      </w:r>
      <w:r>
        <w:rPr>
          <w:rFonts w:ascii="Times New Roman" w:hAnsi="Times New Roman" w:eastAsia="Calibri" w:cs="Times New Roman"/>
        </w:rPr>
        <w:t xml:space="preserve"> że obszar LGD charakteryzuje się stopniowym starzeniem się społeczeństwa. Udział osób w wieku poprodukcyjnym na terenie LGD był w 2021 r. niższy niż średnia dla województwa i kraju (wykres 3). Istotnym faktem jest, iż występował korzystny trend demograficzny jakim jest wysoki udział procentowy osób w wieku przedprodukcyjnym w ogólnej liczbie ludności oraz niski udział osób w wieku poprodukcyjnym. </w:t>
      </w:r>
      <w:bookmarkStart w:id="40" w:name="_Hlk134961360"/>
      <w:r>
        <w:rPr>
          <w:rFonts w:ascii="Times New Roman" w:hAnsi="Times New Roman" w:eastAsia="Calibri" w:cs="Times New Roman"/>
        </w:rPr>
        <w:t xml:space="preserve">Udział osób w wieku przedprodukcyjnym w 2021 r. na obszarze LGD wynosił 22,2% i był wyższy niż średnio w województwie (19,3%) i kraju (18,4%). W omawianym okresie ulegał on niewielkiemu spadkowi, jednak zawsze był korzystniejszy niż wyniki w Polsce i województwie małopolskim </w:t>
      </w:r>
      <w:bookmarkEnd w:id="40"/>
      <w:r>
        <w:rPr>
          <w:rFonts w:ascii="Times New Roman" w:hAnsi="Times New Roman" w:eastAsia="Calibri" w:cs="Times New Roman"/>
        </w:rPr>
        <w:t xml:space="preserve">(dane GUS). </w:t>
      </w:r>
    </w:p>
    <w:p w14:paraId="014B2D1E">
      <w:pPr>
        <w:pStyle w:val="28"/>
        <w:spacing w:line="276" w:lineRule="auto"/>
        <w:ind w:left="0" w:firstLine="709"/>
        <w:contextualSpacing w:val="0"/>
        <w:jc w:val="both"/>
        <w:rPr>
          <w:rFonts w:ascii="Times New Roman" w:hAnsi="Times New Roman" w:eastAsia="Calibri" w:cs="Times New Roman"/>
        </w:rPr>
      </w:pPr>
      <w:r>
        <w:rPr>
          <w:rFonts w:ascii="Times New Roman" w:hAnsi="Times New Roman" w:eastAsia="Calibri" w:cs="Times New Roman"/>
        </w:rPr>
        <w:t>Wzrost liczby mieszkańców oraz zwiększający się systematycznie udział ludności w wieku poprodukcyjnym stanowią wyzwanie w zakresie dostosowania infrastruktury i dostępności oferty usług publicznych dla rodzin z dziećmi oraz dla seniorów (w tym opieka przedszkolna, opieka zdrowotna, wspieranie aktywności społecznej itp.).</w:t>
      </w:r>
    </w:p>
    <w:p w14:paraId="23D27207">
      <w:pPr>
        <w:pStyle w:val="28"/>
        <w:spacing w:before="240" w:line="360" w:lineRule="auto"/>
        <w:ind w:left="0"/>
        <w:contextualSpacing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Przy obliczeniu wskaźnika </w:t>
      </w:r>
      <w:r>
        <w:rPr>
          <w:rFonts w:ascii="Times New Roman" w:hAnsi="Times New Roman" w:cs="Times New Roman"/>
          <w:b/>
          <w:bCs/>
          <w:i/>
          <w:iCs/>
          <w:color w:val="000000" w:themeColor="text1"/>
          <w14:textFill>
            <w14:solidFill>
              <w14:schemeClr w14:val="tx1"/>
            </w14:solidFill>
          </w14:textFill>
        </w:rPr>
        <w:t>ludność w wieku nieprodukcyjnym na obszarze LSR</w:t>
      </w:r>
      <w:r>
        <w:rPr>
          <w:rFonts w:ascii="Times New Roman" w:hAnsi="Times New Roman" w:cs="Times New Roman"/>
          <w:b/>
          <w:bCs/>
          <w:color w:val="000000" w:themeColor="text1"/>
          <w14:textFill>
            <w14:solidFill>
              <w14:schemeClr w14:val="tx1"/>
            </w14:solidFill>
          </w14:textFill>
        </w:rPr>
        <w:t xml:space="preserve"> za 2020 r. ze wzoru:</w:t>
      </w:r>
      <w:r>
        <w:rPr>
          <w:rFonts w:ascii="Times New Roman" w:hAnsi="Times New Roman" w:cs="Times New Roman"/>
          <w:b/>
          <w:bCs/>
          <w:color w:val="000000" w:themeColor="text1"/>
          <w14:textFill>
            <w14:solidFill>
              <w14:schemeClr w14:val="tx1"/>
            </w14:solidFill>
          </w14:textFill>
        </w:rPr>
        <w:br w:type="textWrapping"/>
      </w:r>
      <m:oMath>
        <m:r>
          <m:rPr>
            <m:sty m:val="bi"/>
          </m:rPr>
          <w:rPr>
            <w:rFonts w:ascii="Cambria Math" w:hAnsi="Cambria Math" w:cs="Times New Roman"/>
            <w:color w:val="000000" w:themeColor="text1"/>
            <w14:textFill>
              <w14:solidFill>
                <w14:schemeClr w14:val="tx1"/>
              </w14:solidFill>
            </w14:textFill>
          </w:rPr>
          <m:t xml:space="preserve">30 x (1− </m:t>
        </m:r>
        <m:f>
          <m:fPr>
            <m:ctrlPr>
              <w:rPr>
                <w:rFonts w:ascii="Cambria Math" w:hAnsi="Cambria Math" w:cs="Times New Roman"/>
                <w:b/>
                <w:bCs/>
                <w:i/>
                <w:color w:val="000000" w:themeColor="text1"/>
                <w14:textFill>
                  <w14:solidFill>
                    <w14:schemeClr w14:val="tx1"/>
                  </w14:solidFill>
                </w14:textFill>
              </w:rPr>
            </m:ctrlPr>
          </m:fPr>
          <m:num>
            <m:r>
              <m:rPr>
                <m:sty m:val="bi"/>
              </m:rPr>
              <w:rPr>
                <w:rFonts w:ascii="Cambria Math" w:hAnsi="Cambria Math" w:cs="Times New Roman"/>
                <w:color w:val="000000" w:themeColor="text1"/>
                <w14:textFill>
                  <w14:solidFill>
                    <w14:schemeClr w14:val="tx1"/>
                  </w14:solidFill>
                </w14:textFill>
              </w:rPr>
              <m:t>0,35 x liczba mieszkańców</m:t>
            </m:r>
            <m:ctrlPr>
              <w:rPr>
                <w:rFonts w:ascii="Cambria Math" w:hAnsi="Cambria Math" w:cs="Times New Roman"/>
                <w:b/>
                <w:bCs/>
                <w:i/>
                <w:color w:val="000000" w:themeColor="text1"/>
                <w14:textFill>
                  <w14:solidFill>
                    <w14:schemeClr w14:val="tx1"/>
                  </w14:solidFill>
                </w14:textFill>
              </w:rPr>
            </m:ctrlPr>
          </m:num>
          <m:den>
            <m:r>
              <m:rPr>
                <m:sty m:val="bi"/>
              </m:rPr>
              <w:rPr>
                <w:rFonts w:ascii="Cambria Math" w:hAnsi="Cambria Math" w:cs="Times New Roman"/>
                <w:color w:val="000000" w:themeColor="text1"/>
                <w14:textFill>
                  <w14:solidFill>
                    <w14:schemeClr w14:val="tx1"/>
                  </w14:solidFill>
                </w14:textFill>
              </w:rPr>
              <m:t>liczba osob w wieku nieprodukcyjnym</m:t>
            </m:r>
            <m:ctrlPr>
              <w:rPr>
                <w:rFonts w:ascii="Cambria Math" w:hAnsi="Cambria Math" w:cs="Times New Roman"/>
                <w:b/>
                <w:bCs/>
                <w:i/>
                <w:color w:val="000000" w:themeColor="text1"/>
                <w14:textFill>
                  <w14:solidFill>
                    <w14:schemeClr w14:val="tx1"/>
                  </w14:solidFill>
                </w14:textFill>
              </w:rPr>
            </m:ctrlPr>
          </m:den>
        </m:f>
        <m:r>
          <m:rPr>
            <m:sty m:val="bi"/>
          </m:rPr>
          <w:rPr>
            <w:rFonts w:ascii="Cambria Math" w:hAnsi="Cambria Math" w:cs="Times New Roman"/>
            <w:color w:val="000000" w:themeColor="text1"/>
            <w14:textFill>
              <w14:solidFill>
                <w14:schemeClr w14:val="tx1"/>
              </w14:solidFill>
            </w14:textFill>
          </w:rPr>
          <m:t>)</m:t>
        </m:r>
      </m:oMath>
      <w:r>
        <w:rPr>
          <w:rFonts w:ascii="Times New Roman" w:hAnsi="Times New Roman" w:cs="Times New Roman" w:eastAsiaTheme="minorEastAsia"/>
          <w:b/>
          <w:bCs/>
          <w:color w:val="000000" w:themeColor="text1"/>
          <w14:textFill>
            <w14:solidFill>
              <w14:schemeClr w14:val="tx1"/>
            </w14:solidFill>
          </w14:textFill>
        </w:rPr>
        <w:t xml:space="preserve"> obszar LGD osiąga wartość 3,59.</w:t>
      </w:r>
    </w:p>
    <w:p w14:paraId="68C52C69">
      <w:pPr>
        <w:pStyle w:val="28"/>
        <w:spacing w:line="276" w:lineRule="auto"/>
        <w:ind w:left="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b/>
      </w:r>
      <w:bookmarkEnd w:id="30"/>
      <w:r>
        <w:rPr>
          <w:rFonts w:ascii="Times New Roman" w:hAnsi="Times New Roman" w:cs="Times New Roman"/>
          <w:color w:val="000000" w:themeColor="text1"/>
          <w14:textFill>
            <w14:solidFill>
              <w14:schemeClr w14:val="tx1"/>
            </w14:solidFill>
          </w14:textFill>
        </w:rPr>
        <w:t xml:space="preserve">Jednym ze wskaźników mających wpływ na kształtowanie się struktury ludności jest wskaźnik </w:t>
      </w:r>
      <w:r>
        <w:rPr>
          <w:rFonts w:ascii="Times New Roman" w:hAnsi="Times New Roman" w:cs="Times New Roman"/>
          <w:i/>
          <w:iCs/>
          <w:color w:val="000000" w:themeColor="text1"/>
          <w14:textFill>
            <w14:solidFill>
              <w14:schemeClr w14:val="tx1"/>
            </w14:solidFill>
          </w14:textFill>
        </w:rPr>
        <w:t>przyrost naturalny na 1000 ludności</w:t>
      </w:r>
      <w:r>
        <w:rPr>
          <w:rFonts w:ascii="Times New Roman" w:hAnsi="Times New Roman" w:cs="Times New Roman"/>
          <w:color w:val="000000" w:themeColor="text1"/>
          <w14:textFill>
            <w14:solidFill>
              <w14:schemeClr w14:val="tx1"/>
            </w14:solidFill>
          </w14:textFill>
        </w:rPr>
        <w:t xml:space="preserve"> – wartości wskaźnika dla LGD w latach 2016–2021 przedstawiono na wykresie 4.</w:t>
      </w:r>
      <w:bookmarkStart w:id="41" w:name="_Toc112838958"/>
      <w:bookmarkStart w:id="42" w:name="_Toc134966316"/>
    </w:p>
    <w:p w14:paraId="3D11A04B">
      <w:pPr>
        <w:pStyle w:val="28"/>
        <w:spacing w:line="276" w:lineRule="auto"/>
        <w:ind w:left="0"/>
        <w:jc w:val="both"/>
      </w:pPr>
      <w:r>
        <w:br w:type="page"/>
      </w:r>
    </w:p>
    <w:p w14:paraId="2500FF3F">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43" w:name="_Toc136240708"/>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4</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Przyrost naturalny na 1 000 ludności na obszarze LGD w latach 2016–2021</w:t>
      </w:r>
      <w:bookmarkEnd w:id="41"/>
      <w:bookmarkEnd w:id="42"/>
      <w:bookmarkEnd w:id="43"/>
    </w:p>
    <w:p w14:paraId="324CDBD2">
      <w:pPr>
        <w:spacing w:after="0"/>
        <w:jc w:val="center"/>
      </w:pPr>
      <w:r>
        <w:rPr>
          <w:lang w:eastAsia="pl-PL"/>
        </w:rPr>
        <w:drawing>
          <wp:inline distT="0" distB="0" distL="0" distR="0">
            <wp:extent cx="6101715" cy="232854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99C927">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2BC6AA0C">
      <w:pPr>
        <w:spacing w:before="240"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ab/>
      </w:r>
      <w:r>
        <w:rPr>
          <w:rFonts w:ascii="Times New Roman" w:hAnsi="Times New Roman" w:cs="Times New Roman"/>
        </w:rPr>
        <w:t>Na tak „młode” społeczeństwo wpływ miał przede wszystkim wysoki przyrost naturalny</w:t>
      </w:r>
      <w:r>
        <w:t>.</w:t>
      </w:r>
      <w:r>
        <w:rPr>
          <w:rFonts w:ascii="Times New Roman" w:hAnsi="Times New Roman" w:cs="Times New Roman"/>
          <w:color w:val="000000" w:themeColor="text1"/>
          <w14:textFill>
            <w14:solidFill>
              <w14:schemeClr w14:val="tx1"/>
            </w14:solidFill>
          </w14:textFill>
        </w:rPr>
        <w:t xml:space="preserve"> Na przestrzeni lat wartość wskaźnika </w:t>
      </w:r>
      <w:r>
        <w:rPr>
          <w:rFonts w:ascii="Times New Roman" w:hAnsi="Times New Roman" w:cs="Times New Roman"/>
          <w:i/>
          <w:iCs/>
        </w:rPr>
        <w:t>pr</w:t>
      </w:r>
      <w:r>
        <w:rPr>
          <w:rFonts w:ascii="Times New Roman" w:hAnsi="Times New Roman" w:cs="Times New Roman"/>
          <w:i/>
          <w:iCs/>
          <w:color w:val="000000" w:themeColor="text1"/>
          <w14:textFill>
            <w14:solidFill>
              <w14:schemeClr w14:val="tx1"/>
            </w14:solidFill>
          </w14:textFill>
        </w:rPr>
        <w:t>zyrostu naturalnego na 1000 ludności</w:t>
      </w:r>
      <w:r>
        <w:rPr>
          <w:rFonts w:ascii="Times New Roman" w:hAnsi="Times New Roman" w:cs="Times New Roman"/>
          <w:color w:val="000000" w:themeColor="text1"/>
          <w14:textFill>
            <w14:solidFill>
              <w14:schemeClr w14:val="tx1"/>
            </w14:solidFill>
          </w14:textFill>
        </w:rPr>
        <w:t xml:space="preserve"> zmniejszała się, jednak wartości były dodatnie. Należy również zwrócić uwagę, że w 2021 r., pomimo iż wartość wskaźnika była niższa niż w poprzednich analizowanych latach, to była korzystniejsza w stosunku do województwa małopolskiego (-2,2) i Polski (-5,0). </w:t>
      </w:r>
    </w:p>
    <w:p w14:paraId="7F764FC5">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zCs w:val="24"/>
        </w:rPr>
        <w:t>Sytuacja demograficzna LGD jest korzystna</w:t>
      </w:r>
      <w:r>
        <w:rPr>
          <w:rFonts w:ascii="Times New Roman" w:hAnsi="Times New Roman" w:cs="Times New Roman"/>
          <w:color w:val="000000" w:themeColor="text1"/>
          <w14:textFill>
            <w14:solidFill>
              <w14:schemeClr w14:val="tx1"/>
            </w14:solidFill>
          </w14:textFill>
        </w:rPr>
        <w:t>, gdyż szacuje się, że w Polsce będzie ubywać ludności. W badaniu ankietowym na etapie diagnostycznym jako jedną z najważniejszych szans jakie stoją przed obszarem LGD, ankietowani wskazywali: „modę na zdrowy styl życia” (49% odpowiedzi). Rosnące zainteresowanie aktywnym spędzaniem czasu wolnego na świeżym powietrzu oraz prowadzenie zdrowego trybu życia wskazują na potrzebę inwestycji w zakresie infrastruktury rekreacyjnej. Szansą dla gminy jest fakt coraz dłuższego życia ludzi, mody na zdrowy styl życia i ogólnoświatowego rozwoju idei „slow life”, a także „leczenia lasem”.</w:t>
      </w:r>
    </w:p>
    <w:p w14:paraId="78DF285B">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Istotne w kontekście ilości i struktury ludności w danym miejscu jest również saldo migracji, stanowiące różnicę między napływem a odpływem ludności z danego obszaru w określonym czasie. Migracje stanowią jeden z najważniejszych (po liczbie urodzeń i zgonów) czynników kształtujących liczbę ludności na danym obszarze (wykres 5). Zgodnie z danymi GUS saldo migracji na 1 000 ludności na obszarze LGD w całym badanym okresie osiągało wartości dodatnie, a w roku 2021 osiągnęło wartość 1,0. Była to wartość niższa i mniej korzystna niż średnio w województwie małopolskim (1,4), ale wyższa niż w Polsce (0,1) (wykres 6). </w:t>
      </w:r>
    </w:p>
    <w:p w14:paraId="67BFFA91">
      <w:pPr>
        <w:pStyle w:val="9"/>
        <w:spacing w:before="240"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44" w:name="_Toc134966317"/>
      <w:bookmarkStart w:id="45" w:name="_Toc136240709"/>
      <w:bookmarkStart w:id="46" w:name="_Toc112838960"/>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5</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Saldo migracji na 1 000 ludności na obszarze LGD w latach 2016–2021</w:t>
      </w:r>
      <w:bookmarkEnd w:id="44"/>
      <w:bookmarkEnd w:id="45"/>
      <w:bookmarkEnd w:id="46"/>
    </w:p>
    <w:p w14:paraId="4AFC82EA">
      <w:pPr>
        <w:pStyle w:val="28"/>
        <w:spacing w:after="0" w:line="276" w:lineRule="auto"/>
        <w:ind w:left="0"/>
        <w:jc w:val="center"/>
        <w:rPr>
          <w:rFonts w:ascii="Times New Roman" w:hAnsi="Times New Roman" w:cs="Times New Roman"/>
          <w:b/>
          <w:bCs/>
        </w:rPr>
      </w:pPr>
      <w:r>
        <w:rPr>
          <w:lang w:eastAsia="pl-PL"/>
        </w:rPr>
        <w:drawing>
          <wp:inline distT="0" distB="0" distL="0" distR="0">
            <wp:extent cx="5869940" cy="26289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E4B83E">
      <w:pPr>
        <w:spacing w:after="0" w:line="276"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5E80254E">
      <w:pPr>
        <w:rPr>
          <w:rFonts w:ascii="Times New Roman" w:hAnsi="Times New Roman" w:cs="Times New Roman"/>
          <w:i/>
          <w:iCs/>
          <w:sz w:val="20"/>
          <w:szCs w:val="20"/>
        </w:rPr>
      </w:pPr>
      <w:r>
        <w:rPr>
          <w:rFonts w:ascii="Times New Roman" w:hAnsi="Times New Roman" w:cs="Times New Roman"/>
          <w:i/>
          <w:iCs/>
          <w:sz w:val="20"/>
          <w:szCs w:val="20"/>
        </w:rPr>
        <w:br w:type="page"/>
      </w:r>
    </w:p>
    <w:p w14:paraId="606B4313">
      <w:pPr>
        <w:spacing w:before="240" w:after="0" w:line="240" w:lineRule="auto"/>
        <w:jc w:val="center"/>
        <w:rPr>
          <w:rFonts w:ascii="Times New Roman" w:hAnsi="Times New Roman" w:cs="Times New Roman"/>
          <w:b/>
          <w:bCs/>
          <w:color w:val="000000" w:themeColor="text1"/>
          <w:sz w:val="20"/>
          <w:szCs w:val="20"/>
          <w14:textFill>
            <w14:solidFill>
              <w14:schemeClr w14:val="tx1"/>
            </w14:solidFill>
          </w14:textFill>
        </w:rPr>
      </w:pPr>
      <w:bookmarkStart w:id="47" w:name="_Toc117457535"/>
      <w:bookmarkStart w:id="48" w:name="_Toc134966318"/>
      <w:bookmarkStart w:id="49" w:name="_Toc136240710"/>
      <w:r>
        <w:rPr>
          <w:rFonts w:ascii="Times New Roman" w:hAnsi="Times New Roman" w:cs="Times New Roman"/>
          <w:b/>
          <w:bCs/>
          <w:color w:val="000000" w:themeColor="text1"/>
          <w:sz w:val="20"/>
          <w:szCs w:val="20"/>
          <w14:textFill>
            <w14:solidFill>
              <w14:schemeClr w14:val="tx1"/>
            </w14:solidFill>
          </w14:textFill>
        </w:rPr>
        <w:t xml:space="preserve">Wykres </w:t>
      </w:r>
      <w:r>
        <w:rPr>
          <w:rFonts w:ascii="Times New Roman" w:hAnsi="Times New Roman" w:cs="Times New Roman"/>
          <w:b/>
          <w:bCs/>
          <w:color w:val="000000" w:themeColor="text1"/>
          <w:sz w:val="20"/>
          <w:szCs w:val="20"/>
          <w14:textFill>
            <w14:solidFill>
              <w14:schemeClr w14:val="tx1"/>
            </w14:solidFill>
          </w14:textFill>
        </w:rPr>
        <w:fldChar w:fldCharType="begin"/>
      </w:r>
      <w:r>
        <w:rPr>
          <w:rFonts w:ascii="Times New Roman" w:hAnsi="Times New Roman" w:cs="Times New Roman"/>
          <w:b/>
          <w:bCs/>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color w:val="000000" w:themeColor="text1"/>
          <w:sz w:val="20"/>
          <w:szCs w:val="20"/>
          <w14:textFill>
            <w14:solidFill>
              <w14:schemeClr w14:val="tx1"/>
            </w14:solidFill>
          </w14:textFill>
        </w:rPr>
        <w:fldChar w:fldCharType="separate"/>
      </w:r>
      <w:r>
        <w:rPr>
          <w:rFonts w:ascii="Times New Roman" w:hAnsi="Times New Roman" w:cs="Times New Roman"/>
          <w:b/>
          <w:bCs/>
          <w:color w:val="000000" w:themeColor="text1"/>
          <w:sz w:val="20"/>
          <w:szCs w:val="20"/>
          <w14:textFill>
            <w14:solidFill>
              <w14:schemeClr w14:val="tx1"/>
            </w14:solidFill>
          </w14:textFill>
        </w:rPr>
        <w:t>6</w:t>
      </w:r>
      <w:r>
        <w:rPr>
          <w:rFonts w:ascii="Times New Roman" w:hAnsi="Times New Roman" w:cs="Times New Roman"/>
          <w:b/>
          <w:bCs/>
          <w:color w:val="000000" w:themeColor="text1"/>
          <w:sz w:val="20"/>
          <w:szCs w:val="20"/>
          <w14:textFill>
            <w14:solidFill>
              <w14:schemeClr w14:val="tx1"/>
            </w14:solidFill>
          </w14:textFill>
        </w:rPr>
        <w:fldChar w:fldCharType="end"/>
      </w:r>
      <w:r>
        <w:rPr>
          <w:rFonts w:ascii="Times New Roman" w:hAnsi="Times New Roman" w:cs="Times New Roman"/>
          <w:b/>
          <w:bCs/>
          <w:color w:val="000000" w:themeColor="text1"/>
          <w:sz w:val="20"/>
          <w:szCs w:val="20"/>
          <w14:textFill>
            <w14:solidFill>
              <w14:schemeClr w14:val="tx1"/>
            </w14:solidFill>
          </w14:textFill>
        </w:rPr>
        <w:t xml:space="preserve"> Saldo migracji na 1 000 ludności na obszarze LGD w porównaniu do województwa i kraju w 2021 r.</w:t>
      </w:r>
      <w:bookmarkEnd w:id="47"/>
      <w:bookmarkEnd w:id="48"/>
      <w:bookmarkEnd w:id="49"/>
    </w:p>
    <w:p w14:paraId="0DF91908">
      <w:pPr>
        <w:spacing w:after="0"/>
        <w:jc w:val="center"/>
        <w:rPr>
          <w:rFonts w:ascii="Times New Roman" w:hAnsi="Times New Roman"/>
        </w:rPr>
      </w:pPr>
      <w:r>
        <w:rPr>
          <w:lang w:eastAsia="pl-PL"/>
        </w:rPr>
        <w:drawing>
          <wp:inline distT="0" distB="0" distL="0" distR="0">
            <wp:extent cx="5187315" cy="2225040"/>
            <wp:effectExtent l="0" t="0" r="0" b="381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41F551">
      <w:pPr>
        <w:spacing w:after="0"/>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3C10C5AD">
      <w:pPr>
        <w:pStyle w:val="28"/>
        <w:spacing w:before="240" w:line="360" w:lineRule="auto"/>
        <w:ind w:left="0"/>
        <w:contextualSpacing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Przy obliczeniu wskaźnika </w:t>
      </w:r>
      <w:r>
        <w:rPr>
          <w:rFonts w:ascii="Times New Roman" w:hAnsi="Times New Roman" w:cs="Times New Roman"/>
          <w:b/>
          <w:bCs/>
          <w:i/>
          <w:iCs/>
          <w:color w:val="000000" w:themeColor="text1"/>
          <w14:textFill>
            <w14:solidFill>
              <w14:schemeClr w14:val="tx1"/>
            </w14:solidFill>
          </w14:textFill>
        </w:rPr>
        <w:t>saldo migracji na obszarze według stanu na koniec 2020 r.</w:t>
      </w:r>
      <w:r>
        <w:rPr>
          <w:rFonts w:ascii="Times New Roman" w:hAnsi="Times New Roman" w:cs="Times New Roman"/>
          <w:b/>
          <w:bCs/>
          <w:color w:val="000000" w:themeColor="text1"/>
          <w14:textFill>
            <w14:solidFill>
              <w14:schemeClr w14:val="tx1"/>
            </w14:solidFill>
          </w14:textFill>
        </w:rPr>
        <w:t xml:space="preserve"> ze wzoru:</w:t>
      </w:r>
      <w:r>
        <w:rPr>
          <w:rFonts w:ascii="Times New Roman" w:hAnsi="Times New Roman" w:cs="Times New Roman"/>
          <w:b/>
          <w:bCs/>
          <w:color w:val="000000" w:themeColor="text1"/>
          <w14:textFill>
            <w14:solidFill>
              <w14:schemeClr w14:val="tx1"/>
            </w14:solidFill>
          </w14:textFill>
        </w:rPr>
        <w:br w:type="textWrapping"/>
      </w:r>
      <m:oMath>
        <m:r>
          <m:rPr>
            <m:sty m:val="bi"/>
          </m:rPr>
          <w:rPr>
            <w:rFonts w:ascii="Cambria Math" w:hAnsi="Cambria Math" w:cs="Times New Roman"/>
            <w:color w:val="000000" w:themeColor="text1"/>
            <w14:textFill>
              <w14:solidFill>
                <w14:schemeClr w14:val="tx1"/>
              </w14:solidFill>
            </w14:textFill>
          </w:rPr>
          <m:t xml:space="preserve">4 x (1−40 x </m:t>
        </m:r>
        <m:f>
          <m:fPr>
            <m:ctrlPr>
              <w:rPr>
                <w:rFonts w:ascii="Cambria Math" w:hAnsi="Cambria Math" w:cs="Times New Roman"/>
                <w:b/>
                <w:bCs/>
                <w:i/>
                <w:color w:val="000000" w:themeColor="text1"/>
                <w14:textFill>
                  <w14:solidFill>
                    <w14:schemeClr w14:val="tx1"/>
                  </w14:solidFill>
                </w14:textFill>
              </w:rPr>
            </m:ctrlPr>
          </m:fPr>
          <m:num>
            <m:r>
              <m:rPr>
                <m:sty m:val="bi"/>
              </m:rPr>
              <w:rPr>
                <w:rFonts w:ascii="Cambria Math" w:hAnsi="Cambria Math" w:cs="Times New Roman"/>
                <w:color w:val="000000" w:themeColor="text1"/>
                <w14:textFill>
                  <w14:solidFill>
                    <w14:schemeClr w14:val="tx1"/>
                  </w14:solidFill>
                </w14:textFill>
              </w:rPr>
              <m:t>zameldowania−wymeldowania</m:t>
            </m:r>
            <m:ctrlPr>
              <w:rPr>
                <w:rFonts w:ascii="Cambria Math" w:hAnsi="Cambria Math" w:cs="Times New Roman"/>
                <w:b/>
                <w:bCs/>
                <w:i/>
                <w:color w:val="000000" w:themeColor="text1"/>
                <w14:textFill>
                  <w14:solidFill>
                    <w14:schemeClr w14:val="tx1"/>
                  </w14:solidFill>
                </w14:textFill>
              </w:rPr>
            </m:ctrlPr>
          </m:num>
          <m:den>
            <m:r>
              <m:rPr>
                <m:sty m:val="bi"/>
              </m:rPr>
              <w:rPr>
                <w:rFonts w:ascii="Cambria Math" w:hAnsi="Cambria Math" w:cs="Times New Roman"/>
                <w:color w:val="000000" w:themeColor="text1"/>
                <w14:textFill>
                  <w14:solidFill>
                    <w14:schemeClr w14:val="tx1"/>
                  </w14:solidFill>
                </w14:textFill>
              </w:rPr>
              <m:t>liczba mieszkańców</m:t>
            </m:r>
            <m:ctrlPr>
              <w:rPr>
                <w:rFonts w:ascii="Cambria Math" w:hAnsi="Cambria Math" w:cs="Times New Roman"/>
                <w:b/>
                <w:bCs/>
                <w:i/>
                <w:color w:val="000000" w:themeColor="text1"/>
                <w14:textFill>
                  <w14:solidFill>
                    <w14:schemeClr w14:val="tx1"/>
                  </w14:solidFill>
                </w14:textFill>
              </w:rPr>
            </m:ctrlPr>
          </m:den>
        </m:f>
        <m:r>
          <m:rPr>
            <m:sty m:val="bi"/>
          </m:rPr>
          <w:rPr>
            <w:rFonts w:ascii="Cambria Math" w:hAnsi="Cambria Math" w:cs="Times New Roman"/>
            <w:color w:val="000000" w:themeColor="text1"/>
            <w14:textFill>
              <w14:solidFill>
                <w14:schemeClr w14:val="tx1"/>
              </w14:solidFill>
            </w14:textFill>
          </w:rPr>
          <m:t>)</m:t>
        </m:r>
      </m:oMath>
      <w:r>
        <w:rPr>
          <w:rFonts w:ascii="Times New Roman" w:hAnsi="Times New Roman" w:cs="Times New Roman" w:eastAsiaTheme="minorEastAsia"/>
          <w:b/>
          <w:bCs/>
          <w:color w:val="000000" w:themeColor="text1"/>
          <w14:textFill>
            <w14:solidFill>
              <w14:schemeClr w14:val="tx1"/>
            </w14:solidFill>
          </w14:textFill>
        </w:rPr>
        <w:t xml:space="preserve"> obszar LGD osiąga wartość 3,81.</w:t>
      </w:r>
    </w:p>
    <w:p w14:paraId="3EB2D2D1">
      <w:pPr>
        <w:pStyle w:val="28"/>
        <w:spacing w:before="240" w:line="276" w:lineRule="auto"/>
        <w:ind w:left="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rPr>
        <w:tab/>
      </w:r>
      <w:r>
        <w:rPr>
          <w:rFonts w:ascii="Times New Roman" w:hAnsi="Times New Roman" w:cs="Times New Roman"/>
          <w:color w:val="000000" w:themeColor="text1"/>
          <w14:textFill>
            <w14:solidFill>
              <w14:schemeClr w14:val="tx1"/>
            </w14:solidFill>
          </w14:textFill>
        </w:rPr>
        <w:t xml:space="preserve">Ważnym czynnikiem świadczącym o potencjale demograficznym danego obszaru jest kwestia związana z budownictwem mieszkaniowym – można go ocenić za pomocą wskaźnika </w:t>
      </w:r>
      <w:bookmarkStart w:id="50" w:name="_Hlk111037823"/>
      <w:r>
        <w:rPr>
          <w:rFonts w:ascii="Times New Roman" w:hAnsi="Times New Roman" w:cs="Times New Roman"/>
          <w:i/>
          <w:iCs/>
          <w:color w:val="000000" w:themeColor="text1"/>
          <w14:textFill>
            <w14:solidFill>
              <w14:schemeClr w14:val="tx1"/>
            </w14:solidFill>
          </w14:textFill>
        </w:rPr>
        <w:t>pozwolenia wydane na budowę i zgłoszenia budowy z projektem budowlanym w przeliczeniu na 10 tys. mieszkańców</w:t>
      </w:r>
      <w:bookmarkEnd w:id="50"/>
      <w:r>
        <w:rPr>
          <w:rFonts w:ascii="Times New Roman" w:hAnsi="Times New Roman" w:cs="Times New Roman"/>
          <w:color w:val="000000" w:themeColor="text1"/>
          <w14:textFill>
            <w14:solidFill>
              <w14:schemeClr w14:val="tx1"/>
            </w14:solidFill>
          </w14:textFill>
        </w:rPr>
        <w:t xml:space="preserve">. Wysoka wartość tego wskaźnika </w:t>
      </w:r>
      <w:bookmarkStart w:id="51" w:name="_Hlk111037857"/>
      <w:r>
        <w:rPr>
          <w:rFonts w:ascii="Times New Roman" w:hAnsi="Times New Roman" w:cs="Times New Roman"/>
          <w:color w:val="000000" w:themeColor="text1"/>
          <w14:textFill>
            <w14:solidFill>
              <w14:schemeClr w14:val="tx1"/>
            </w14:solidFill>
          </w14:textFill>
        </w:rPr>
        <w:t xml:space="preserve">oznacza, że ludzie chętnie inwestują w dane miejsce jako miejsce zamieszkania – akumulują w nim swój majątek i chcą się w nim osiedlić. </w:t>
      </w:r>
      <w:bookmarkEnd w:id="51"/>
      <w:r>
        <w:rPr>
          <w:rFonts w:ascii="Times New Roman" w:hAnsi="Times New Roman" w:cs="Times New Roman"/>
          <w:color w:val="000000" w:themeColor="text1"/>
          <w14:textFill>
            <w14:solidFill>
              <w14:schemeClr w14:val="tx1"/>
            </w14:solidFill>
          </w14:textFill>
        </w:rPr>
        <w:t xml:space="preserve">Wartości wskaźnika dla poszczególnych gmin, a także średnio dla LGD, województwa i kraju w latach 2018–2021 przedstawiono w tabeli 4. Wartości wskaźnika dla obszaru LGD w analizowanym okresie każdorazowo były wyższe od średniej dla województwa i kraju. W 2021 r. odnotowano </w:t>
      </w:r>
      <w:bookmarkStart w:id="52" w:name="_Hlk134961596"/>
      <w:r>
        <w:rPr>
          <w:rFonts w:ascii="Times New Roman" w:hAnsi="Times New Roman" w:cs="Times New Roman"/>
          <w:color w:val="000000" w:themeColor="text1"/>
          <w14:textFill>
            <w14:solidFill>
              <w14:schemeClr w14:val="tx1"/>
            </w14:solidFill>
          </w14:textFill>
        </w:rPr>
        <w:t>znaczny wzrost wartości wskaźnika dla LGD w stosunku do poprzednich lat. Najkorzystniejszą w tym zakresie sytuacją charakteryzuje się Gmina Wiśniowa, dla której wartość wskaźnika w 2021 r. (75) była nie tylko najwyższa wśród gmin LGD, ale również znacznie wyższa od średniej dla województwa i kraju.</w:t>
      </w:r>
    </w:p>
    <w:bookmarkEnd w:id="52"/>
    <w:p w14:paraId="6D4E7B4F">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53" w:name="_Toc134966353"/>
      <w:bookmarkStart w:id="54" w:name="_Toc112152403"/>
      <w:bookmarkStart w:id="55" w:name="_Toc136241392"/>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4</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Pozwolenia wydane na budowę i zgłoszenia budowy z projektem budowlanym w przeliczeniu na 10 tys. mieszkańców w poszczególnych gminach LGD oraz porównanie średniej obszaru LGD do województwa i kraju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w latach 2018–2021</w:t>
      </w:r>
      <w:bookmarkEnd w:id="53"/>
      <w:bookmarkEnd w:id="54"/>
      <w:bookmarkEnd w:id="55"/>
    </w:p>
    <w:tbl>
      <w:tblPr>
        <w:tblStyle w:val="6"/>
        <w:tblW w:w="4916" w:type="pct"/>
        <w:tblInd w:w="0" w:type="dxa"/>
        <w:tblLayout w:type="autofit"/>
        <w:tblCellMar>
          <w:top w:w="0" w:type="dxa"/>
          <w:left w:w="70" w:type="dxa"/>
          <w:bottom w:w="0" w:type="dxa"/>
          <w:right w:w="70" w:type="dxa"/>
        </w:tblCellMar>
      </w:tblPr>
      <w:tblGrid>
        <w:gridCol w:w="3474"/>
        <w:gridCol w:w="1674"/>
        <w:gridCol w:w="1674"/>
        <w:gridCol w:w="1674"/>
        <w:gridCol w:w="1674"/>
      </w:tblGrid>
      <w:tr w14:paraId="5A156DBE">
        <w:tblPrEx>
          <w:tblCellMar>
            <w:top w:w="0" w:type="dxa"/>
            <w:left w:w="70" w:type="dxa"/>
            <w:bottom w:w="0" w:type="dxa"/>
            <w:right w:w="70" w:type="dxa"/>
          </w:tblCellMar>
        </w:tblPrEx>
        <w:trPr>
          <w:trHeight w:val="623" w:hRule="atLeast"/>
        </w:trPr>
        <w:tc>
          <w:tcPr>
            <w:tcW w:w="170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07407D7">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3292" w:type="pct"/>
            <w:gridSpan w:val="4"/>
            <w:tcBorders>
              <w:top w:val="single" w:color="auto" w:sz="4" w:space="0"/>
              <w:left w:val="single" w:color="auto" w:sz="4" w:space="0"/>
              <w:bottom w:val="single" w:color="000000" w:sz="4" w:space="0"/>
              <w:right w:val="single" w:color="000000" w:sz="4" w:space="0"/>
            </w:tcBorders>
            <w:shd w:val="clear" w:color="auto" w:fill="auto"/>
            <w:vAlign w:val="center"/>
          </w:tcPr>
          <w:p w14:paraId="2E5DA87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 xml:space="preserve">Pozwolenia wydane na budowę i zgłoszenia budowy </w:t>
            </w:r>
            <w:r>
              <w:rPr>
                <w:rFonts w:ascii="Times New Roman" w:hAnsi="Times New Roman" w:eastAsia="Times New Roman" w:cs="Times New Roman"/>
                <w:b/>
                <w:bCs/>
                <w:color w:val="000000"/>
                <w:sz w:val="20"/>
                <w:szCs w:val="20"/>
                <w:lang w:eastAsia="pl-PL"/>
              </w:rPr>
              <w:br w:type="textWrapping"/>
            </w:r>
            <w:r>
              <w:rPr>
                <w:rFonts w:ascii="Times New Roman" w:hAnsi="Times New Roman" w:eastAsia="Times New Roman" w:cs="Times New Roman"/>
                <w:b/>
                <w:bCs/>
                <w:color w:val="000000"/>
                <w:sz w:val="20"/>
                <w:szCs w:val="20"/>
                <w:lang w:eastAsia="pl-PL"/>
              </w:rPr>
              <w:t>z projektem budowlanym w przeliczeniu na 10 tys. mieszkańców</w:t>
            </w:r>
          </w:p>
        </w:tc>
      </w:tr>
      <w:tr w14:paraId="692936EC">
        <w:tblPrEx>
          <w:tblCellMar>
            <w:top w:w="0" w:type="dxa"/>
            <w:left w:w="70" w:type="dxa"/>
            <w:bottom w:w="0" w:type="dxa"/>
            <w:right w:w="70" w:type="dxa"/>
          </w:tblCellMar>
        </w:tblPrEx>
        <w:trPr>
          <w:trHeight w:val="369" w:hRule="atLeast"/>
        </w:trPr>
        <w:tc>
          <w:tcPr>
            <w:tcW w:w="17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8D2ECF">
            <w:pPr>
              <w:spacing w:after="0" w:line="240" w:lineRule="auto"/>
              <w:rPr>
                <w:rFonts w:ascii="Times New Roman" w:hAnsi="Times New Roman" w:eastAsia="Times New Roman" w:cs="Times New Roman"/>
                <w:b/>
                <w:bCs/>
                <w:color w:val="000000"/>
                <w:sz w:val="20"/>
                <w:szCs w:val="20"/>
                <w:lang w:eastAsia="pl-PL"/>
              </w:rPr>
            </w:pPr>
          </w:p>
        </w:tc>
        <w:tc>
          <w:tcPr>
            <w:tcW w:w="823" w:type="pct"/>
            <w:tcBorders>
              <w:top w:val="nil"/>
              <w:left w:val="nil"/>
              <w:bottom w:val="single" w:color="auto" w:sz="4" w:space="0"/>
              <w:right w:val="single" w:color="auto" w:sz="4" w:space="0"/>
            </w:tcBorders>
            <w:shd w:val="clear" w:color="auto" w:fill="auto"/>
            <w:noWrap/>
            <w:vAlign w:val="center"/>
          </w:tcPr>
          <w:p w14:paraId="1549C7C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823" w:type="pct"/>
            <w:tcBorders>
              <w:top w:val="nil"/>
              <w:left w:val="nil"/>
              <w:bottom w:val="single" w:color="auto" w:sz="4" w:space="0"/>
              <w:right w:val="single" w:color="auto" w:sz="4" w:space="0"/>
            </w:tcBorders>
            <w:shd w:val="clear" w:color="auto" w:fill="auto"/>
            <w:noWrap/>
            <w:vAlign w:val="center"/>
          </w:tcPr>
          <w:p w14:paraId="4A817AC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823" w:type="pct"/>
            <w:tcBorders>
              <w:top w:val="nil"/>
              <w:left w:val="nil"/>
              <w:bottom w:val="single" w:color="auto" w:sz="4" w:space="0"/>
              <w:right w:val="single" w:color="auto" w:sz="4" w:space="0"/>
            </w:tcBorders>
            <w:shd w:val="clear" w:color="auto" w:fill="auto"/>
            <w:noWrap/>
            <w:vAlign w:val="center"/>
          </w:tcPr>
          <w:p w14:paraId="644EFBB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823" w:type="pct"/>
            <w:tcBorders>
              <w:top w:val="nil"/>
              <w:left w:val="nil"/>
              <w:bottom w:val="single" w:color="auto" w:sz="4" w:space="0"/>
              <w:right w:val="single" w:color="auto" w:sz="4" w:space="0"/>
            </w:tcBorders>
            <w:shd w:val="clear" w:color="auto" w:fill="auto"/>
            <w:noWrap/>
            <w:vAlign w:val="center"/>
          </w:tcPr>
          <w:p w14:paraId="451B0E1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r>
      <w:tr w14:paraId="08FFD9AD">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6D2CDEC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823" w:type="pct"/>
            <w:tcBorders>
              <w:top w:val="nil"/>
              <w:left w:val="nil"/>
              <w:bottom w:val="single" w:color="auto" w:sz="4" w:space="0"/>
              <w:right w:val="single" w:color="auto" w:sz="4" w:space="0"/>
            </w:tcBorders>
            <w:shd w:val="clear" w:color="auto" w:fill="auto"/>
            <w:noWrap/>
            <w:vAlign w:val="center"/>
          </w:tcPr>
          <w:p w14:paraId="6D6BCA2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30</w:t>
            </w:r>
          </w:p>
        </w:tc>
        <w:tc>
          <w:tcPr>
            <w:tcW w:w="823" w:type="pct"/>
            <w:tcBorders>
              <w:top w:val="nil"/>
              <w:left w:val="nil"/>
              <w:bottom w:val="single" w:color="auto" w:sz="4" w:space="0"/>
              <w:right w:val="single" w:color="auto" w:sz="4" w:space="0"/>
            </w:tcBorders>
            <w:shd w:val="clear" w:color="auto" w:fill="auto"/>
            <w:noWrap/>
            <w:vAlign w:val="center"/>
          </w:tcPr>
          <w:p w14:paraId="5B37A4E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36</w:t>
            </w:r>
          </w:p>
        </w:tc>
        <w:tc>
          <w:tcPr>
            <w:tcW w:w="823" w:type="pct"/>
            <w:tcBorders>
              <w:top w:val="nil"/>
              <w:left w:val="nil"/>
              <w:bottom w:val="single" w:color="auto" w:sz="4" w:space="0"/>
              <w:right w:val="single" w:color="auto" w:sz="4" w:space="0"/>
            </w:tcBorders>
            <w:shd w:val="clear" w:color="auto" w:fill="auto"/>
            <w:noWrap/>
            <w:vAlign w:val="center"/>
          </w:tcPr>
          <w:p w14:paraId="00BEA85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31</w:t>
            </w:r>
          </w:p>
        </w:tc>
        <w:tc>
          <w:tcPr>
            <w:tcW w:w="823" w:type="pct"/>
            <w:tcBorders>
              <w:top w:val="nil"/>
              <w:left w:val="nil"/>
              <w:bottom w:val="single" w:color="auto" w:sz="4" w:space="0"/>
              <w:right w:val="single" w:color="auto" w:sz="4" w:space="0"/>
            </w:tcBorders>
            <w:shd w:val="clear" w:color="auto" w:fill="auto"/>
            <w:noWrap/>
            <w:vAlign w:val="center"/>
          </w:tcPr>
          <w:p w14:paraId="2D4D94D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32</w:t>
            </w:r>
          </w:p>
        </w:tc>
      </w:tr>
      <w:tr w14:paraId="6F001825">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5A4E7B6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823" w:type="pct"/>
            <w:tcBorders>
              <w:top w:val="nil"/>
              <w:left w:val="nil"/>
              <w:bottom w:val="single" w:color="auto" w:sz="4" w:space="0"/>
              <w:right w:val="single" w:color="auto" w:sz="4" w:space="0"/>
            </w:tcBorders>
            <w:shd w:val="clear" w:color="auto" w:fill="auto"/>
            <w:noWrap/>
            <w:vAlign w:val="center"/>
          </w:tcPr>
          <w:p w14:paraId="0FE2084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w:t>
            </w:r>
          </w:p>
        </w:tc>
        <w:tc>
          <w:tcPr>
            <w:tcW w:w="823" w:type="pct"/>
            <w:tcBorders>
              <w:top w:val="nil"/>
              <w:left w:val="nil"/>
              <w:bottom w:val="single" w:color="auto" w:sz="4" w:space="0"/>
              <w:right w:val="single" w:color="auto" w:sz="4" w:space="0"/>
            </w:tcBorders>
            <w:shd w:val="clear" w:color="auto" w:fill="auto"/>
            <w:noWrap/>
            <w:vAlign w:val="center"/>
          </w:tcPr>
          <w:p w14:paraId="6D64A81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w:t>
            </w:r>
          </w:p>
        </w:tc>
        <w:tc>
          <w:tcPr>
            <w:tcW w:w="823" w:type="pct"/>
            <w:tcBorders>
              <w:top w:val="nil"/>
              <w:left w:val="nil"/>
              <w:bottom w:val="single" w:color="auto" w:sz="4" w:space="0"/>
              <w:right w:val="single" w:color="auto" w:sz="4" w:space="0"/>
            </w:tcBorders>
            <w:shd w:val="clear" w:color="auto" w:fill="auto"/>
            <w:noWrap/>
            <w:vAlign w:val="center"/>
          </w:tcPr>
          <w:p w14:paraId="499176D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51</w:t>
            </w:r>
          </w:p>
        </w:tc>
        <w:tc>
          <w:tcPr>
            <w:tcW w:w="823" w:type="pct"/>
            <w:tcBorders>
              <w:top w:val="nil"/>
              <w:left w:val="nil"/>
              <w:bottom w:val="single" w:color="auto" w:sz="4" w:space="0"/>
              <w:right w:val="single" w:color="auto" w:sz="4" w:space="0"/>
            </w:tcBorders>
            <w:shd w:val="clear" w:color="auto" w:fill="auto"/>
            <w:noWrap/>
            <w:vAlign w:val="center"/>
          </w:tcPr>
          <w:p w14:paraId="6C87D82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54</w:t>
            </w:r>
          </w:p>
        </w:tc>
      </w:tr>
      <w:tr w14:paraId="0E5AE7A0">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71AB263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823" w:type="pct"/>
            <w:tcBorders>
              <w:top w:val="nil"/>
              <w:left w:val="nil"/>
              <w:bottom w:val="single" w:color="auto" w:sz="4" w:space="0"/>
              <w:right w:val="single" w:color="auto" w:sz="4" w:space="0"/>
            </w:tcBorders>
            <w:shd w:val="clear" w:color="auto" w:fill="auto"/>
            <w:noWrap/>
            <w:vAlign w:val="center"/>
          </w:tcPr>
          <w:p w14:paraId="4DE5359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45</w:t>
            </w:r>
          </w:p>
        </w:tc>
        <w:tc>
          <w:tcPr>
            <w:tcW w:w="823" w:type="pct"/>
            <w:tcBorders>
              <w:top w:val="nil"/>
              <w:left w:val="nil"/>
              <w:bottom w:val="single" w:color="auto" w:sz="4" w:space="0"/>
              <w:right w:val="single" w:color="auto" w:sz="4" w:space="0"/>
            </w:tcBorders>
            <w:shd w:val="clear" w:color="auto" w:fill="auto"/>
            <w:noWrap/>
            <w:vAlign w:val="center"/>
          </w:tcPr>
          <w:p w14:paraId="6D45AB3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57</w:t>
            </w:r>
          </w:p>
        </w:tc>
        <w:tc>
          <w:tcPr>
            <w:tcW w:w="823" w:type="pct"/>
            <w:tcBorders>
              <w:top w:val="nil"/>
              <w:left w:val="nil"/>
              <w:bottom w:val="single" w:color="auto" w:sz="4" w:space="0"/>
              <w:right w:val="single" w:color="auto" w:sz="4" w:space="0"/>
            </w:tcBorders>
            <w:shd w:val="clear" w:color="auto" w:fill="auto"/>
            <w:noWrap/>
            <w:vAlign w:val="center"/>
          </w:tcPr>
          <w:p w14:paraId="24C609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38</w:t>
            </w:r>
          </w:p>
        </w:tc>
        <w:tc>
          <w:tcPr>
            <w:tcW w:w="823" w:type="pct"/>
            <w:tcBorders>
              <w:top w:val="nil"/>
              <w:left w:val="nil"/>
              <w:bottom w:val="single" w:color="auto" w:sz="4" w:space="0"/>
              <w:right w:val="single" w:color="auto" w:sz="4" w:space="0"/>
            </w:tcBorders>
            <w:shd w:val="clear" w:color="auto" w:fill="auto"/>
            <w:noWrap/>
            <w:vAlign w:val="center"/>
          </w:tcPr>
          <w:p w14:paraId="5C7255D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48</w:t>
            </w:r>
          </w:p>
        </w:tc>
      </w:tr>
      <w:tr w14:paraId="02D4C13C">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507491C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823" w:type="pct"/>
            <w:tcBorders>
              <w:top w:val="nil"/>
              <w:left w:val="nil"/>
              <w:bottom w:val="single" w:color="auto" w:sz="4" w:space="0"/>
              <w:right w:val="single" w:color="auto" w:sz="4" w:space="0"/>
            </w:tcBorders>
            <w:shd w:val="clear" w:color="auto" w:fill="auto"/>
            <w:noWrap/>
            <w:vAlign w:val="center"/>
          </w:tcPr>
          <w:p w14:paraId="2309896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53</w:t>
            </w:r>
          </w:p>
        </w:tc>
        <w:tc>
          <w:tcPr>
            <w:tcW w:w="823" w:type="pct"/>
            <w:tcBorders>
              <w:top w:val="nil"/>
              <w:left w:val="nil"/>
              <w:bottom w:val="single" w:color="auto" w:sz="4" w:space="0"/>
              <w:right w:val="single" w:color="auto" w:sz="4" w:space="0"/>
            </w:tcBorders>
            <w:shd w:val="clear" w:color="auto" w:fill="auto"/>
            <w:noWrap/>
            <w:vAlign w:val="center"/>
          </w:tcPr>
          <w:p w14:paraId="3FE86BB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51</w:t>
            </w:r>
          </w:p>
        </w:tc>
        <w:tc>
          <w:tcPr>
            <w:tcW w:w="823" w:type="pct"/>
            <w:tcBorders>
              <w:top w:val="nil"/>
              <w:left w:val="nil"/>
              <w:bottom w:val="single" w:color="auto" w:sz="4" w:space="0"/>
              <w:right w:val="single" w:color="auto" w:sz="4" w:space="0"/>
            </w:tcBorders>
            <w:shd w:val="clear" w:color="auto" w:fill="auto"/>
            <w:noWrap/>
            <w:vAlign w:val="center"/>
          </w:tcPr>
          <w:p w14:paraId="527A042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w:t>
            </w:r>
          </w:p>
        </w:tc>
        <w:tc>
          <w:tcPr>
            <w:tcW w:w="823" w:type="pct"/>
            <w:tcBorders>
              <w:top w:val="nil"/>
              <w:left w:val="nil"/>
              <w:bottom w:val="single" w:color="auto" w:sz="4" w:space="0"/>
              <w:right w:val="single" w:color="auto" w:sz="4" w:space="0"/>
            </w:tcBorders>
            <w:shd w:val="clear" w:color="auto" w:fill="auto"/>
            <w:noWrap/>
            <w:vAlign w:val="center"/>
          </w:tcPr>
          <w:p w14:paraId="2DFE4BD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73</w:t>
            </w:r>
          </w:p>
        </w:tc>
      </w:tr>
      <w:tr w14:paraId="556F566C">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3705C00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823" w:type="pct"/>
            <w:tcBorders>
              <w:top w:val="nil"/>
              <w:left w:val="nil"/>
              <w:bottom w:val="single" w:color="auto" w:sz="4" w:space="0"/>
              <w:right w:val="single" w:color="auto" w:sz="4" w:space="0"/>
            </w:tcBorders>
            <w:shd w:val="clear" w:color="auto" w:fill="auto"/>
            <w:noWrap/>
            <w:vAlign w:val="center"/>
          </w:tcPr>
          <w:p w14:paraId="72A4FDA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52</w:t>
            </w:r>
          </w:p>
        </w:tc>
        <w:tc>
          <w:tcPr>
            <w:tcW w:w="823" w:type="pct"/>
            <w:tcBorders>
              <w:top w:val="nil"/>
              <w:left w:val="nil"/>
              <w:bottom w:val="single" w:color="auto" w:sz="4" w:space="0"/>
              <w:right w:val="single" w:color="auto" w:sz="4" w:space="0"/>
            </w:tcBorders>
            <w:shd w:val="clear" w:color="auto" w:fill="auto"/>
            <w:noWrap/>
            <w:vAlign w:val="center"/>
          </w:tcPr>
          <w:p w14:paraId="3EA4AF9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48</w:t>
            </w:r>
          </w:p>
        </w:tc>
        <w:tc>
          <w:tcPr>
            <w:tcW w:w="823" w:type="pct"/>
            <w:tcBorders>
              <w:top w:val="nil"/>
              <w:left w:val="nil"/>
              <w:bottom w:val="single" w:color="auto" w:sz="4" w:space="0"/>
              <w:right w:val="single" w:color="auto" w:sz="4" w:space="0"/>
            </w:tcBorders>
            <w:shd w:val="clear" w:color="auto" w:fill="auto"/>
            <w:noWrap/>
            <w:vAlign w:val="center"/>
          </w:tcPr>
          <w:p w14:paraId="4EF1E4E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54</w:t>
            </w:r>
          </w:p>
        </w:tc>
        <w:tc>
          <w:tcPr>
            <w:tcW w:w="823" w:type="pct"/>
            <w:tcBorders>
              <w:top w:val="nil"/>
              <w:left w:val="nil"/>
              <w:bottom w:val="single" w:color="auto" w:sz="4" w:space="0"/>
              <w:right w:val="single" w:color="auto" w:sz="4" w:space="0"/>
            </w:tcBorders>
            <w:shd w:val="clear" w:color="auto" w:fill="auto"/>
            <w:noWrap/>
            <w:vAlign w:val="center"/>
          </w:tcPr>
          <w:p w14:paraId="30E6C3E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73</w:t>
            </w:r>
          </w:p>
        </w:tc>
      </w:tr>
      <w:tr w14:paraId="38B2E0C8">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2B5346C6">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823" w:type="pct"/>
            <w:tcBorders>
              <w:top w:val="nil"/>
              <w:left w:val="nil"/>
              <w:bottom w:val="single" w:color="auto" w:sz="4" w:space="0"/>
              <w:right w:val="single" w:color="auto" w:sz="4" w:space="0"/>
            </w:tcBorders>
            <w:shd w:val="clear" w:color="auto" w:fill="auto"/>
            <w:noWrap/>
            <w:vAlign w:val="center"/>
          </w:tcPr>
          <w:p w14:paraId="34CEF61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33</w:t>
            </w:r>
          </w:p>
        </w:tc>
        <w:tc>
          <w:tcPr>
            <w:tcW w:w="823" w:type="pct"/>
            <w:tcBorders>
              <w:top w:val="nil"/>
              <w:left w:val="nil"/>
              <w:bottom w:val="single" w:color="auto" w:sz="4" w:space="0"/>
              <w:right w:val="single" w:color="auto" w:sz="4" w:space="0"/>
            </w:tcBorders>
            <w:shd w:val="clear" w:color="auto" w:fill="auto"/>
            <w:noWrap/>
            <w:vAlign w:val="center"/>
          </w:tcPr>
          <w:p w14:paraId="02C3BA3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33</w:t>
            </w:r>
          </w:p>
        </w:tc>
        <w:tc>
          <w:tcPr>
            <w:tcW w:w="823" w:type="pct"/>
            <w:tcBorders>
              <w:top w:val="nil"/>
              <w:left w:val="nil"/>
              <w:bottom w:val="single" w:color="auto" w:sz="4" w:space="0"/>
              <w:right w:val="single" w:color="auto" w:sz="4" w:space="0"/>
            </w:tcBorders>
            <w:shd w:val="clear" w:color="auto" w:fill="auto"/>
            <w:noWrap/>
            <w:vAlign w:val="center"/>
          </w:tcPr>
          <w:p w14:paraId="29CC362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37</w:t>
            </w:r>
          </w:p>
        </w:tc>
        <w:tc>
          <w:tcPr>
            <w:tcW w:w="823" w:type="pct"/>
            <w:tcBorders>
              <w:top w:val="nil"/>
              <w:left w:val="nil"/>
              <w:bottom w:val="single" w:color="auto" w:sz="4" w:space="0"/>
              <w:right w:val="single" w:color="auto" w:sz="4" w:space="0"/>
            </w:tcBorders>
            <w:shd w:val="clear" w:color="auto" w:fill="auto"/>
            <w:noWrap/>
            <w:vAlign w:val="center"/>
          </w:tcPr>
          <w:p w14:paraId="1A469CB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58</w:t>
            </w:r>
          </w:p>
        </w:tc>
      </w:tr>
      <w:tr w14:paraId="4C241068">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416627B5">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823" w:type="pct"/>
            <w:tcBorders>
              <w:top w:val="nil"/>
              <w:left w:val="nil"/>
              <w:bottom w:val="single" w:color="auto" w:sz="4" w:space="0"/>
              <w:right w:val="single" w:color="auto" w:sz="4" w:space="0"/>
            </w:tcBorders>
            <w:shd w:val="clear" w:color="auto" w:fill="auto"/>
            <w:noWrap/>
            <w:vAlign w:val="center"/>
          </w:tcPr>
          <w:p w14:paraId="070E166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42</w:t>
            </w:r>
          </w:p>
        </w:tc>
        <w:tc>
          <w:tcPr>
            <w:tcW w:w="823" w:type="pct"/>
            <w:tcBorders>
              <w:top w:val="nil"/>
              <w:left w:val="nil"/>
              <w:bottom w:val="single" w:color="auto" w:sz="4" w:space="0"/>
              <w:right w:val="single" w:color="auto" w:sz="4" w:space="0"/>
            </w:tcBorders>
            <w:shd w:val="clear" w:color="auto" w:fill="auto"/>
            <w:noWrap/>
            <w:vAlign w:val="center"/>
          </w:tcPr>
          <w:p w14:paraId="427F655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43</w:t>
            </w:r>
          </w:p>
        </w:tc>
        <w:tc>
          <w:tcPr>
            <w:tcW w:w="823" w:type="pct"/>
            <w:tcBorders>
              <w:top w:val="nil"/>
              <w:left w:val="nil"/>
              <w:bottom w:val="single" w:color="auto" w:sz="4" w:space="0"/>
              <w:right w:val="single" w:color="auto" w:sz="4" w:space="0"/>
            </w:tcBorders>
            <w:shd w:val="clear" w:color="auto" w:fill="auto"/>
            <w:noWrap/>
            <w:vAlign w:val="center"/>
          </w:tcPr>
          <w:p w14:paraId="2C5F52E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47</w:t>
            </w:r>
          </w:p>
        </w:tc>
        <w:tc>
          <w:tcPr>
            <w:tcW w:w="823" w:type="pct"/>
            <w:tcBorders>
              <w:top w:val="nil"/>
              <w:left w:val="nil"/>
              <w:bottom w:val="single" w:color="auto" w:sz="4" w:space="0"/>
              <w:right w:val="single" w:color="auto" w:sz="4" w:space="0"/>
            </w:tcBorders>
            <w:shd w:val="clear" w:color="auto" w:fill="auto"/>
            <w:noWrap/>
            <w:vAlign w:val="center"/>
          </w:tcPr>
          <w:p w14:paraId="5FFB7C3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r>
      <w:tr w14:paraId="5D34951C">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1E963DE6">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823" w:type="pct"/>
            <w:tcBorders>
              <w:top w:val="nil"/>
              <w:left w:val="nil"/>
              <w:bottom w:val="single" w:color="auto" w:sz="4" w:space="0"/>
              <w:right w:val="single" w:color="auto" w:sz="4" w:space="0"/>
            </w:tcBorders>
            <w:shd w:val="clear" w:color="auto" w:fill="auto"/>
            <w:noWrap/>
            <w:vAlign w:val="center"/>
          </w:tcPr>
          <w:p w14:paraId="04D16B6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46</w:t>
            </w:r>
          </w:p>
        </w:tc>
        <w:tc>
          <w:tcPr>
            <w:tcW w:w="823" w:type="pct"/>
            <w:tcBorders>
              <w:top w:val="nil"/>
              <w:left w:val="nil"/>
              <w:bottom w:val="single" w:color="auto" w:sz="4" w:space="0"/>
              <w:right w:val="single" w:color="auto" w:sz="4" w:space="0"/>
            </w:tcBorders>
            <w:shd w:val="clear" w:color="auto" w:fill="auto"/>
            <w:noWrap/>
            <w:vAlign w:val="center"/>
          </w:tcPr>
          <w:p w14:paraId="7112603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47</w:t>
            </w:r>
          </w:p>
        </w:tc>
        <w:tc>
          <w:tcPr>
            <w:tcW w:w="823" w:type="pct"/>
            <w:tcBorders>
              <w:top w:val="nil"/>
              <w:left w:val="nil"/>
              <w:bottom w:val="single" w:color="auto" w:sz="4" w:space="0"/>
              <w:right w:val="single" w:color="auto" w:sz="4" w:space="0"/>
            </w:tcBorders>
            <w:shd w:val="clear" w:color="auto" w:fill="auto"/>
            <w:noWrap/>
            <w:vAlign w:val="center"/>
          </w:tcPr>
          <w:p w14:paraId="69027D0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47</w:t>
            </w:r>
          </w:p>
        </w:tc>
        <w:tc>
          <w:tcPr>
            <w:tcW w:w="823" w:type="pct"/>
            <w:tcBorders>
              <w:top w:val="nil"/>
              <w:left w:val="nil"/>
              <w:bottom w:val="single" w:color="auto" w:sz="4" w:space="0"/>
              <w:right w:val="single" w:color="auto" w:sz="4" w:space="0"/>
            </w:tcBorders>
            <w:shd w:val="clear" w:color="auto" w:fill="auto"/>
            <w:noWrap/>
            <w:vAlign w:val="center"/>
          </w:tcPr>
          <w:p w14:paraId="1F83DF1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57</w:t>
            </w:r>
          </w:p>
        </w:tc>
      </w:tr>
      <w:tr w14:paraId="75DFFF1A">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45493D6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823" w:type="pct"/>
            <w:tcBorders>
              <w:top w:val="nil"/>
              <w:left w:val="nil"/>
              <w:bottom w:val="single" w:color="auto" w:sz="4" w:space="0"/>
              <w:right w:val="single" w:color="auto" w:sz="4" w:space="0"/>
            </w:tcBorders>
            <w:shd w:val="clear" w:color="auto" w:fill="auto"/>
            <w:noWrap/>
            <w:vAlign w:val="center"/>
          </w:tcPr>
          <w:p w14:paraId="25C6217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31</w:t>
            </w:r>
          </w:p>
        </w:tc>
        <w:tc>
          <w:tcPr>
            <w:tcW w:w="823" w:type="pct"/>
            <w:tcBorders>
              <w:top w:val="nil"/>
              <w:left w:val="nil"/>
              <w:bottom w:val="single" w:color="auto" w:sz="4" w:space="0"/>
              <w:right w:val="single" w:color="auto" w:sz="4" w:space="0"/>
            </w:tcBorders>
            <w:shd w:val="clear" w:color="auto" w:fill="auto"/>
            <w:noWrap/>
            <w:vAlign w:val="center"/>
          </w:tcPr>
          <w:p w14:paraId="3CFDB14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32</w:t>
            </w:r>
          </w:p>
        </w:tc>
        <w:tc>
          <w:tcPr>
            <w:tcW w:w="823" w:type="pct"/>
            <w:tcBorders>
              <w:top w:val="nil"/>
              <w:left w:val="nil"/>
              <w:bottom w:val="single" w:color="auto" w:sz="4" w:space="0"/>
              <w:right w:val="single" w:color="auto" w:sz="4" w:space="0"/>
            </w:tcBorders>
            <w:shd w:val="clear" w:color="auto" w:fill="auto"/>
            <w:noWrap/>
            <w:vAlign w:val="center"/>
          </w:tcPr>
          <w:p w14:paraId="6B87111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32</w:t>
            </w:r>
          </w:p>
        </w:tc>
        <w:tc>
          <w:tcPr>
            <w:tcW w:w="823" w:type="pct"/>
            <w:tcBorders>
              <w:top w:val="nil"/>
              <w:left w:val="nil"/>
              <w:bottom w:val="single" w:color="auto" w:sz="4" w:space="0"/>
              <w:right w:val="single" w:color="auto" w:sz="4" w:space="0"/>
            </w:tcBorders>
            <w:shd w:val="clear" w:color="auto" w:fill="auto"/>
            <w:noWrap/>
            <w:vAlign w:val="center"/>
          </w:tcPr>
          <w:p w14:paraId="37A680F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38</w:t>
            </w:r>
          </w:p>
        </w:tc>
      </w:tr>
      <w:tr w14:paraId="711F0D8E">
        <w:tblPrEx>
          <w:tblCellMar>
            <w:top w:w="0" w:type="dxa"/>
            <w:left w:w="70" w:type="dxa"/>
            <w:bottom w:w="0" w:type="dxa"/>
            <w:right w:w="70" w:type="dxa"/>
          </w:tblCellMar>
        </w:tblPrEx>
        <w:trPr>
          <w:trHeight w:val="369" w:hRule="atLeast"/>
        </w:trPr>
        <w:tc>
          <w:tcPr>
            <w:tcW w:w="1708" w:type="pct"/>
            <w:tcBorders>
              <w:top w:val="nil"/>
              <w:left w:val="single" w:color="auto" w:sz="4" w:space="0"/>
              <w:bottom w:val="single" w:color="auto" w:sz="4" w:space="0"/>
              <w:right w:val="single" w:color="auto" w:sz="4" w:space="0"/>
            </w:tcBorders>
            <w:shd w:val="clear" w:color="auto" w:fill="auto"/>
            <w:noWrap/>
            <w:vAlign w:val="center"/>
          </w:tcPr>
          <w:p w14:paraId="2D4A8D9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823" w:type="pct"/>
            <w:tcBorders>
              <w:top w:val="nil"/>
              <w:left w:val="nil"/>
              <w:bottom w:val="single" w:color="auto" w:sz="4" w:space="0"/>
              <w:right w:val="single" w:color="auto" w:sz="4" w:space="0"/>
            </w:tcBorders>
            <w:shd w:val="clear" w:color="auto" w:fill="auto"/>
            <w:noWrap/>
            <w:vAlign w:val="center"/>
          </w:tcPr>
          <w:p w14:paraId="2026D18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25</w:t>
            </w:r>
          </w:p>
        </w:tc>
        <w:tc>
          <w:tcPr>
            <w:tcW w:w="823" w:type="pct"/>
            <w:tcBorders>
              <w:top w:val="nil"/>
              <w:left w:val="nil"/>
              <w:bottom w:val="single" w:color="auto" w:sz="4" w:space="0"/>
              <w:right w:val="single" w:color="auto" w:sz="4" w:space="0"/>
            </w:tcBorders>
            <w:shd w:val="clear" w:color="auto" w:fill="auto"/>
            <w:noWrap/>
            <w:vAlign w:val="center"/>
          </w:tcPr>
          <w:p w14:paraId="0C4091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26</w:t>
            </w:r>
          </w:p>
        </w:tc>
        <w:tc>
          <w:tcPr>
            <w:tcW w:w="823" w:type="pct"/>
            <w:tcBorders>
              <w:top w:val="nil"/>
              <w:left w:val="nil"/>
              <w:bottom w:val="single" w:color="auto" w:sz="4" w:space="0"/>
              <w:right w:val="single" w:color="auto" w:sz="4" w:space="0"/>
            </w:tcBorders>
            <w:shd w:val="clear" w:color="auto" w:fill="auto"/>
            <w:noWrap/>
            <w:vAlign w:val="center"/>
          </w:tcPr>
          <w:p w14:paraId="2428AE1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28</w:t>
            </w:r>
          </w:p>
        </w:tc>
        <w:tc>
          <w:tcPr>
            <w:tcW w:w="823" w:type="pct"/>
            <w:tcBorders>
              <w:top w:val="nil"/>
              <w:left w:val="nil"/>
              <w:bottom w:val="single" w:color="auto" w:sz="4" w:space="0"/>
              <w:right w:val="single" w:color="auto" w:sz="4" w:space="0"/>
            </w:tcBorders>
            <w:shd w:val="clear" w:color="auto" w:fill="auto"/>
            <w:noWrap/>
            <w:vAlign w:val="center"/>
          </w:tcPr>
          <w:p w14:paraId="47AC7EC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35</w:t>
            </w:r>
          </w:p>
        </w:tc>
      </w:tr>
    </w:tbl>
    <w:p w14:paraId="0628CA24">
      <w:pPr>
        <w:spacing w:after="0" w:line="276"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r>
        <w:rPr>
          <w:rFonts w:ascii="Times New Roman" w:hAnsi="Times New Roman" w:cs="Times New Roman"/>
          <w:i/>
          <w:iCs/>
          <w:sz w:val="20"/>
          <w:szCs w:val="20"/>
        </w:rPr>
        <w:br w:type="page"/>
      </w:r>
    </w:p>
    <w:p w14:paraId="46118752">
      <w:pPr>
        <w:pStyle w:val="28"/>
        <w:numPr>
          <w:ilvl w:val="1"/>
          <w:numId w:val="15"/>
        </w:numPr>
        <w:spacing w:before="240"/>
        <w:rPr>
          <w:rFonts w:ascii="Times New Roman" w:hAnsi="Times New Roman" w:cs="Times New Roman"/>
          <w:b/>
          <w:bCs/>
        </w:rPr>
      </w:pPr>
      <w:r>
        <w:rPr>
          <w:rFonts w:ascii="Times New Roman" w:hAnsi="Times New Roman" w:cs="Times New Roman"/>
          <w:b/>
          <w:bCs/>
        </w:rPr>
        <w:t>Gospodarka, przedsiębiorczość i sektor społeczny</w:t>
      </w:r>
    </w:p>
    <w:p w14:paraId="29813F44">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Sytuację gospodarczą obszaru LGD odzwierciedlają wskaźniki gospodarcze, tj. </w:t>
      </w:r>
      <w:r>
        <w:rPr>
          <w:rFonts w:ascii="Times New Roman" w:hAnsi="Times New Roman" w:cs="Times New Roman"/>
          <w:i/>
          <w:iCs/>
          <w:color w:val="000000" w:themeColor="text1"/>
          <w14:textFill>
            <w14:solidFill>
              <w14:schemeClr w14:val="tx1"/>
            </w14:solidFill>
          </w14:textFill>
        </w:rPr>
        <w:t>podmioty wpisane do rejestru REGON na 10 tys. ludności</w:t>
      </w:r>
      <w:r>
        <w:rPr>
          <w:rFonts w:ascii="Times New Roman" w:hAnsi="Times New Roman" w:cs="Times New Roman"/>
          <w:color w:val="000000" w:themeColor="text1"/>
          <w14:textFill>
            <w14:solidFill>
              <w14:schemeClr w14:val="tx1"/>
            </w14:solidFill>
          </w14:textFill>
        </w:rPr>
        <w:t xml:space="preserve"> oraz </w:t>
      </w:r>
      <w:r>
        <w:rPr>
          <w:rFonts w:ascii="Times New Roman" w:hAnsi="Times New Roman" w:cs="Times New Roman"/>
          <w:i/>
          <w:iCs/>
          <w:color w:val="000000" w:themeColor="text1"/>
          <w14:textFill>
            <w14:solidFill>
              <w14:schemeClr w14:val="tx1"/>
            </w14:solidFill>
          </w14:textFill>
        </w:rPr>
        <w:t>podmioty nowo zarejestrowane w rejestrze REGON na 10 tys. ludności w wieku produkcyjnym</w:t>
      </w:r>
      <w:r>
        <w:rPr>
          <w:rFonts w:ascii="Times New Roman" w:hAnsi="Times New Roman" w:cs="Times New Roman"/>
          <w:color w:val="000000" w:themeColor="text1"/>
          <w14:textFill>
            <w14:solidFill>
              <w14:schemeClr w14:val="tx1"/>
            </w14:solidFill>
          </w14:textFill>
        </w:rPr>
        <w:t xml:space="preserve">. W tabeli 5 przedstawiono wskaźniki gospodarcze dla LGD Między Dalinem i Gościbią oraz województwa małopolskiego i Polski w latach 2016–2021. </w:t>
      </w:r>
    </w:p>
    <w:p w14:paraId="5E64CB73">
      <w:pPr>
        <w:pStyle w:val="9"/>
        <w:spacing w:after="0"/>
        <w:jc w:val="center"/>
        <w:rPr>
          <w:rFonts w:ascii="Times New Roman" w:hAnsi="Times New Roman" w:cs="Times New Roman"/>
          <w:color w:val="000000" w:themeColor="text1"/>
          <w14:textFill>
            <w14:solidFill>
              <w14:schemeClr w14:val="tx1"/>
            </w14:solidFill>
          </w14:textFill>
        </w:rPr>
      </w:pPr>
      <w:bookmarkStart w:id="56" w:name="_Toc134966354"/>
      <w:bookmarkStart w:id="57" w:name="_Toc112152404"/>
      <w:bookmarkStart w:id="58" w:name="_Toc136241393"/>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5</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Wskaźniki gospodarcze na obszarze LGD oraz porównanie do województwa i kraju w latach 2016–2021</w:t>
      </w:r>
      <w:bookmarkEnd w:id="56"/>
      <w:bookmarkEnd w:id="57"/>
      <w:bookmarkEnd w:id="58"/>
    </w:p>
    <w:tbl>
      <w:tblPr>
        <w:tblStyle w:val="6"/>
        <w:tblW w:w="5000" w:type="pct"/>
        <w:tblInd w:w="0" w:type="dxa"/>
        <w:tblLayout w:type="autofit"/>
        <w:tblCellMar>
          <w:top w:w="0" w:type="dxa"/>
          <w:left w:w="70" w:type="dxa"/>
          <w:bottom w:w="0" w:type="dxa"/>
          <w:right w:w="70" w:type="dxa"/>
        </w:tblCellMar>
      </w:tblPr>
      <w:tblGrid>
        <w:gridCol w:w="3037"/>
        <w:gridCol w:w="608"/>
        <w:gridCol w:w="608"/>
        <w:gridCol w:w="608"/>
        <w:gridCol w:w="608"/>
        <w:gridCol w:w="608"/>
        <w:gridCol w:w="612"/>
        <w:gridCol w:w="608"/>
        <w:gridCol w:w="608"/>
        <w:gridCol w:w="608"/>
        <w:gridCol w:w="609"/>
        <w:gridCol w:w="609"/>
        <w:gridCol w:w="613"/>
      </w:tblGrid>
      <w:tr w14:paraId="6867C761">
        <w:tblPrEx>
          <w:tblCellMar>
            <w:top w:w="0" w:type="dxa"/>
            <w:left w:w="70" w:type="dxa"/>
            <w:bottom w:w="0" w:type="dxa"/>
            <w:right w:w="70" w:type="dxa"/>
          </w:tblCellMar>
        </w:tblPrEx>
        <w:trPr>
          <w:trHeight w:val="450" w:hRule="atLeast"/>
        </w:trPr>
        <w:tc>
          <w:tcPr>
            <w:tcW w:w="146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2D15F7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766"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54870D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 xml:space="preserve">Podmioty wpisane do rejestru REGON na 10 tys. ludności </w:t>
            </w:r>
          </w:p>
        </w:tc>
        <w:tc>
          <w:tcPr>
            <w:tcW w:w="1766"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71E81D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 xml:space="preserve">Podmioty nowo zarejestrowane </w:t>
            </w:r>
            <w:r>
              <w:rPr>
                <w:rFonts w:ascii="Times New Roman" w:hAnsi="Times New Roman" w:eastAsia="Times New Roman" w:cs="Times New Roman"/>
                <w:b/>
                <w:bCs/>
                <w:color w:val="000000"/>
                <w:sz w:val="20"/>
                <w:szCs w:val="20"/>
                <w:lang w:eastAsia="pl-PL"/>
              </w:rPr>
              <w:br w:type="textWrapping"/>
            </w:r>
            <w:r>
              <w:rPr>
                <w:rFonts w:ascii="Times New Roman" w:hAnsi="Times New Roman" w:eastAsia="Times New Roman" w:cs="Times New Roman"/>
                <w:b/>
                <w:bCs/>
                <w:color w:val="000000"/>
                <w:sz w:val="20"/>
                <w:szCs w:val="20"/>
                <w:lang w:eastAsia="pl-PL"/>
              </w:rPr>
              <w:t>w rejestrze REGON na 10 tys. ludności w wieku produkcyjnym</w:t>
            </w:r>
          </w:p>
        </w:tc>
      </w:tr>
      <w:tr w14:paraId="7838298B">
        <w:tblPrEx>
          <w:tblCellMar>
            <w:top w:w="0" w:type="dxa"/>
            <w:left w:w="70" w:type="dxa"/>
            <w:bottom w:w="0" w:type="dxa"/>
            <w:right w:w="70" w:type="dxa"/>
          </w:tblCellMar>
        </w:tblPrEx>
        <w:trPr>
          <w:trHeight w:val="397" w:hRule="atLeast"/>
        </w:trPr>
        <w:tc>
          <w:tcPr>
            <w:tcW w:w="14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104F61">
            <w:pPr>
              <w:spacing w:after="0" w:line="240" w:lineRule="auto"/>
              <w:rPr>
                <w:rFonts w:ascii="Times New Roman" w:hAnsi="Times New Roman" w:eastAsia="Times New Roman" w:cs="Times New Roman"/>
                <w:b/>
                <w:bCs/>
                <w:color w:val="000000"/>
                <w:sz w:val="20"/>
                <w:szCs w:val="20"/>
                <w:lang w:eastAsia="pl-PL"/>
              </w:rPr>
            </w:pPr>
          </w:p>
        </w:tc>
        <w:tc>
          <w:tcPr>
            <w:tcW w:w="294" w:type="pct"/>
            <w:tcBorders>
              <w:top w:val="nil"/>
              <w:left w:val="nil"/>
              <w:bottom w:val="single" w:color="auto" w:sz="4" w:space="0"/>
              <w:right w:val="single" w:color="auto" w:sz="4" w:space="0"/>
            </w:tcBorders>
            <w:shd w:val="clear" w:color="auto" w:fill="auto"/>
            <w:noWrap/>
            <w:vAlign w:val="center"/>
          </w:tcPr>
          <w:p w14:paraId="4CC2108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294" w:type="pct"/>
            <w:tcBorders>
              <w:top w:val="nil"/>
              <w:left w:val="nil"/>
              <w:bottom w:val="single" w:color="auto" w:sz="4" w:space="0"/>
              <w:right w:val="single" w:color="auto" w:sz="4" w:space="0"/>
            </w:tcBorders>
            <w:shd w:val="clear" w:color="auto" w:fill="auto"/>
            <w:noWrap/>
            <w:vAlign w:val="center"/>
          </w:tcPr>
          <w:p w14:paraId="4C01188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294" w:type="pct"/>
            <w:tcBorders>
              <w:top w:val="nil"/>
              <w:left w:val="nil"/>
              <w:bottom w:val="single" w:color="auto" w:sz="4" w:space="0"/>
              <w:right w:val="single" w:color="auto" w:sz="4" w:space="0"/>
            </w:tcBorders>
            <w:shd w:val="clear" w:color="auto" w:fill="auto"/>
            <w:noWrap/>
            <w:vAlign w:val="center"/>
          </w:tcPr>
          <w:p w14:paraId="61160AA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294" w:type="pct"/>
            <w:tcBorders>
              <w:top w:val="nil"/>
              <w:left w:val="nil"/>
              <w:bottom w:val="single" w:color="auto" w:sz="4" w:space="0"/>
              <w:right w:val="single" w:color="auto" w:sz="4" w:space="0"/>
            </w:tcBorders>
            <w:shd w:val="clear" w:color="auto" w:fill="auto"/>
            <w:noWrap/>
            <w:vAlign w:val="center"/>
          </w:tcPr>
          <w:p w14:paraId="25A41AF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94" w:type="pct"/>
            <w:tcBorders>
              <w:top w:val="nil"/>
              <w:left w:val="nil"/>
              <w:bottom w:val="single" w:color="auto" w:sz="4" w:space="0"/>
              <w:right w:val="single" w:color="auto" w:sz="4" w:space="0"/>
            </w:tcBorders>
            <w:shd w:val="clear" w:color="auto" w:fill="auto"/>
            <w:noWrap/>
            <w:vAlign w:val="center"/>
          </w:tcPr>
          <w:p w14:paraId="23AC1FB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94" w:type="pct"/>
            <w:tcBorders>
              <w:top w:val="nil"/>
              <w:left w:val="nil"/>
              <w:bottom w:val="single" w:color="auto" w:sz="4" w:space="0"/>
              <w:right w:val="single" w:color="auto" w:sz="4" w:space="0"/>
            </w:tcBorders>
            <w:shd w:val="clear" w:color="auto" w:fill="auto"/>
            <w:noWrap/>
            <w:vAlign w:val="center"/>
          </w:tcPr>
          <w:p w14:paraId="1D49BE7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294" w:type="pct"/>
            <w:tcBorders>
              <w:top w:val="nil"/>
              <w:left w:val="nil"/>
              <w:bottom w:val="single" w:color="auto" w:sz="4" w:space="0"/>
              <w:right w:val="single" w:color="auto" w:sz="4" w:space="0"/>
            </w:tcBorders>
            <w:shd w:val="clear" w:color="auto" w:fill="auto"/>
            <w:noWrap/>
            <w:vAlign w:val="center"/>
          </w:tcPr>
          <w:p w14:paraId="311BE4C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294" w:type="pct"/>
            <w:tcBorders>
              <w:top w:val="nil"/>
              <w:left w:val="nil"/>
              <w:bottom w:val="single" w:color="auto" w:sz="4" w:space="0"/>
              <w:right w:val="single" w:color="auto" w:sz="4" w:space="0"/>
            </w:tcBorders>
            <w:shd w:val="clear" w:color="auto" w:fill="auto"/>
            <w:noWrap/>
            <w:vAlign w:val="center"/>
          </w:tcPr>
          <w:p w14:paraId="16242CB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294" w:type="pct"/>
            <w:tcBorders>
              <w:top w:val="nil"/>
              <w:left w:val="nil"/>
              <w:bottom w:val="single" w:color="auto" w:sz="4" w:space="0"/>
              <w:right w:val="single" w:color="auto" w:sz="4" w:space="0"/>
            </w:tcBorders>
            <w:shd w:val="clear" w:color="auto" w:fill="auto"/>
            <w:noWrap/>
            <w:vAlign w:val="center"/>
          </w:tcPr>
          <w:p w14:paraId="04D519F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294" w:type="pct"/>
            <w:tcBorders>
              <w:top w:val="nil"/>
              <w:left w:val="nil"/>
              <w:bottom w:val="single" w:color="auto" w:sz="4" w:space="0"/>
              <w:right w:val="single" w:color="auto" w:sz="4" w:space="0"/>
            </w:tcBorders>
            <w:shd w:val="clear" w:color="auto" w:fill="auto"/>
            <w:noWrap/>
            <w:vAlign w:val="center"/>
          </w:tcPr>
          <w:p w14:paraId="7E51E14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94" w:type="pct"/>
            <w:tcBorders>
              <w:top w:val="nil"/>
              <w:left w:val="nil"/>
              <w:bottom w:val="single" w:color="auto" w:sz="4" w:space="0"/>
              <w:right w:val="single" w:color="auto" w:sz="4" w:space="0"/>
            </w:tcBorders>
            <w:shd w:val="clear" w:color="auto" w:fill="auto"/>
            <w:noWrap/>
            <w:vAlign w:val="center"/>
          </w:tcPr>
          <w:p w14:paraId="263B9A9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95" w:type="pct"/>
            <w:tcBorders>
              <w:top w:val="nil"/>
              <w:left w:val="nil"/>
              <w:bottom w:val="single" w:color="auto" w:sz="4" w:space="0"/>
              <w:right w:val="single" w:color="auto" w:sz="4" w:space="0"/>
            </w:tcBorders>
            <w:shd w:val="clear" w:color="auto" w:fill="auto"/>
            <w:noWrap/>
            <w:vAlign w:val="center"/>
          </w:tcPr>
          <w:p w14:paraId="57A63ED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r>
      <w:tr w14:paraId="52AF5576">
        <w:tblPrEx>
          <w:tblCellMar>
            <w:top w:w="0" w:type="dxa"/>
            <w:left w:w="70" w:type="dxa"/>
            <w:bottom w:w="0" w:type="dxa"/>
            <w:right w:w="70" w:type="dxa"/>
          </w:tblCellMar>
        </w:tblPrEx>
        <w:trPr>
          <w:trHeight w:val="397" w:hRule="atLeast"/>
        </w:trPr>
        <w:tc>
          <w:tcPr>
            <w:tcW w:w="1468" w:type="pct"/>
            <w:tcBorders>
              <w:top w:val="nil"/>
              <w:left w:val="single" w:color="auto" w:sz="4" w:space="0"/>
              <w:bottom w:val="single" w:color="auto" w:sz="4" w:space="0"/>
              <w:right w:val="single" w:color="auto" w:sz="4" w:space="0"/>
            </w:tcBorders>
            <w:shd w:val="clear" w:color="auto" w:fill="auto"/>
            <w:noWrap/>
            <w:vAlign w:val="center"/>
          </w:tcPr>
          <w:p w14:paraId="1D9EAEFC">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294" w:type="pct"/>
            <w:tcBorders>
              <w:top w:val="nil"/>
              <w:left w:val="nil"/>
              <w:bottom w:val="single" w:color="auto" w:sz="4" w:space="0"/>
              <w:right w:val="single" w:color="auto" w:sz="4" w:space="0"/>
            </w:tcBorders>
            <w:shd w:val="clear" w:color="auto" w:fill="auto"/>
            <w:noWrap/>
            <w:vAlign w:val="center"/>
          </w:tcPr>
          <w:p w14:paraId="6BABCC3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971</w:t>
            </w:r>
          </w:p>
        </w:tc>
        <w:tc>
          <w:tcPr>
            <w:tcW w:w="294" w:type="pct"/>
            <w:tcBorders>
              <w:top w:val="nil"/>
              <w:left w:val="nil"/>
              <w:bottom w:val="single" w:color="auto" w:sz="4" w:space="0"/>
              <w:right w:val="single" w:color="auto" w:sz="4" w:space="0"/>
            </w:tcBorders>
            <w:shd w:val="clear" w:color="auto" w:fill="auto"/>
            <w:noWrap/>
            <w:vAlign w:val="center"/>
          </w:tcPr>
          <w:p w14:paraId="38C55B0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994</w:t>
            </w:r>
          </w:p>
        </w:tc>
        <w:tc>
          <w:tcPr>
            <w:tcW w:w="294" w:type="pct"/>
            <w:tcBorders>
              <w:top w:val="nil"/>
              <w:left w:val="nil"/>
              <w:bottom w:val="single" w:color="auto" w:sz="4" w:space="0"/>
              <w:right w:val="single" w:color="auto" w:sz="4" w:space="0"/>
            </w:tcBorders>
            <w:shd w:val="clear" w:color="auto" w:fill="auto"/>
            <w:noWrap/>
            <w:vAlign w:val="center"/>
          </w:tcPr>
          <w:p w14:paraId="0642E74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1 035</w:t>
            </w:r>
          </w:p>
        </w:tc>
        <w:tc>
          <w:tcPr>
            <w:tcW w:w="294" w:type="pct"/>
            <w:tcBorders>
              <w:top w:val="nil"/>
              <w:left w:val="nil"/>
              <w:bottom w:val="single" w:color="auto" w:sz="4" w:space="0"/>
              <w:right w:val="single" w:color="auto" w:sz="4" w:space="0"/>
            </w:tcBorders>
            <w:shd w:val="clear" w:color="auto" w:fill="auto"/>
            <w:noWrap/>
            <w:vAlign w:val="center"/>
          </w:tcPr>
          <w:p w14:paraId="4FAE60C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1 089</w:t>
            </w:r>
          </w:p>
        </w:tc>
        <w:tc>
          <w:tcPr>
            <w:tcW w:w="294" w:type="pct"/>
            <w:tcBorders>
              <w:top w:val="nil"/>
              <w:left w:val="nil"/>
              <w:bottom w:val="single" w:color="auto" w:sz="4" w:space="0"/>
              <w:right w:val="single" w:color="auto" w:sz="4" w:space="0"/>
            </w:tcBorders>
            <w:shd w:val="clear" w:color="auto" w:fill="auto"/>
            <w:noWrap/>
            <w:vAlign w:val="center"/>
          </w:tcPr>
          <w:p w14:paraId="6FC4C7E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1 119</w:t>
            </w:r>
          </w:p>
        </w:tc>
        <w:tc>
          <w:tcPr>
            <w:tcW w:w="294" w:type="pct"/>
            <w:tcBorders>
              <w:top w:val="nil"/>
              <w:left w:val="nil"/>
              <w:bottom w:val="single" w:color="auto" w:sz="4" w:space="0"/>
              <w:right w:val="single" w:color="auto" w:sz="4" w:space="0"/>
            </w:tcBorders>
            <w:shd w:val="clear" w:color="auto" w:fill="auto"/>
            <w:noWrap/>
            <w:vAlign w:val="center"/>
          </w:tcPr>
          <w:p w14:paraId="6B34E50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1 163</w:t>
            </w:r>
          </w:p>
        </w:tc>
        <w:tc>
          <w:tcPr>
            <w:tcW w:w="294" w:type="pct"/>
            <w:tcBorders>
              <w:top w:val="nil"/>
              <w:left w:val="nil"/>
              <w:bottom w:val="single" w:color="auto" w:sz="4" w:space="0"/>
              <w:right w:val="single" w:color="auto" w:sz="4" w:space="0"/>
            </w:tcBorders>
            <w:shd w:val="clear" w:color="auto" w:fill="auto"/>
            <w:noWrap/>
            <w:vAlign w:val="center"/>
          </w:tcPr>
          <w:p w14:paraId="6743BCD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130</w:t>
            </w:r>
          </w:p>
        </w:tc>
        <w:tc>
          <w:tcPr>
            <w:tcW w:w="294" w:type="pct"/>
            <w:tcBorders>
              <w:top w:val="nil"/>
              <w:left w:val="nil"/>
              <w:bottom w:val="single" w:color="auto" w:sz="4" w:space="0"/>
              <w:right w:val="single" w:color="auto" w:sz="4" w:space="0"/>
            </w:tcBorders>
            <w:shd w:val="clear" w:color="auto" w:fill="auto"/>
            <w:noWrap/>
            <w:vAlign w:val="center"/>
          </w:tcPr>
          <w:p w14:paraId="2CAFBEC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149</w:t>
            </w:r>
          </w:p>
        </w:tc>
        <w:tc>
          <w:tcPr>
            <w:tcW w:w="294" w:type="pct"/>
            <w:tcBorders>
              <w:top w:val="nil"/>
              <w:left w:val="nil"/>
              <w:bottom w:val="single" w:color="auto" w:sz="4" w:space="0"/>
              <w:right w:val="single" w:color="auto" w:sz="4" w:space="0"/>
            </w:tcBorders>
            <w:shd w:val="clear" w:color="auto" w:fill="auto"/>
            <w:noWrap/>
            <w:vAlign w:val="center"/>
          </w:tcPr>
          <w:p w14:paraId="6D37714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161</w:t>
            </w:r>
          </w:p>
        </w:tc>
        <w:tc>
          <w:tcPr>
            <w:tcW w:w="294" w:type="pct"/>
            <w:tcBorders>
              <w:top w:val="nil"/>
              <w:left w:val="nil"/>
              <w:bottom w:val="single" w:color="auto" w:sz="4" w:space="0"/>
              <w:right w:val="single" w:color="auto" w:sz="4" w:space="0"/>
            </w:tcBorders>
            <w:shd w:val="clear" w:color="auto" w:fill="auto"/>
            <w:noWrap/>
            <w:vAlign w:val="center"/>
          </w:tcPr>
          <w:p w14:paraId="03016A1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161</w:t>
            </w:r>
          </w:p>
        </w:tc>
        <w:tc>
          <w:tcPr>
            <w:tcW w:w="294" w:type="pct"/>
            <w:tcBorders>
              <w:top w:val="nil"/>
              <w:left w:val="nil"/>
              <w:bottom w:val="single" w:color="auto" w:sz="4" w:space="0"/>
              <w:right w:val="single" w:color="auto" w:sz="4" w:space="0"/>
            </w:tcBorders>
            <w:shd w:val="clear" w:color="auto" w:fill="auto"/>
            <w:noWrap/>
            <w:vAlign w:val="center"/>
          </w:tcPr>
          <w:p w14:paraId="6850B2B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135</w:t>
            </w:r>
          </w:p>
        </w:tc>
        <w:tc>
          <w:tcPr>
            <w:tcW w:w="295" w:type="pct"/>
            <w:tcBorders>
              <w:top w:val="nil"/>
              <w:left w:val="nil"/>
              <w:bottom w:val="single" w:color="auto" w:sz="4" w:space="0"/>
              <w:right w:val="single" w:color="auto" w:sz="4" w:space="0"/>
            </w:tcBorders>
            <w:shd w:val="clear" w:color="auto" w:fill="auto"/>
            <w:noWrap/>
            <w:vAlign w:val="center"/>
          </w:tcPr>
          <w:p w14:paraId="7AE55B6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151</w:t>
            </w:r>
          </w:p>
        </w:tc>
      </w:tr>
      <w:tr w14:paraId="7512263C">
        <w:tblPrEx>
          <w:tblCellMar>
            <w:top w:w="0" w:type="dxa"/>
            <w:left w:w="70" w:type="dxa"/>
            <w:bottom w:w="0" w:type="dxa"/>
            <w:right w:w="70" w:type="dxa"/>
          </w:tblCellMar>
        </w:tblPrEx>
        <w:trPr>
          <w:trHeight w:val="397" w:hRule="atLeast"/>
        </w:trPr>
        <w:tc>
          <w:tcPr>
            <w:tcW w:w="1468" w:type="pct"/>
            <w:tcBorders>
              <w:top w:val="nil"/>
              <w:left w:val="single" w:color="auto" w:sz="4" w:space="0"/>
              <w:bottom w:val="single" w:color="auto" w:sz="4" w:space="0"/>
              <w:right w:val="single" w:color="auto" w:sz="4" w:space="0"/>
            </w:tcBorders>
            <w:shd w:val="clear" w:color="auto" w:fill="auto"/>
            <w:noWrap/>
            <w:vAlign w:val="center"/>
          </w:tcPr>
          <w:p w14:paraId="2B6E6B2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294" w:type="pct"/>
            <w:tcBorders>
              <w:top w:val="nil"/>
              <w:left w:val="nil"/>
              <w:bottom w:val="single" w:color="auto" w:sz="4" w:space="0"/>
              <w:right w:val="single" w:color="auto" w:sz="4" w:space="0"/>
            </w:tcBorders>
            <w:shd w:val="clear" w:color="auto" w:fill="auto"/>
            <w:noWrap/>
            <w:vAlign w:val="center"/>
          </w:tcPr>
          <w:p w14:paraId="4610B3F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1 097</w:t>
            </w:r>
          </w:p>
        </w:tc>
        <w:tc>
          <w:tcPr>
            <w:tcW w:w="294" w:type="pct"/>
            <w:tcBorders>
              <w:top w:val="nil"/>
              <w:left w:val="nil"/>
              <w:bottom w:val="single" w:color="auto" w:sz="4" w:space="0"/>
              <w:right w:val="single" w:color="auto" w:sz="4" w:space="0"/>
            </w:tcBorders>
            <w:shd w:val="clear" w:color="auto" w:fill="auto"/>
            <w:noWrap/>
            <w:vAlign w:val="center"/>
          </w:tcPr>
          <w:p w14:paraId="09D508E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1 121</w:t>
            </w:r>
          </w:p>
        </w:tc>
        <w:tc>
          <w:tcPr>
            <w:tcW w:w="294" w:type="pct"/>
            <w:tcBorders>
              <w:top w:val="nil"/>
              <w:left w:val="nil"/>
              <w:bottom w:val="single" w:color="auto" w:sz="4" w:space="0"/>
              <w:right w:val="single" w:color="auto" w:sz="4" w:space="0"/>
            </w:tcBorders>
            <w:shd w:val="clear" w:color="auto" w:fill="auto"/>
            <w:noWrap/>
            <w:vAlign w:val="center"/>
          </w:tcPr>
          <w:p w14:paraId="4CC3A7F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1 151</w:t>
            </w:r>
          </w:p>
        </w:tc>
        <w:tc>
          <w:tcPr>
            <w:tcW w:w="294" w:type="pct"/>
            <w:tcBorders>
              <w:top w:val="nil"/>
              <w:left w:val="nil"/>
              <w:bottom w:val="single" w:color="auto" w:sz="4" w:space="0"/>
              <w:right w:val="single" w:color="auto" w:sz="4" w:space="0"/>
            </w:tcBorders>
            <w:shd w:val="clear" w:color="auto" w:fill="auto"/>
            <w:noWrap/>
            <w:vAlign w:val="center"/>
          </w:tcPr>
          <w:p w14:paraId="09106A7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1 202</w:t>
            </w:r>
          </w:p>
        </w:tc>
        <w:tc>
          <w:tcPr>
            <w:tcW w:w="294" w:type="pct"/>
            <w:tcBorders>
              <w:top w:val="nil"/>
              <w:left w:val="nil"/>
              <w:bottom w:val="single" w:color="auto" w:sz="4" w:space="0"/>
              <w:right w:val="single" w:color="auto" w:sz="4" w:space="0"/>
            </w:tcBorders>
            <w:shd w:val="clear" w:color="auto" w:fill="auto"/>
            <w:noWrap/>
            <w:vAlign w:val="center"/>
          </w:tcPr>
          <w:p w14:paraId="55D1B4C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1 242</w:t>
            </w:r>
          </w:p>
        </w:tc>
        <w:tc>
          <w:tcPr>
            <w:tcW w:w="294" w:type="pct"/>
            <w:tcBorders>
              <w:top w:val="nil"/>
              <w:left w:val="nil"/>
              <w:bottom w:val="single" w:color="auto" w:sz="4" w:space="0"/>
              <w:right w:val="single" w:color="auto" w:sz="4" w:space="0"/>
            </w:tcBorders>
            <w:shd w:val="clear" w:color="auto" w:fill="auto"/>
            <w:noWrap/>
            <w:vAlign w:val="center"/>
          </w:tcPr>
          <w:p w14:paraId="6911ADD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1 298</w:t>
            </w:r>
          </w:p>
        </w:tc>
        <w:tc>
          <w:tcPr>
            <w:tcW w:w="294" w:type="pct"/>
            <w:tcBorders>
              <w:top w:val="nil"/>
              <w:left w:val="nil"/>
              <w:bottom w:val="single" w:color="auto" w:sz="4" w:space="0"/>
              <w:right w:val="single" w:color="auto" w:sz="4" w:space="0"/>
            </w:tcBorders>
            <w:shd w:val="clear" w:color="auto" w:fill="auto"/>
            <w:noWrap/>
            <w:vAlign w:val="center"/>
          </w:tcPr>
          <w:p w14:paraId="664789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155</w:t>
            </w:r>
          </w:p>
        </w:tc>
        <w:tc>
          <w:tcPr>
            <w:tcW w:w="294" w:type="pct"/>
            <w:tcBorders>
              <w:top w:val="nil"/>
              <w:left w:val="nil"/>
              <w:bottom w:val="single" w:color="auto" w:sz="4" w:space="0"/>
              <w:right w:val="single" w:color="auto" w:sz="4" w:space="0"/>
            </w:tcBorders>
            <w:shd w:val="clear" w:color="auto" w:fill="auto"/>
            <w:noWrap/>
            <w:vAlign w:val="center"/>
          </w:tcPr>
          <w:p w14:paraId="617E056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163</w:t>
            </w:r>
          </w:p>
        </w:tc>
        <w:tc>
          <w:tcPr>
            <w:tcW w:w="294" w:type="pct"/>
            <w:tcBorders>
              <w:top w:val="nil"/>
              <w:left w:val="nil"/>
              <w:bottom w:val="single" w:color="auto" w:sz="4" w:space="0"/>
              <w:right w:val="single" w:color="auto" w:sz="4" w:space="0"/>
            </w:tcBorders>
            <w:shd w:val="clear" w:color="auto" w:fill="auto"/>
            <w:noWrap/>
            <w:vAlign w:val="center"/>
          </w:tcPr>
          <w:p w14:paraId="3AA2971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179</w:t>
            </w:r>
          </w:p>
        </w:tc>
        <w:tc>
          <w:tcPr>
            <w:tcW w:w="294" w:type="pct"/>
            <w:tcBorders>
              <w:top w:val="nil"/>
              <w:left w:val="nil"/>
              <w:bottom w:val="single" w:color="auto" w:sz="4" w:space="0"/>
              <w:right w:val="single" w:color="auto" w:sz="4" w:space="0"/>
            </w:tcBorders>
            <w:shd w:val="clear" w:color="auto" w:fill="auto"/>
            <w:noWrap/>
            <w:vAlign w:val="center"/>
          </w:tcPr>
          <w:p w14:paraId="0A8B103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178</w:t>
            </w:r>
          </w:p>
        </w:tc>
        <w:tc>
          <w:tcPr>
            <w:tcW w:w="294" w:type="pct"/>
            <w:tcBorders>
              <w:top w:val="nil"/>
              <w:left w:val="nil"/>
              <w:bottom w:val="single" w:color="auto" w:sz="4" w:space="0"/>
              <w:right w:val="single" w:color="auto" w:sz="4" w:space="0"/>
            </w:tcBorders>
            <w:shd w:val="clear" w:color="auto" w:fill="auto"/>
            <w:noWrap/>
            <w:vAlign w:val="center"/>
          </w:tcPr>
          <w:p w14:paraId="13F9028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149</w:t>
            </w:r>
          </w:p>
        </w:tc>
        <w:tc>
          <w:tcPr>
            <w:tcW w:w="295" w:type="pct"/>
            <w:tcBorders>
              <w:top w:val="nil"/>
              <w:left w:val="nil"/>
              <w:bottom w:val="single" w:color="auto" w:sz="4" w:space="0"/>
              <w:right w:val="single" w:color="auto" w:sz="4" w:space="0"/>
            </w:tcBorders>
            <w:shd w:val="clear" w:color="auto" w:fill="auto"/>
            <w:noWrap/>
            <w:vAlign w:val="center"/>
          </w:tcPr>
          <w:p w14:paraId="52E340B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174</w:t>
            </w:r>
          </w:p>
        </w:tc>
      </w:tr>
      <w:tr w14:paraId="3F2873A3">
        <w:tblPrEx>
          <w:tblCellMar>
            <w:top w:w="0" w:type="dxa"/>
            <w:left w:w="70" w:type="dxa"/>
            <w:bottom w:w="0" w:type="dxa"/>
            <w:right w:w="70" w:type="dxa"/>
          </w:tblCellMar>
        </w:tblPrEx>
        <w:trPr>
          <w:trHeight w:val="397" w:hRule="atLeast"/>
        </w:trPr>
        <w:tc>
          <w:tcPr>
            <w:tcW w:w="1468" w:type="pct"/>
            <w:tcBorders>
              <w:top w:val="nil"/>
              <w:left w:val="single" w:color="auto" w:sz="4" w:space="0"/>
              <w:bottom w:val="single" w:color="auto" w:sz="4" w:space="0"/>
              <w:right w:val="single" w:color="auto" w:sz="4" w:space="0"/>
            </w:tcBorders>
            <w:shd w:val="clear" w:color="auto" w:fill="auto"/>
            <w:noWrap/>
            <w:vAlign w:val="center"/>
          </w:tcPr>
          <w:p w14:paraId="5451BA0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294" w:type="pct"/>
            <w:tcBorders>
              <w:top w:val="nil"/>
              <w:left w:val="nil"/>
              <w:bottom w:val="single" w:color="auto" w:sz="4" w:space="0"/>
              <w:right w:val="single" w:color="auto" w:sz="4" w:space="0"/>
            </w:tcBorders>
            <w:shd w:val="clear" w:color="auto" w:fill="auto"/>
            <w:noWrap/>
            <w:vAlign w:val="center"/>
          </w:tcPr>
          <w:p w14:paraId="5E5A0CC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1 103</w:t>
            </w:r>
          </w:p>
        </w:tc>
        <w:tc>
          <w:tcPr>
            <w:tcW w:w="294" w:type="pct"/>
            <w:tcBorders>
              <w:top w:val="nil"/>
              <w:left w:val="nil"/>
              <w:bottom w:val="single" w:color="auto" w:sz="4" w:space="0"/>
              <w:right w:val="single" w:color="auto" w:sz="4" w:space="0"/>
            </w:tcBorders>
            <w:shd w:val="clear" w:color="auto" w:fill="auto"/>
            <w:noWrap/>
            <w:vAlign w:val="center"/>
          </w:tcPr>
          <w:p w14:paraId="3FA952F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1 121</w:t>
            </w:r>
          </w:p>
        </w:tc>
        <w:tc>
          <w:tcPr>
            <w:tcW w:w="294" w:type="pct"/>
            <w:tcBorders>
              <w:top w:val="nil"/>
              <w:left w:val="nil"/>
              <w:bottom w:val="single" w:color="auto" w:sz="4" w:space="0"/>
              <w:right w:val="single" w:color="auto" w:sz="4" w:space="0"/>
            </w:tcBorders>
            <w:shd w:val="clear" w:color="auto" w:fill="auto"/>
            <w:noWrap/>
            <w:vAlign w:val="center"/>
          </w:tcPr>
          <w:p w14:paraId="5DE170D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1 136</w:t>
            </w:r>
          </w:p>
        </w:tc>
        <w:tc>
          <w:tcPr>
            <w:tcW w:w="294" w:type="pct"/>
            <w:tcBorders>
              <w:top w:val="nil"/>
              <w:left w:val="nil"/>
              <w:bottom w:val="single" w:color="auto" w:sz="4" w:space="0"/>
              <w:right w:val="single" w:color="auto" w:sz="4" w:space="0"/>
            </w:tcBorders>
            <w:shd w:val="clear" w:color="auto" w:fill="auto"/>
            <w:noWrap/>
            <w:vAlign w:val="center"/>
          </w:tcPr>
          <w:p w14:paraId="2CB2425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1 175</w:t>
            </w:r>
          </w:p>
        </w:tc>
        <w:tc>
          <w:tcPr>
            <w:tcW w:w="294" w:type="pct"/>
            <w:tcBorders>
              <w:top w:val="nil"/>
              <w:left w:val="nil"/>
              <w:bottom w:val="single" w:color="auto" w:sz="4" w:space="0"/>
              <w:right w:val="single" w:color="auto" w:sz="4" w:space="0"/>
            </w:tcBorders>
            <w:shd w:val="clear" w:color="auto" w:fill="auto"/>
            <w:noWrap/>
            <w:vAlign w:val="center"/>
          </w:tcPr>
          <w:p w14:paraId="4DA7EED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1 224</w:t>
            </w:r>
          </w:p>
        </w:tc>
        <w:tc>
          <w:tcPr>
            <w:tcW w:w="294" w:type="pct"/>
            <w:tcBorders>
              <w:top w:val="nil"/>
              <w:left w:val="nil"/>
              <w:bottom w:val="single" w:color="auto" w:sz="4" w:space="0"/>
              <w:right w:val="single" w:color="auto" w:sz="4" w:space="0"/>
            </w:tcBorders>
            <w:shd w:val="clear" w:color="auto" w:fill="auto"/>
            <w:noWrap/>
            <w:vAlign w:val="center"/>
          </w:tcPr>
          <w:p w14:paraId="3E82121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1 276</w:t>
            </w:r>
          </w:p>
        </w:tc>
        <w:tc>
          <w:tcPr>
            <w:tcW w:w="294" w:type="pct"/>
            <w:tcBorders>
              <w:top w:val="nil"/>
              <w:left w:val="nil"/>
              <w:bottom w:val="single" w:color="auto" w:sz="4" w:space="0"/>
              <w:right w:val="single" w:color="auto" w:sz="4" w:space="0"/>
            </w:tcBorders>
            <w:shd w:val="clear" w:color="auto" w:fill="auto"/>
            <w:noWrap/>
            <w:vAlign w:val="center"/>
          </w:tcPr>
          <w:p w14:paraId="1EFC8C0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147</w:t>
            </w:r>
          </w:p>
        </w:tc>
        <w:tc>
          <w:tcPr>
            <w:tcW w:w="294" w:type="pct"/>
            <w:tcBorders>
              <w:top w:val="nil"/>
              <w:left w:val="nil"/>
              <w:bottom w:val="single" w:color="auto" w:sz="4" w:space="0"/>
              <w:right w:val="single" w:color="auto" w:sz="4" w:space="0"/>
            </w:tcBorders>
            <w:shd w:val="clear" w:color="auto" w:fill="auto"/>
            <w:noWrap/>
            <w:vAlign w:val="center"/>
          </w:tcPr>
          <w:p w14:paraId="59944D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154</w:t>
            </w:r>
          </w:p>
        </w:tc>
        <w:tc>
          <w:tcPr>
            <w:tcW w:w="294" w:type="pct"/>
            <w:tcBorders>
              <w:top w:val="nil"/>
              <w:left w:val="nil"/>
              <w:bottom w:val="single" w:color="auto" w:sz="4" w:space="0"/>
              <w:right w:val="single" w:color="auto" w:sz="4" w:space="0"/>
            </w:tcBorders>
            <w:shd w:val="clear" w:color="auto" w:fill="auto"/>
            <w:noWrap/>
            <w:vAlign w:val="center"/>
          </w:tcPr>
          <w:p w14:paraId="297C246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169</w:t>
            </w:r>
          </w:p>
        </w:tc>
        <w:tc>
          <w:tcPr>
            <w:tcW w:w="294" w:type="pct"/>
            <w:tcBorders>
              <w:top w:val="nil"/>
              <w:left w:val="nil"/>
              <w:bottom w:val="single" w:color="auto" w:sz="4" w:space="0"/>
              <w:right w:val="single" w:color="auto" w:sz="4" w:space="0"/>
            </w:tcBorders>
            <w:shd w:val="clear" w:color="auto" w:fill="auto"/>
            <w:noWrap/>
            <w:vAlign w:val="center"/>
          </w:tcPr>
          <w:p w14:paraId="1A8C51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165</w:t>
            </w:r>
          </w:p>
        </w:tc>
        <w:tc>
          <w:tcPr>
            <w:tcW w:w="294" w:type="pct"/>
            <w:tcBorders>
              <w:top w:val="nil"/>
              <w:left w:val="nil"/>
              <w:bottom w:val="single" w:color="auto" w:sz="4" w:space="0"/>
              <w:right w:val="single" w:color="auto" w:sz="4" w:space="0"/>
            </w:tcBorders>
            <w:shd w:val="clear" w:color="auto" w:fill="auto"/>
            <w:noWrap/>
            <w:vAlign w:val="center"/>
          </w:tcPr>
          <w:p w14:paraId="142C6C3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145</w:t>
            </w:r>
          </w:p>
        </w:tc>
        <w:tc>
          <w:tcPr>
            <w:tcW w:w="295" w:type="pct"/>
            <w:tcBorders>
              <w:top w:val="nil"/>
              <w:left w:val="nil"/>
              <w:bottom w:val="single" w:color="auto" w:sz="4" w:space="0"/>
              <w:right w:val="single" w:color="auto" w:sz="4" w:space="0"/>
            </w:tcBorders>
            <w:shd w:val="clear" w:color="auto" w:fill="auto"/>
            <w:noWrap/>
            <w:vAlign w:val="center"/>
          </w:tcPr>
          <w:p w14:paraId="07403BE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165</w:t>
            </w:r>
          </w:p>
        </w:tc>
      </w:tr>
    </w:tbl>
    <w:p w14:paraId="40D7C52C">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21720197">
      <w:pPr>
        <w:spacing w:line="276" w:lineRule="auto"/>
        <w:ind w:firstLine="708"/>
        <w:jc w:val="both"/>
        <w:rPr>
          <w:rFonts w:ascii="Times New Roman" w:hAnsi="Times New Roman" w:cs="Times New Roman"/>
        </w:rPr>
      </w:pPr>
      <w:r>
        <w:rPr>
          <w:rFonts w:ascii="Times New Roman" w:hAnsi="Times New Roman" w:cs="Times New Roman"/>
        </w:rPr>
        <w:t xml:space="preserve">W przypadku obu wskaźników wartości dla obszaru LGD stale rosną. </w:t>
      </w:r>
      <w:bookmarkStart w:id="59" w:name="_Hlk134961846"/>
      <w:r>
        <w:rPr>
          <w:rFonts w:ascii="Times New Roman" w:hAnsi="Times New Roman" w:cs="Times New Roman"/>
        </w:rPr>
        <w:t xml:space="preserve">Jednak z powyższej tabeli wynika, iż w kwestii przedsiębiorczości mieszkańców na obszarze LGD, należy podjąć działania wpływające na jej rozwój. Średnie wyniki obszaru LGD we wszystkich przypadkach są niższe niż średnia w Polsce i województwie małopolskim. Warto jednak zwrócić uwagę, że dynamika wzrostu wartości obu wskaźników jest dla obszaru LGD znacznie wyższa niż dla tych jednostek (wykres 7). </w:t>
      </w:r>
    </w:p>
    <w:bookmarkEnd w:id="59"/>
    <w:p w14:paraId="0236C8D9">
      <w:pPr>
        <w:spacing w:after="0" w:line="276" w:lineRule="auto"/>
        <w:ind w:firstLine="708"/>
        <w:jc w:val="center"/>
        <w:rPr>
          <w:rFonts w:ascii="Times New Roman" w:hAnsi="Times New Roman" w:cs="Times New Roman"/>
          <w:b/>
          <w:bCs/>
          <w:color w:val="000000" w:themeColor="text1"/>
          <w:sz w:val="20"/>
          <w:szCs w:val="20"/>
          <w14:textFill>
            <w14:solidFill>
              <w14:schemeClr w14:val="tx1"/>
            </w14:solidFill>
          </w14:textFill>
        </w:rPr>
      </w:pPr>
      <w:bookmarkStart w:id="60" w:name="_Toc134966319"/>
      <w:bookmarkStart w:id="61" w:name="_Toc136240711"/>
      <w:r>
        <w:rPr>
          <w:rFonts w:ascii="Times New Roman" w:hAnsi="Times New Roman" w:cs="Times New Roman"/>
          <w:b/>
          <w:bCs/>
          <w:sz w:val="20"/>
          <w:szCs w:val="20"/>
        </w:rPr>
        <w:t xml:space="preserve">Wykres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SEQ Wykres \* ARABIC </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7</w:t>
      </w:r>
      <w:r>
        <w:rPr>
          <w:rFonts w:ascii="Times New Roman" w:hAnsi="Times New Roman" w:cs="Times New Roman"/>
          <w:b/>
          <w:bCs/>
          <w:sz w:val="20"/>
          <w:szCs w:val="20"/>
        </w:rPr>
        <w:fldChar w:fldCharType="end"/>
      </w:r>
      <w:r>
        <w:rPr>
          <w:rFonts w:ascii="Times New Roman" w:hAnsi="Times New Roman" w:cs="Times New Roman"/>
        </w:rPr>
        <w:t xml:space="preserve"> </w:t>
      </w:r>
      <w:r>
        <w:rPr>
          <w:rFonts w:ascii="Times New Roman" w:hAnsi="Times New Roman" w:cs="Times New Roman"/>
          <w:b/>
          <w:bCs/>
          <w:color w:val="000000" w:themeColor="text1"/>
          <w:sz w:val="20"/>
          <w:szCs w:val="20"/>
          <w14:textFill>
            <w14:solidFill>
              <w14:schemeClr w14:val="tx1"/>
            </w14:solidFill>
          </w14:textFill>
        </w:rPr>
        <w:t>Dynamika wzrostu wartości wskaźników gospodarczych obszaru LGD, województwa i kraju – wzrost procentowy w 2021 r. w stosunku do 2016 r.</w:t>
      </w:r>
      <w:bookmarkEnd w:id="60"/>
      <w:bookmarkEnd w:id="61"/>
    </w:p>
    <w:p w14:paraId="0AC3ED59">
      <w:pPr>
        <w:spacing w:after="0"/>
        <w:jc w:val="center"/>
        <w:rPr>
          <w:rFonts w:ascii="Times New Roman" w:hAnsi="Times New Roman" w:cs="Times New Roman"/>
          <w:b/>
          <w:bCs/>
          <w:color w:val="000000" w:themeColor="text1"/>
          <w:sz w:val="20"/>
          <w:szCs w:val="20"/>
          <w14:textFill>
            <w14:solidFill>
              <w14:schemeClr w14:val="tx1"/>
            </w14:solidFill>
          </w14:textFill>
        </w:rPr>
      </w:pPr>
      <w:r>
        <w:rPr>
          <w:lang w:eastAsia="pl-PL"/>
        </w:rPr>
        <w:drawing>
          <wp:inline distT="0" distB="0" distL="0" distR="0">
            <wp:extent cx="5434965" cy="1771650"/>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7531E0">
      <w:pPr>
        <w:spacing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6D7DE58D">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Jest to</w:t>
      </w:r>
      <w:r>
        <w:rPr>
          <w:rFonts w:ascii="Times New Roman" w:hAnsi="Times New Roman" w:cs="Times New Roman"/>
          <w:color w:val="000000" w:themeColor="text1"/>
          <w14:textFill>
            <w14:solidFill>
              <w14:schemeClr w14:val="tx1"/>
            </w14:solidFill>
          </w14:textFill>
        </w:rPr>
        <w:t xml:space="preserve"> pozytywne zjawisko, na które z pewnością miała wpływ realizacja Strategii Rozwoju Lokalnego Kierowanego przez Społeczność, w której jednym z czterech celów szczegółowych było </w:t>
      </w:r>
      <w:r>
        <w:rPr>
          <w:rFonts w:ascii="Times New Roman" w:hAnsi="Times New Roman" w:cs="Times New Roman"/>
          <w:i/>
          <w:iCs/>
          <w:color w:val="000000" w:themeColor="text1"/>
          <w14:textFill>
            <w14:solidFill>
              <w14:schemeClr w14:val="tx1"/>
            </w14:solidFill>
          </w14:textFill>
        </w:rPr>
        <w:t xml:space="preserve">1.1 Wsparcie przedsiębiorców w tworzeniu i utrzymaniu miejsc pracy. </w:t>
      </w:r>
      <w:r>
        <w:rPr>
          <w:rFonts w:ascii="Times New Roman" w:hAnsi="Times New Roman" w:cs="Times New Roman"/>
          <w:color w:val="000000" w:themeColor="text1"/>
          <w14:textFill>
            <w14:solidFill>
              <w14:schemeClr w14:val="tx1"/>
            </w14:solidFill>
          </w14:textFill>
        </w:rPr>
        <w:t>Największe zainteresowanie w historii naborów z tego okresu było na podejmowanie działalności. W latach 2017–2020 LGD Między Dalinem i Gościbią przeprowadziła 5 naborów</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na podejmowanie lub rozwój działalności gospodarczej, w ramach których wybrano do dofinansowania 32 wnioski. </w:t>
      </w:r>
    </w:p>
    <w:p w14:paraId="11DC42EB">
      <w:pPr>
        <w:spacing w:after="0" w:line="276" w:lineRule="auto"/>
        <w:ind w:firstLine="708"/>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Ponadto w ankiecie diagnostycznej na potrzeby opracowania LSR jako jedną z kluczowych słabych stron mieszkańcy wskazali „mało atrakcyjny rynek pracy” (47%), co wskazuje</w:t>
      </w:r>
      <w:r>
        <w:rPr>
          <w:rFonts w:ascii="Times New Roman" w:hAnsi="Times New Roman" w:cs="Times New Roman"/>
        </w:rPr>
        <w:t xml:space="preserve"> na potrzebę dalszego rozwoju funkcjonujących na obszarze przedsiębiorstw i tworzenia nowych miejsc pracy. Dlatego należy położyć nacisk na rozwój przedsiębiorczości, przeznaczając określone środki na tworzenie i rozwój przedsiębiorstw, ma ona bowiem wpływ na rynek pracy, aktywizację zawodową ludności, stymulowanie inicjatyw indywidualnych i społecznych, budowanie dobrych relacji osobistych i biznesowych, podejmowanie przedsięwzięć innowacyjnych, a w rezultacie na rozwój lokalny. </w:t>
      </w:r>
    </w:p>
    <w:p w14:paraId="49FFEC0A">
      <w:pPr>
        <w:spacing w:after="0" w:line="276" w:lineRule="auto"/>
        <w:ind w:firstLine="708"/>
        <w:jc w:val="both"/>
        <w:rPr>
          <w:rFonts w:ascii="Times New Roman" w:hAnsi="Times New Roman" w:cs="Times New Roman"/>
        </w:rPr>
      </w:pPr>
      <w:r>
        <w:rPr>
          <w:rFonts w:ascii="Times New Roman" w:hAnsi="Times New Roman" w:cs="Times New Roman"/>
        </w:rPr>
        <w:t>Mieszkańcy uznali również, że czynnikami sprzyjającymi rozwojowi obszaru może być „cyfryzacja życia codziennego, w tym rosnące możliwości pracy zdalnej” (41% odpowiedzi). Dlatego ważne jest, aby zapewnić odpowiednie warunki na rzecz rozwoju obszaru, w tym poprzez zapewnienie dostępności szybkiego Internetu, co umożliwi pracę i naukę zdalną. Nowoczesne drogi promocji i komunikacji również mogą pozytywnie wpłynąć na poziom przedsiębiorczości na obszarze LGD. Istotnym aspektem będzie także pobudzanie postaw przedsiębiorczych czy budowanie współpracy między podmiotami z sektora gospodarczego.</w:t>
      </w:r>
    </w:p>
    <w:p w14:paraId="40070DDF">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Kondycja lokalnych przedsiębiorstw jest stosunkowo dobra – średnia dla LGD odnośnie podmiotów wykreślonych z rejestru REGON na 10 tys. mieszkańców w latach 2017–2020 malała, natomiast w 2021 roku nastąpił wzrost wskaźnika. Taka sama tendencja wystąpiła dla średniej województwa i kraju, natomiast wartość wskaźnika dla obszaru LGD była niższa i wynosiła w 2021 r. 44, przy średniej dla województwa 49, zaś kraju – 50. Podobnie kształtował się stosunek podmiotów wykreślonych z rejestru REGON do podmiotów wpisanych ogółem, wartość na przestrzeni analizowanych lat malała, natomiast w roku 2021 wzrosła w stosunku do roku poprzedniego. W ostatnim badanym roku – 2021, wskaźnik dla średniej obszaru (3,8) był nieznacznie niższy niż wskaźnik dla Polski (3,9) oraz niewiele wyższy niż średnia dla województwa małopolskiego (3,7)</w:t>
      </w:r>
      <w:r>
        <w:rPr>
          <w:rStyle w:val="17"/>
          <w:rFonts w:ascii="Times New Roman" w:hAnsi="Times New Roman" w:cs="Times New Roman"/>
          <w:color w:val="000000" w:themeColor="text1"/>
          <w14:textFill>
            <w14:solidFill>
              <w14:schemeClr w14:val="tx1"/>
            </w14:solidFill>
          </w14:textFill>
        </w:rPr>
        <w:footnoteReference w:id="8"/>
      </w:r>
      <w:r>
        <w:rPr>
          <w:rFonts w:ascii="Times New Roman" w:hAnsi="Times New Roman" w:cs="Times New Roman"/>
          <w:color w:val="000000" w:themeColor="text1"/>
          <w14:textFill>
            <w14:solidFill>
              <w14:schemeClr w14:val="tx1"/>
            </w14:solidFill>
          </w14:textFill>
        </w:rPr>
        <w:t xml:space="preserve">. </w:t>
      </w:r>
    </w:p>
    <w:p w14:paraId="69ABF4BF">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W tabeli 6 przedstawiono wartość wskaźników </w:t>
      </w:r>
      <w:r>
        <w:rPr>
          <w:rFonts w:ascii="Times New Roman" w:hAnsi="Times New Roman" w:cs="Times New Roman"/>
          <w:i/>
          <w:iCs/>
          <w:color w:val="000000" w:themeColor="text1"/>
          <w14:textFill>
            <w14:solidFill>
              <w14:schemeClr w14:val="tx1"/>
            </w14:solidFill>
          </w14:textFill>
        </w:rPr>
        <w:t>udział przedsiębiorstw zatrudniających mniej niż 50 pracowników w liczbie mieszkańców ogółem</w:t>
      </w:r>
      <w:r>
        <w:rPr>
          <w:rFonts w:ascii="Times New Roman" w:hAnsi="Times New Roman" w:cs="Times New Roman"/>
          <w:color w:val="000000" w:themeColor="text1"/>
          <w14:textFill>
            <w14:solidFill>
              <w14:schemeClr w14:val="tx1"/>
            </w14:solidFill>
          </w14:textFill>
        </w:rPr>
        <w:t xml:space="preserve"> oraz </w:t>
      </w:r>
      <w:r>
        <w:rPr>
          <w:rFonts w:ascii="Times New Roman" w:hAnsi="Times New Roman" w:cs="Times New Roman"/>
          <w:i/>
          <w:iCs/>
          <w:color w:val="000000" w:themeColor="text1"/>
          <w14:textFill>
            <w14:solidFill>
              <w14:schemeClr w14:val="tx1"/>
            </w14:solidFill>
          </w14:textFill>
        </w:rPr>
        <w:t>przedsiębiorstwa zatrudniające mniej niż 50 pracowników (0–9 i 10–49) ogółem</w:t>
      </w:r>
      <w:r>
        <w:rPr>
          <w:rFonts w:ascii="Times New Roman" w:hAnsi="Times New Roman" w:cs="Times New Roman"/>
          <w:color w:val="000000" w:themeColor="text1"/>
          <w14:textFill>
            <w14:solidFill>
              <w14:schemeClr w14:val="tx1"/>
            </w14:solidFill>
          </w14:textFill>
        </w:rPr>
        <w:t xml:space="preserve"> dla poszczególnych gmin LGD, średnio w LGD oraz województwie i kraju w roku 2016 i 2020. Przedsiębiorstwa, które zatrudniają mniej niż 50 pracowników to tzw. mikro (do 9 pracowników) i małe firmy (do 49 pracowników). Stanowią one ok. 99% polskiego sektora przedsiębiorstw.</w:t>
      </w:r>
    </w:p>
    <w:p w14:paraId="04D9258C">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62" w:name="_Toc112152406"/>
      <w:bookmarkStart w:id="63" w:name="_Toc134966355"/>
      <w:bookmarkStart w:id="64" w:name="_Toc136241394"/>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6</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t>
      </w:r>
      <w:bookmarkEnd w:id="62"/>
      <w:bookmarkEnd w:id="63"/>
      <w:bookmarkStart w:id="65" w:name="_Hlk113306374"/>
      <w:r>
        <w:rPr>
          <w:rFonts w:ascii="Times New Roman" w:hAnsi="Times New Roman" w:cs="Times New Roman"/>
          <w:b/>
          <w:bCs/>
          <w:i w:val="0"/>
          <w:iCs w:val="0"/>
          <w:color w:val="000000" w:themeColor="text1"/>
          <w:sz w:val="20"/>
          <w:szCs w:val="20"/>
          <w14:textFill>
            <w14:solidFill>
              <w14:schemeClr w14:val="tx1"/>
            </w14:solidFill>
          </w14:textFill>
        </w:rPr>
        <w:t xml:space="preserve">Wskaźniki dotyczące przedsiębiorczości dla obszaru LGD w porównaniu do województwa i kraju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 xml:space="preserve">w </w:t>
      </w:r>
      <w:bookmarkEnd w:id="65"/>
      <w:r>
        <w:rPr>
          <w:rFonts w:ascii="Times New Roman" w:hAnsi="Times New Roman" w:cs="Times New Roman"/>
          <w:b/>
          <w:bCs/>
          <w:i w:val="0"/>
          <w:iCs w:val="0"/>
          <w:color w:val="000000" w:themeColor="text1"/>
          <w:sz w:val="20"/>
          <w:szCs w:val="20"/>
          <w14:textFill>
            <w14:solidFill>
              <w14:schemeClr w14:val="tx1"/>
            </w14:solidFill>
          </w14:textFill>
        </w:rPr>
        <w:t>roku 2016 i 2020</w:t>
      </w:r>
      <w:bookmarkEnd w:id="64"/>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3114"/>
        <w:gridCol w:w="1770"/>
        <w:gridCol w:w="1770"/>
        <w:gridCol w:w="1770"/>
        <w:gridCol w:w="1770"/>
      </w:tblGrid>
      <w:tr w14:paraId="4A3F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vMerge w:val="restart"/>
            <w:shd w:val="clear" w:color="auto" w:fill="auto"/>
            <w:vAlign w:val="center"/>
          </w:tcPr>
          <w:p w14:paraId="2D49545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themeColor="text1"/>
                <w:sz w:val="20"/>
                <w:szCs w:val="20"/>
                <w:lang w:eastAsia="pl-PL"/>
                <w14:textFill>
                  <w14:solidFill>
                    <w14:schemeClr w14:val="tx1"/>
                  </w14:solidFill>
                </w14:textFill>
              </w:rPr>
              <w:t>Jednostka terytorialna</w:t>
            </w:r>
          </w:p>
        </w:tc>
        <w:tc>
          <w:tcPr>
            <w:tcW w:w="3540" w:type="dxa"/>
            <w:gridSpan w:val="2"/>
            <w:shd w:val="clear" w:color="auto" w:fill="auto"/>
            <w:vAlign w:val="center"/>
          </w:tcPr>
          <w:p w14:paraId="7134A23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sz w:val="20"/>
                <w:szCs w:val="20"/>
                <w:lang w:eastAsia="pl-PL"/>
              </w:rPr>
              <w:t xml:space="preserve">Przedsiębiorstwa zatrudniające </w:t>
            </w:r>
            <w:r>
              <w:rPr>
                <w:rFonts w:ascii="Times New Roman" w:hAnsi="Times New Roman" w:eastAsia="Times New Roman" w:cs="Times New Roman"/>
                <w:b/>
                <w:bCs/>
                <w:sz w:val="20"/>
                <w:szCs w:val="20"/>
                <w:lang w:eastAsia="pl-PL"/>
              </w:rPr>
              <w:br w:type="textWrapping"/>
            </w:r>
            <w:r>
              <w:rPr>
                <w:rFonts w:ascii="Times New Roman" w:hAnsi="Times New Roman" w:eastAsia="Times New Roman" w:cs="Times New Roman"/>
                <w:b/>
                <w:bCs/>
                <w:sz w:val="20"/>
                <w:szCs w:val="20"/>
                <w:lang w:eastAsia="pl-PL"/>
              </w:rPr>
              <w:t xml:space="preserve">mniej niż 50 pracowników </w:t>
            </w:r>
            <w:r>
              <w:rPr>
                <w:rFonts w:ascii="Times New Roman" w:hAnsi="Times New Roman" w:eastAsia="Times New Roman" w:cs="Times New Roman"/>
                <w:b/>
                <w:bCs/>
                <w:sz w:val="20"/>
                <w:szCs w:val="20"/>
                <w:lang w:eastAsia="pl-PL"/>
              </w:rPr>
              <w:br w:type="textWrapping"/>
            </w:r>
            <w:r>
              <w:rPr>
                <w:rFonts w:ascii="Times New Roman" w:hAnsi="Times New Roman" w:eastAsia="Times New Roman" w:cs="Times New Roman"/>
                <w:b/>
                <w:bCs/>
                <w:sz w:val="20"/>
                <w:szCs w:val="20"/>
                <w:lang w:eastAsia="pl-PL"/>
              </w:rPr>
              <w:t>(0–9 i 10–49) ogółem</w:t>
            </w:r>
          </w:p>
        </w:tc>
        <w:tc>
          <w:tcPr>
            <w:tcW w:w="3540" w:type="dxa"/>
            <w:gridSpan w:val="2"/>
            <w:shd w:val="clear" w:color="auto" w:fill="auto"/>
            <w:vAlign w:val="center"/>
          </w:tcPr>
          <w:p w14:paraId="0B40A67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themeColor="text1"/>
                <w:sz w:val="20"/>
                <w:szCs w:val="20"/>
                <w14:textFill>
                  <w14:solidFill>
                    <w14:schemeClr w14:val="tx1"/>
                  </w14:solidFill>
                </w14:textFill>
              </w:rPr>
              <w:t>Udział przedsiębiorstw zatrudniających mniej niż 50 pracowników w liczbie mieszkańców ogółem</w:t>
            </w:r>
          </w:p>
        </w:tc>
      </w:tr>
      <w:tr w14:paraId="72E6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vMerge w:val="continue"/>
            <w:shd w:val="clear" w:color="auto" w:fill="auto"/>
            <w:vAlign w:val="center"/>
          </w:tcPr>
          <w:p w14:paraId="776C7AE2">
            <w:pPr>
              <w:spacing w:after="0" w:line="240" w:lineRule="auto"/>
              <w:jc w:val="center"/>
              <w:rPr>
                <w:rFonts w:ascii="Times New Roman" w:hAnsi="Times New Roman" w:eastAsia="Times New Roman" w:cs="Times New Roman"/>
                <w:b/>
                <w:bCs/>
                <w:color w:val="000000"/>
                <w:sz w:val="20"/>
                <w:szCs w:val="20"/>
                <w:lang w:eastAsia="pl-PL"/>
              </w:rPr>
            </w:pPr>
          </w:p>
        </w:tc>
        <w:tc>
          <w:tcPr>
            <w:tcW w:w="1770" w:type="dxa"/>
            <w:shd w:val="clear" w:color="auto" w:fill="auto"/>
            <w:vAlign w:val="center"/>
          </w:tcPr>
          <w:p w14:paraId="17B3315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1770" w:type="dxa"/>
            <w:shd w:val="clear" w:color="auto" w:fill="auto"/>
            <w:vAlign w:val="center"/>
          </w:tcPr>
          <w:p w14:paraId="5079304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themeColor="text1"/>
                <w:sz w:val="20"/>
                <w:szCs w:val="20"/>
                <w:lang w:eastAsia="pl-PL"/>
                <w14:textFill>
                  <w14:solidFill>
                    <w14:schemeClr w14:val="tx1"/>
                  </w14:solidFill>
                </w14:textFill>
              </w:rPr>
              <w:t>2020</w:t>
            </w:r>
          </w:p>
        </w:tc>
        <w:tc>
          <w:tcPr>
            <w:tcW w:w="1770" w:type="dxa"/>
            <w:shd w:val="clear" w:color="auto" w:fill="auto"/>
            <w:vAlign w:val="center"/>
          </w:tcPr>
          <w:p w14:paraId="543DBA7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sz w:val="20"/>
                <w:szCs w:val="20"/>
                <w:lang w:eastAsia="pl-PL"/>
              </w:rPr>
              <w:t>2016</w:t>
            </w:r>
          </w:p>
        </w:tc>
        <w:tc>
          <w:tcPr>
            <w:tcW w:w="1770" w:type="dxa"/>
            <w:shd w:val="clear" w:color="auto" w:fill="auto"/>
            <w:vAlign w:val="center"/>
          </w:tcPr>
          <w:p w14:paraId="5F26E9D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themeColor="text1"/>
                <w:sz w:val="20"/>
                <w:szCs w:val="20"/>
                <w:lang w:eastAsia="pl-PL"/>
                <w14:textFill>
                  <w14:solidFill>
                    <w14:schemeClr w14:val="tx1"/>
                  </w14:solidFill>
                </w14:textFill>
              </w:rPr>
              <w:t>2020</w:t>
            </w:r>
          </w:p>
        </w:tc>
      </w:tr>
      <w:tr w14:paraId="6B97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vAlign w:val="center"/>
          </w:tcPr>
          <w:p w14:paraId="04F57547">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1770" w:type="dxa"/>
            <w:shd w:val="clear" w:color="auto" w:fill="auto"/>
            <w:vAlign w:val="center"/>
          </w:tcPr>
          <w:p w14:paraId="57A0E50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700</w:t>
            </w:r>
          </w:p>
        </w:tc>
        <w:tc>
          <w:tcPr>
            <w:tcW w:w="1770" w:type="dxa"/>
            <w:shd w:val="clear" w:color="auto" w:fill="auto"/>
            <w:vAlign w:val="center"/>
          </w:tcPr>
          <w:p w14:paraId="527E4AC1">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cs="Times New Roman"/>
                <w:color w:val="000000"/>
                <w:sz w:val="20"/>
                <w:szCs w:val="20"/>
              </w:rPr>
              <w:t>871</w:t>
            </w:r>
          </w:p>
        </w:tc>
        <w:tc>
          <w:tcPr>
            <w:tcW w:w="1770" w:type="dxa"/>
            <w:shd w:val="clear" w:color="auto" w:fill="auto"/>
            <w:vAlign w:val="center"/>
          </w:tcPr>
          <w:p w14:paraId="52069D76">
            <w:pPr>
              <w:spacing w:after="0" w:line="240" w:lineRule="auto"/>
              <w:jc w:val="center"/>
              <w:rPr>
                <w:rFonts w:ascii="Times New Roman" w:hAnsi="Times New Roman" w:eastAsia="Times New Roman" w:cs="Times New Roman"/>
                <w:b/>
                <w:bCs/>
                <w:sz w:val="20"/>
                <w:szCs w:val="20"/>
                <w:lang w:eastAsia="pl-PL"/>
              </w:rPr>
            </w:pPr>
            <w:r>
              <w:rPr>
                <w:rFonts w:ascii="Times New Roman" w:hAnsi="Times New Roman" w:eastAsia="Times New Roman" w:cs="Times New Roman"/>
                <w:color w:val="000000"/>
                <w:sz w:val="20"/>
                <w:szCs w:val="20"/>
                <w:lang w:eastAsia="pl-PL"/>
              </w:rPr>
              <w:t>7,0</w:t>
            </w:r>
          </w:p>
        </w:tc>
        <w:tc>
          <w:tcPr>
            <w:tcW w:w="1770" w:type="dxa"/>
            <w:shd w:val="clear" w:color="auto" w:fill="auto"/>
            <w:vAlign w:val="center"/>
          </w:tcPr>
          <w:p w14:paraId="62D39F6B">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eastAsia="Times New Roman" w:cs="Times New Roman"/>
                <w:color w:val="000000"/>
                <w:sz w:val="20"/>
                <w:szCs w:val="20"/>
                <w:lang w:eastAsia="pl-PL"/>
              </w:rPr>
              <w:t>8,6</w:t>
            </w:r>
          </w:p>
        </w:tc>
      </w:tr>
      <w:tr w14:paraId="1B83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vAlign w:val="center"/>
          </w:tcPr>
          <w:p w14:paraId="33E546FB">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1770" w:type="dxa"/>
            <w:shd w:val="clear" w:color="auto" w:fill="auto"/>
            <w:vAlign w:val="center"/>
          </w:tcPr>
          <w:p w14:paraId="7DE0D13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5 364</w:t>
            </w:r>
          </w:p>
        </w:tc>
        <w:tc>
          <w:tcPr>
            <w:tcW w:w="1770" w:type="dxa"/>
            <w:shd w:val="clear" w:color="auto" w:fill="auto"/>
            <w:vAlign w:val="center"/>
          </w:tcPr>
          <w:p w14:paraId="34C80AFF">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cs="Times New Roman"/>
                <w:color w:val="000000"/>
                <w:sz w:val="20"/>
                <w:szCs w:val="20"/>
              </w:rPr>
              <w:t>6 128</w:t>
            </w:r>
          </w:p>
        </w:tc>
        <w:tc>
          <w:tcPr>
            <w:tcW w:w="1770" w:type="dxa"/>
            <w:shd w:val="clear" w:color="auto" w:fill="auto"/>
            <w:vAlign w:val="center"/>
          </w:tcPr>
          <w:p w14:paraId="795A9999">
            <w:pPr>
              <w:spacing w:after="0" w:line="240" w:lineRule="auto"/>
              <w:jc w:val="center"/>
              <w:rPr>
                <w:rFonts w:ascii="Times New Roman" w:hAnsi="Times New Roman" w:eastAsia="Times New Roman" w:cs="Times New Roman"/>
                <w:b/>
                <w:bCs/>
                <w:sz w:val="20"/>
                <w:szCs w:val="20"/>
                <w:lang w:eastAsia="pl-PL"/>
              </w:rPr>
            </w:pPr>
            <w:r>
              <w:rPr>
                <w:rFonts w:ascii="Times New Roman" w:hAnsi="Times New Roman" w:eastAsia="Times New Roman" w:cs="Times New Roman"/>
                <w:color w:val="000000"/>
                <w:sz w:val="20"/>
                <w:szCs w:val="20"/>
                <w:lang w:eastAsia="pl-PL"/>
              </w:rPr>
              <w:t>12,3</w:t>
            </w:r>
          </w:p>
        </w:tc>
        <w:tc>
          <w:tcPr>
            <w:tcW w:w="1770" w:type="dxa"/>
            <w:shd w:val="clear" w:color="auto" w:fill="auto"/>
            <w:vAlign w:val="center"/>
          </w:tcPr>
          <w:p w14:paraId="23C36EEE">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eastAsia="Times New Roman" w:cs="Times New Roman"/>
                <w:color w:val="000000"/>
                <w:sz w:val="20"/>
                <w:szCs w:val="20"/>
                <w:lang w:eastAsia="pl-PL"/>
              </w:rPr>
              <w:t>13,6</w:t>
            </w:r>
          </w:p>
        </w:tc>
      </w:tr>
      <w:tr w14:paraId="76C5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vAlign w:val="center"/>
          </w:tcPr>
          <w:p w14:paraId="1BFDC469">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1770" w:type="dxa"/>
            <w:shd w:val="clear" w:color="auto" w:fill="auto"/>
            <w:vAlign w:val="center"/>
          </w:tcPr>
          <w:p w14:paraId="71649F9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814</w:t>
            </w:r>
          </w:p>
        </w:tc>
        <w:tc>
          <w:tcPr>
            <w:tcW w:w="1770" w:type="dxa"/>
            <w:shd w:val="clear" w:color="auto" w:fill="auto"/>
            <w:vAlign w:val="center"/>
          </w:tcPr>
          <w:p w14:paraId="3C4AA36B">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cs="Times New Roman"/>
                <w:color w:val="000000"/>
                <w:sz w:val="20"/>
                <w:szCs w:val="20"/>
              </w:rPr>
              <w:t>1 020</w:t>
            </w:r>
          </w:p>
        </w:tc>
        <w:tc>
          <w:tcPr>
            <w:tcW w:w="1770" w:type="dxa"/>
            <w:shd w:val="clear" w:color="auto" w:fill="auto"/>
            <w:vAlign w:val="center"/>
          </w:tcPr>
          <w:p w14:paraId="166C119F">
            <w:pPr>
              <w:spacing w:after="0" w:line="240" w:lineRule="auto"/>
              <w:jc w:val="center"/>
              <w:rPr>
                <w:rFonts w:ascii="Times New Roman" w:hAnsi="Times New Roman" w:eastAsia="Times New Roman" w:cs="Times New Roman"/>
                <w:b/>
                <w:bCs/>
                <w:sz w:val="20"/>
                <w:szCs w:val="20"/>
                <w:lang w:eastAsia="pl-PL"/>
              </w:rPr>
            </w:pPr>
            <w:r>
              <w:rPr>
                <w:rFonts w:ascii="Times New Roman" w:hAnsi="Times New Roman" w:eastAsia="Times New Roman" w:cs="Times New Roman"/>
                <w:color w:val="000000"/>
                <w:sz w:val="20"/>
                <w:szCs w:val="20"/>
                <w:lang w:eastAsia="pl-PL"/>
              </w:rPr>
              <w:t>7,4</w:t>
            </w:r>
          </w:p>
        </w:tc>
        <w:tc>
          <w:tcPr>
            <w:tcW w:w="1770" w:type="dxa"/>
            <w:shd w:val="clear" w:color="auto" w:fill="auto"/>
            <w:vAlign w:val="center"/>
          </w:tcPr>
          <w:p w14:paraId="4AECBAC2">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eastAsia="Times New Roman" w:cs="Times New Roman"/>
                <w:color w:val="000000"/>
                <w:sz w:val="20"/>
                <w:szCs w:val="20"/>
                <w:lang w:eastAsia="pl-PL"/>
              </w:rPr>
              <w:t>9,1</w:t>
            </w:r>
          </w:p>
        </w:tc>
      </w:tr>
      <w:tr w14:paraId="70CD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vAlign w:val="center"/>
          </w:tcPr>
          <w:p w14:paraId="0F301642">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1770" w:type="dxa"/>
            <w:shd w:val="clear" w:color="auto" w:fill="auto"/>
            <w:vAlign w:val="center"/>
          </w:tcPr>
          <w:p w14:paraId="42D2AA6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453</w:t>
            </w:r>
          </w:p>
        </w:tc>
        <w:tc>
          <w:tcPr>
            <w:tcW w:w="1770" w:type="dxa"/>
            <w:shd w:val="clear" w:color="auto" w:fill="auto"/>
            <w:vAlign w:val="center"/>
          </w:tcPr>
          <w:p w14:paraId="26E1309A">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cs="Times New Roman"/>
                <w:color w:val="000000"/>
                <w:sz w:val="20"/>
                <w:szCs w:val="20"/>
              </w:rPr>
              <w:t>601</w:t>
            </w:r>
          </w:p>
        </w:tc>
        <w:tc>
          <w:tcPr>
            <w:tcW w:w="1770" w:type="dxa"/>
            <w:shd w:val="clear" w:color="auto" w:fill="auto"/>
            <w:vAlign w:val="center"/>
          </w:tcPr>
          <w:p w14:paraId="28125A57">
            <w:pPr>
              <w:spacing w:after="0" w:line="240" w:lineRule="auto"/>
              <w:jc w:val="center"/>
              <w:rPr>
                <w:rFonts w:ascii="Times New Roman" w:hAnsi="Times New Roman" w:eastAsia="Times New Roman" w:cs="Times New Roman"/>
                <w:b/>
                <w:bCs/>
                <w:sz w:val="20"/>
                <w:szCs w:val="20"/>
                <w:lang w:eastAsia="pl-PL"/>
              </w:rPr>
            </w:pPr>
            <w:r>
              <w:rPr>
                <w:rFonts w:ascii="Times New Roman" w:hAnsi="Times New Roman" w:eastAsia="Times New Roman" w:cs="Times New Roman"/>
                <w:color w:val="000000"/>
                <w:sz w:val="20"/>
                <w:szCs w:val="20"/>
                <w:lang w:eastAsia="pl-PL"/>
              </w:rPr>
              <w:t>7,2</w:t>
            </w:r>
          </w:p>
        </w:tc>
        <w:tc>
          <w:tcPr>
            <w:tcW w:w="1770" w:type="dxa"/>
            <w:shd w:val="clear" w:color="auto" w:fill="auto"/>
            <w:vAlign w:val="center"/>
          </w:tcPr>
          <w:p w14:paraId="63207FA3">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eastAsia="Times New Roman" w:cs="Times New Roman"/>
                <w:color w:val="000000"/>
                <w:sz w:val="20"/>
                <w:szCs w:val="20"/>
                <w:lang w:eastAsia="pl-PL"/>
              </w:rPr>
              <w:t>9,4</w:t>
            </w:r>
          </w:p>
        </w:tc>
      </w:tr>
      <w:tr w14:paraId="1BB7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vAlign w:val="center"/>
          </w:tcPr>
          <w:p w14:paraId="18C2AF34">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1770" w:type="dxa"/>
            <w:shd w:val="clear" w:color="auto" w:fill="auto"/>
            <w:vAlign w:val="center"/>
          </w:tcPr>
          <w:p w14:paraId="7FC80BF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1 258</w:t>
            </w:r>
          </w:p>
        </w:tc>
        <w:tc>
          <w:tcPr>
            <w:tcW w:w="1770" w:type="dxa"/>
            <w:shd w:val="clear" w:color="auto" w:fill="auto"/>
            <w:vAlign w:val="center"/>
          </w:tcPr>
          <w:p w14:paraId="38801E22">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cs="Times New Roman"/>
                <w:color w:val="000000"/>
                <w:sz w:val="20"/>
                <w:szCs w:val="20"/>
              </w:rPr>
              <w:t>1 473</w:t>
            </w:r>
          </w:p>
        </w:tc>
        <w:tc>
          <w:tcPr>
            <w:tcW w:w="1770" w:type="dxa"/>
            <w:shd w:val="clear" w:color="auto" w:fill="auto"/>
            <w:vAlign w:val="center"/>
          </w:tcPr>
          <w:p w14:paraId="2610CDB4">
            <w:pPr>
              <w:spacing w:after="0" w:line="240" w:lineRule="auto"/>
              <w:jc w:val="center"/>
              <w:rPr>
                <w:rFonts w:ascii="Times New Roman" w:hAnsi="Times New Roman" w:eastAsia="Times New Roman" w:cs="Times New Roman"/>
                <w:b/>
                <w:bCs/>
                <w:sz w:val="20"/>
                <w:szCs w:val="20"/>
                <w:lang w:eastAsia="pl-PL"/>
              </w:rPr>
            </w:pPr>
            <w:r>
              <w:rPr>
                <w:rFonts w:ascii="Times New Roman" w:hAnsi="Times New Roman" w:eastAsia="Times New Roman" w:cs="Times New Roman"/>
                <w:color w:val="000000"/>
                <w:sz w:val="20"/>
                <w:szCs w:val="20"/>
                <w:lang w:eastAsia="pl-PL"/>
              </w:rPr>
              <w:t>8,5</w:t>
            </w:r>
          </w:p>
        </w:tc>
        <w:tc>
          <w:tcPr>
            <w:tcW w:w="1770" w:type="dxa"/>
            <w:shd w:val="clear" w:color="auto" w:fill="auto"/>
            <w:vAlign w:val="center"/>
          </w:tcPr>
          <w:p w14:paraId="6DB03393">
            <w:pPr>
              <w:spacing w:after="0" w:line="240" w:lineRule="auto"/>
              <w:jc w:val="center"/>
              <w:rPr>
                <w:rFonts w:ascii="Times New Roman" w:hAnsi="Times New Roman" w:eastAsia="Times New Roman" w:cs="Times New Roman"/>
                <w:b/>
                <w:bCs/>
                <w:color w:val="000000" w:themeColor="text1"/>
                <w:sz w:val="20"/>
                <w:szCs w:val="20"/>
                <w:lang w:eastAsia="pl-PL"/>
                <w14:textFill>
                  <w14:solidFill>
                    <w14:schemeClr w14:val="tx1"/>
                  </w14:solidFill>
                </w14:textFill>
              </w:rPr>
            </w:pPr>
            <w:r>
              <w:rPr>
                <w:rFonts w:ascii="Times New Roman" w:hAnsi="Times New Roman" w:eastAsia="Times New Roman" w:cs="Times New Roman"/>
                <w:color w:val="000000"/>
                <w:sz w:val="20"/>
                <w:szCs w:val="20"/>
                <w:lang w:eastAsia="pl-PL"/>
              </w:rPr>
              <w:t>9,8</w:t>
            </w:r>
          </w:p>
        </w:tc>
      </w:tr>
      <w:tr w14:paraId="22AD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vAlign w:val="center"/>
          </w:tcPr>
          <w:p w14:paraId="6C0EE03E">
            <w:pPr>
              <w:spacing w:after="0" w:line="240" w:lineRule="auto"/>
              <w:rPr>
                <w:rFonts w:ascii="Times New Roman" w:hAnsi="Times New Roman" w:cs="Times New Roman"/>
                <w:sz w:val="20"/>
                <w:szCs w:val="20"/>
              </w:rPr>
            </w:pPr>
            <w:r>
              <w:rPr>
                <w:rFonts w:ascii="Times New Roman" w:hAnsi="Times New Roman" w:eastAsia="Times New Roman" w:cs="Times New Roman"/>
                <w:color w:val="000000"/>
                <w:sz w:val="20"/>
                <w:szCs w:val="20"/>
                <w:lang w:eastAsia="pl-PL"/>
              </w:rPr>
              <w:t>Gmina Tokarnia</w:t>
            </w:r>
          </w:p>
        </w:tc>
        <w:tc>
          <w:tcPr>
            <w:tcW w:w="1770" w:type="dxa"/>
            <w:shd w:val="clear" w:color="auto" w:fill="auto"/>
            <w:vAlign w:val="center"/>
          </w:tcPr>
          <w:p w14:paraId="11BD9DE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587</w:t>
            </w:r>
          </w:p>
        </w:tc>
        <w:tc>
          <w:tcPr>
            <w:tcW w:w="1770" w:type="dxa"/>
            <w:shd w:val="clear" w:color="auto" w:fill="auto"/>
            <w:vAlign w:val="center"/>
          </w:tcPr>
          <w:p w14:paraId="325FE9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746</w:t>
            </w:r>
          </w:p>
        </w:tc>
        <w:tc>
          <w:tcPr>
            <w:tcW w:w="1770" w:type="dxa"/>
            <w:shd w:val="clear" w:color="auto" w:fill="auto"/>
            <w:vAlign w:val="center"/>
          </w:tcPr>
          <w:p w14:paraId="24882F9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6,8</w:t>
            </w:r>
          </w:p>
        </w:tc>
        <w:tc>
          <w:tcPr>
            <w:tcW w:w="1770" w:type="dxa"/>
            <w:shd w:val="clear" w:color="auto" w:fill="auto"/>
            <w:vAlign w:val="center"/>
          </w:tcPr>
          <w:p w14:paraId="17974E9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8,4</w:t>
            </w:r>
          </w:p>
        </w:tc>
      </w:tr>
      <w:tr w14:paraId="5839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noWrap/>
            <w:vAlign w:val="center"/>
          </w:tcPr>
          <w:p w14:paraId="7B70EA32">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1770" w:type="dxa"/>
            <w:shd w:val="clear" w:color="auto" w:fill="auto"/>
            <w:noWrap/>
            <w:vAlign w:val="center"/>
          </w:tcPr>
          <w:p w14:paraId="35D57A0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647</w:t>
            </w:r>
          </w:p>
        </w:tc>
        <w:tc>
          <w:tcPr>
            <w:tcW w:w="1770" w:type="dxa"/>
            <w:shd w:val="clear" w:color="auto" w:fill="auto"/>
            <w:noWrap/>
            <w:vAlign w:val="center"/>
          </w:tcPr>
          <w:p w14:paraId="59B612F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color w:val="000000"/>
                <w:sz w:val="20"/>
                <w:szCs w:val="20"/>
              </w:rPr>
              <w:t>778</w:t>
            </w:r>
          </w:p>
        </w:tc>
        <w:tc>
          <w:tcPr>
            <w:tcW w:w="1770" w:type="dxa"/>
            <w:shd w:val="clear" w:color="auto" w:fill="auto"/>
            <w:noWrap/>
            <w:vAlign w:val="center"/>
          </w:tcPr>
          <w:p w14:paraId="390253B7">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8,9</w:t>
            </w:r>
          </w:p>
        </w:tc>
        <w:tc>
          <w:tcPr>
            <w:tcW w:w="1770" w:type="dxa"/>
            <w:shd w:val="clear" w:color="auto" w:fill="auto"/>
            <w:noWrap/>
            <w:vAlign w:val="center"/>
          </w:tcPr>
          <w:p w14:paraId="29525FF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10,4</w:t>
            </w:r>
          </w:p>
        </w:tc>
      </w:tr>
      <w:tr w14:paraId="5DCE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noWrap/>
            <w:vAlign w:val="center"/>
          </w:tcPr>
          <w:p w14:paraId="50F9AAF0">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1770" w:type="dxa"/>
            <w:shd w:val="clear" w:color="auto" w:fill="auto"/>
            <w:noWrap/>
            <w:vAlign w:val="center"/>
          </w:tcPr>
          <w:p w14:paraId="151F96A0">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9 823</w:t>
            </w:r>
          </w:p>
        </w:tc>
        <w:tc>
          <w:tcPr>
            <w:tcW w:w="1770" w:type="dxa"/>
            <w:shd w:val="clear" w:color="auto" w:fill="auto"/>
            <w:noWrap/>
            <w:vAlign w:val="center"/>
          </w:tcPr>
          <w:p w14:paraId="77E23F0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11 617</w:t>
            </w:r>
          </w:p>
        </w:tc>
        <w:tc>
          <w:tcPr>
            <w:tcW w:w="1770" w:type="dxa"/>
            <w:shd w:val="clear" w:color="auto" w:fill="auto"/>
            <w:noWrap/>
            <w:vAlign w:val="center"/>
          </w:tcPr>
          <w:p w14:paraId="3D98031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9,7</w:t>
            </w:r>
          </w:p>
        </w:tc>
        <w:tc>
          <w:tcPr>
            <w:tcW w:w="1770" w:type="dxa"/>
            <w:shd w:val="clear" w:color="auto" w:fill="auto"/>
            <w:noWrap/>
            <w:vAlign w:val="center"/>
          </w:tcPr>
          <w:p w14:paraId="0BBC9C8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11,1</w:t>
            </w:r>
          </w:p>
        </w:tc>
      </w:tr>
      <w:tr w14:paraId="4789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noWrap/>
            <w:vAlign w:val="center"/>
          </w:tcPr>
          <w:p w14:paraId="1F7A4BB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1770" w:type="dxa"/>
            <w:shd w:val="clear" w:color="auto" w:fill="auto"/>
            <w:noWrap/>
            <w:vAlign w:val="center"/>
          </w:tcPr>
          <w:p w14:paraId="31B7AA1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368 370</w:t>
            </w:r>
          </w:p>
        </w:tc>
        <w:tc>
          <w:tcPr>
            <w:tcW w:w="1770" w:type="dxa"/>
            <w:shd w:val="clear" w:color="auto" w:fill="auto"/>
            <w:noWrap/>
            <w:vAlign w:val="center"/>
          </w:tcPr>
          <w:p w14:paraId="6E05CCF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423 730</w:t>
            </w:r>
          </w:p>
        </w:tc>
        <w:tc>
          <w:tcPr>
            <w:tcW w:w="1770" w:type="dxa"/>
            <w:shd w:val="clear" w:color="auto" w:fill="auto"/>
            <w:noWrap/>
            <w:vAlign w:val="center"/>
          </w:tcPr>
          <w:p w14:paraId="6F94DC9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10,9</w:t>
            </w:r>
          </w:p>
        </w:tc>
        <w:tc>
          <w:tcPr>
            <w:tcW w:w="1770" w:type="dxa"/>
            <w:shd w:val="clear" w:color="auto" w:fill="auto"/>
            <w:noWrap/>
            <w:vAlign w:val="center"/>
          </w:tcPr>
          <w:p w14:paraId="3CDEB9C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13,0</w:t>
            </w:r>
          </w:p>
        </w:tc>
      </w:tr>
      <w:tr w14:paraId="6902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40" w:hRule="atLeast"/>
        </w:trPr>
        <w:tc>
          <w:tcPr>
            <w:tcW w:w="3114" w:type="dxa"/>
            <w:shd w:val="clear" w:color="auto" w:fill="auto"/>
            <w:noWrap/>
            <w:vAlign w:val="center"/>
          </w:tcPr>
          <w:p w14:paraId="760BCCD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1770" w:type="dxa"/>
            <w:shd w:val="clear" w:color="auto" w:fill="auto"/>
            <w:noWrap/>
            <w:vAlign w:val="center"/>
          </w:tcPr>
          <w:p w14:paraId="3DBEA2F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4 203 948</w:t>
            </w:r>
          </w:p>
        </w:tc>
        <w:tc>
          <w:tcPr>
            <w:tcW w:w="1770" w:type="dxa"/>
            <w:shd w:val="clear" w:color="auto" w:fill="auto"/>
            <w:noWrap/>
            <w:vAlign w:val="center"/>
          </w:tcPr>
          <w:p w14:paraId="557F64A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4 631 699</w:t>
            </w:r>
          </w:p>
        </w:tc>
        <w:tc>
          <w:tcPr>
            <w:tcW w:w="1770" w:type="dxa"/>
            <w:shd w:val="clear" w:color="auto" w:fill="auto"/>
            <w:noWrap/>
            <w:vAlign w:val="center"/>
          </w:tcPr>
          <w:p w14:paraId="134542F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10,9</w:t>
            </w:r>
          </w:p>
        </w:tc>
        <w:tc>
          <w:tcPr>
            <w:tcW w:w="1770" w:type="dxa"/>
            <w:shd w:val="clear" w:color="auto" w:fill="auto"/>
            <w:noWrap/>
            <w:vAlign w:val="center"/>
          </w:tcPr>
          <w:p w14:paraId="6326F7F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12,6</w:t>
            </w:r>
          </w:p>
        </w:tc>
      </w:tr>
    </w:tbl>
    <w:p w14:paraId="41A46036">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5EA2C7A5">
      <w:pPr>
        <w:spacing w:after="0" w:line="276" w:lineRule="auto"/>
        <w:ind w:firstLine="709"/>
        <w:jc w:val="both"/>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rPr>
        <w:t xml:space="preserve">Udział przedsiębiorstw zatrudniających mniej niż 50 pracowników w liczbie mieszkańców ogółem </w:t>
      </w:r>
      <w:r>
        <w:rPr>
          <w:rFonts w:ascii="Times New Roman" w:hAnsi="Times New Roman" w:eastAsia="Calibri" w:cs="Times New Roman"/>
          <w:color w:val="000000"/>
        </w:rPr>
        <w:br w:type="textWrapping"/>
      </w:r>
      <w:r>
        <w:rPr>
          <w:rFonts w:ascii="Times New Roman" w:hAnsi="Times New Roman" w:eastAsia="Calibri" w:cs="Times New Roman"/>
          <w:color w:val="000000"/>
        </w:rPr>
        <w:t xml:space="preserve">w analizowanych latach był na obszarze LGD niższy niż średnia dla kraju oraz średnia dla województwa małopolskiego, ale odnotował trend rosnący, natomiast tendencja ta dotyczyła także średniej dla województwa </w:t>
      </w:r>
      <w:r>
        <w:rPr>
          <w:rFonts w:ascii="Times New Roman" w:hAnsi="Times New Roman" w:eastAsia="Calibri" w:cs="Times New Roman"/>
          <w:color w:val="000000"/>
        </w:rPr>
        <w:br w:type="textWrapping"/>
      </w:r>
      <w:r>
        <w:rPr>
          <w:rFonts w:ascii="Times New Roman" w:hAnsi="Times New Roman" w:eastAsia="Calibri" w:cs="Times New Roman"/>
          <w:color w:val="000000"/>
        </w:rPr>
        <w:t>i kraju. W badaniu ankietowym przeprowadzonym na etapie planistycznym na pytanie: „Jakie powinny być kierunki/obszary rozwoju LGD?” (możliwość zaznaczenia 3 odpowiedzi) – 63% ankietowanych wskazało odpowiedź: „wspieranie rozwoju przedsiębiorczoś</w:t>
      </w:r>
      <w:r>
        <w:rPr>
          <w:rFonts w:ascii="Times New Roman" w:hAnsi="Times New Roman" w:eastAsia="Calibri" w:cs="Times New Roman"/>
          <w:color w:val="000000" w:themeColor="text1"/>
          <w14:textFill>
            <w14:solidFill>
              <w14:schemeClr w14:val="tx1"/>
            </w14:solidFill>
          </w14:textFill>
        </w:rPr>
        <w:t>ci mieszkańców”. Istotne będzie stworzenie odpowiednich warunków do rozwoju dla lokalnych przedsiębiorstw, w tym drobnego przemysłu. Szansą dla małych przedsiębiorstw jest pozyskanie zewnętrznych środków na rozwój, co umożliwi inwestycje w rozwiązania m.in. innowacyjne, które wpłyną na jakość świadczonych usług i wzrost konkurencyjności. Konieczne jest wspieranie liderów i inicjatyw oddolnych, które wpłyną na wzrost poczucia przynależności do regionu i wpłyną na odczucia mieszkańców, którzy zrozumieją jak ważny jest ich udział w rozwoju obszaru. Istotność inwestowania w wymienione branże uwidoczniła się również w wynikach badania ankietowego.</w:t>
      </w:r>
    </w:p>
    <w:p w14:paraId="13DF36A0">
      <w:pPr>
        <w:pStyle w:val="28"/>
        <w:spacing w:before="240" w:line="360" w:lineRule="auto"/>
        <w:ind w:left="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Przy obliczeniu wskaźnika </w:t>
      </w:r>
      <w:r>
        <w:rPr>
          <w:rFonts w:ascii="Times New Roman" w:hAnsi="Times New Roman" w:cs="Times New Roman"/>
          <w:b/>
          <w:bCs/>
          <w:i/>
          <w:iCs/>
          <w:color w:val="000000" w:themeColor="text1"/>
          <w14:textFill>
            <w14:solidFill>
              <w14:schemeClr w14:val="tx1"/>
            </w14:solidFill>
          </w14:textFill>
        </w:rPr>
        <w:t>udział przedsiębiorstw zatrudniających mniej niż 50 pracowników na obszarze LSR w liczbie mieszkańców LSR, według stanu na koniec 2020 r.</w:t>
      </w:r>
      <w:r>
        <w:rPr>
          <w:rFonts w:ascii="Times New Roman" w:hAnsi="Times New Roman" w:cs="Times New Roman"/>
          <w:b/>
          <w:bCs/>
          <w:color w:val="000000" w:themeColor="text1"/>
          <w14:textFill>
            <w14:solidFill>
              <w14:schemeClr w14:val="tx1"/>
            </w14:solidFill>
          </w14:textFill>
        </w:rPr>
        <w:t xml:space="preserve"> ze wzoru:</w:t>
      </w:r>
      <w:r>
        <w:rPr>
          <w:rFonts w:ascii="Times New Roman" w:hAnsi="Times New Roman" w:cs="Times New Roman"/>
          <w:b/>
          <w:bCs/>
          <w:color w:val="000000" w:themeColor="text1"/>
          <w14:textFill>
            <w14:solidFill>
              <w14:schemeClr w14:val="tx1"/>
            </w14:solidFill>
          </w14:textFill>
        </w:rPr>
        <w:br w:type="textWrapping"/>
      </w:r>
      <m:oMath>
        <m:r>
          <m:rPr>
            <m:sty m:val="bi"/>
          </m:rPr>
          <w:rPr>
            <w:rFonts w:ascii="Cambria Math" w:hAnsi="Cambria Math" w:cs="Times New Roman"/>
            <w:color w:val="000000" w:themeColor="text1"/>
            <w14:textFill>
              <w14:solidFill>
                <w14:schemeClr w14:val="tx1"/>
              </w14:solidFill>
            </w14:textFill>
          </w:rPr>
          <m:t xml:space="preserve"> </m:t>
        </m:r>
        <m:f>
          <m:fPr>
            <m:ctrlPr>
              <w:rPr>
                <w:rFonts w:ascii="Cambria Math" w:hAnsi="Cambria Math" w:cs="Times New Roman"/>
                <w:b/>
                <w:bCs/>
                <w:i/>
                <w:color w:val="000000" w:themeColor="text1"/>
                <w14:textFill>
                  <w14:solidFill>
                    <w14:schemeClr w14:val="tx1"/>
                  </w14:solidFill>
                </w14:textFill>
              </w:rPr>
            </m:ctrlPr>
          </m:fPr>
          <m:num>
            <m:r>
              <m:rPr>
                <m:sty m:val="bi"/>
              </m:rPr>
              <w:rPr>
                <w:rFonts w:ascii="Cambria Math" w:hAnsi="Cambria Math" w:cs="Times New Roman"/>
                <w:color w:val="000000" w:themeColor="text1"/>
                <w14:textFill>
                  <w14:solidFill>
                    <w14:schemeClr w14:val="tx1"/>
                  </w14:solidFill>
                </w14:textFill>
              </w:rPr>
              <m:t>0,25 x liczba mieszkańców</m:t>
            </m:r>
            <m:ctrlPr>
              <w:rPr>
                <w:rFonts w:ascii="Cambria Math" w:hAnsi="Cambria Math" w:cs="Times New Roman"/>
                <w:b/>
                <w:bCs/>
                <w:i/>
                <w:color w:val="000000" w:themeColor="text1"/>
                <w14:textFill>
                  <w14:solidFill>
                    <w14:schemeClr w14:val="tx1"/>
                  </w14:solidFill>
                </w14:textFill>
              </w:rPr>
            </m:ctrlPr>
          </m:num>
          <m:den>
            <m:r>
              <m:rPr>
                <m:sty m:val="bi"/>
              </m:rPr>
              <w:rPr>
                <w:rFonts w:ascii="Cambria Math" w:hAnsi="Cambria Math" w:cs="Times New Roman"/>
                <w:color w:val="000000" w:themeColor="text1"/>
                <w14:textFill>
                  <w14:solidFill>
                    <w14:schemeClr w14:val="tx1"/>
                  </w14:solidFill>
                </w14:textFill>
              </w:rPr>
              <m:t>liczba przedsiębiorstw poniżej 50 pracowników</m:t>
            </m:r>
            <m:ctrlPr>
              <w:rPr>
                <w:rFonts w:ascii="Cambria Math" w:hAnsi="Cambria Math" w:cs="Times New Roman"/>
                <w:b/>
                <w:bCs/>
                <w:i/>
                <w:color w:val="000000" w:themeColor="text1"/>
                <w14:textFill>
                  <w14:solidFill>
                    <w14:schemeClr w14:val="tx1"/>
                  </w14:solidFill>
                </w14:textFill>
              </w:rPr>
            </m:ctrlPr>
          </m:den>
        </m:f>
      </m:oMath>
      <w:r>
        <w:rPr>
          <w:rFonts w:ascii="Times New Roman" w:hAnsi="Times New Roman" w:cs="Times New Roman" w:eastAsiaTheme="minorEastAsia"/>
          <w:b/>
          <w:bCs/>
          <w:color w:val="000000" w:themeColor="text1"/>
          <w14:textFill>
            <w14:solidFill>
              <w14:schemeClr w14:val="tx1"/>
            </w14:solidFill>
          </w14:textFill>
        </w:rPr>
        <w:t xml:space="preserve"> obszar LGD osiąga wartość 2,24.</w:t>
      </w:r>
    </w:p>
    <w:p w14:paraId="49511E93">
      <w:pPr>
        <w:spacing w:before="240" w:line="276" w:lineRule="auto"/>
        <w:ind w:firstLine="709"/>
        <w:jc w:val="both"/>
        <w:rPr>
          <w:rFonts w:ascii="Times New Roman" w:hAnsi="Times New Roman" w:cs="Times New Roman"/>
          <w:color w:val="000000"/>
        </w:rPr>
      </w:pPr>
      <w:bookmarkStart w:id="66" w:name="_Toc112152407"/>
      <w:r>
        <w:rPr>
          <w:rFonts w:ascii="Times New Roman" w:hAnsi="Times New Roman" w:cs="Times New Roman"/>
          <w:color w:val="000000"/>
        </w:rPr>
        <w:t>W tabeli 7 przedstawiono udział podmiotów gospodarczych według grup rodzajów działalności (PKD 2007) w 2021 r. w poszczególnych gminach LGD, średnio na obszarze, w województwie i kraju. Średni udział grupy „rolnictwo, leśnictwo, łowiectwo i rybactwo” jest dla obszaru LGD identyczny jak średnia dla województwa oraz niższy niż średnia dla kraju. Wśród gmin obszaru, pod tym względem, najbardziej wyróżnia się Gmina Raciechowice – 2,3% – jest to wartość znacznie wyższa niż średnia w województwie (0,9%) oraz wyższa niż średnia dla kraju (1,5%).</w:t>
      </w:r>
    </w:p>
    <w:p w14:paraId="19A2D4D8">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67" w:name="_Toc134966356"/>
      <w:bookmarkStart w:id="68" w:name="_Toc136241395"/>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7</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Udział podmiotów gospodarczych według grup rodzajów działalności (PKD 2007) w poszczególnych gminach LGD, średnio na obszarze, w województwie i kraju w 2021 r.</w:t>
      </w:r>
      <w:bookmarkEnd w:id="66"/>
      <w:bookmarkEnd w:id="67"/>
      <w:bookmarkEnd w:id="68"/>
    </w:p>
    <w:tbl>
      <w:tblPr>
        <w:tblStyle w:val="6"/>
        <w:tblW w:w="5000" w:type="pct"/>
        <w:tblInd w:w="0" w:type="dxa"/>
        <w:tblLayout w:type="autofit"/>
        <w:tblCellMar>
          <w:top w:w="0" w:type="dxa"/>
          <w:left w:w="70" w:type="dxa"/>
          <w:bottom w:w="0" w:type="dxa"/>
          <w:right w:w="70" w:type="dxa"/>
        </w:tblCellMar>
      </w:tblPr>
      <w:tblGrid>
        <w:gridCol w:w="3184"/>
        <w:gridCol w:w="1305"/>
        <w:gridCol w:w="1618"/>
        <w:gridCol w:w="1310"/>
        <w:gridCol w:w="1620"/>
        <w:gridCol w:w="1307"/>
      </w:tblGrid>
      <w:tr w14:paraId="65BAA2AA">
        <w:tblPrEx>
          <w:tblCellMar>
            <w:top w:w="0" w:type="dxa"/>
            <w:left w:w="70" w:type="dxa"/>
            <w:bottom w:w="0" w:type="dxa"/>
            <w:right w:w="70" w:type="dxa"/>
          </w:tblCellMar>
        </w:tblPrEx>
        <w:trPr>
          <w:trHeight w:val="340" w:hRule="atLeast"/>
        </w:trPr>
        <w:tc>
          <w:tcPr>
            <w:tcW w:w="1539" w:type="pct"/>
            <w:tcBorders>
              <w:top w:val="single" w:color="auto" w:sz="4" w:space="0"/>
              <w:left w:val="single" w:color="auto" w:sz="4" w:space="0"/>
              <w:bottom w:val="single" w:color="auto" w:sz="4" w:space="0"/>
              <w:right w:val="single" w:color="auto" w:sz="4" w:space="0"/>
            </w:tcBorders>
            <w:shd w:val="clear" w:color="auto" w:fill="auto"/>
            <w:vAlign w:val="center"/>
          </w:tcPr>
          <w:p w14:paraId="460E0AC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631" w:type="pct"/>
            <w:tcBorders>
              <w:top w:val="single" w:color="auto" w:sz="4" w:space="0"/>
              <w:left w:val="nil"/>
              <w:bottom w:val="single" w:color="auto" w:sz="4" w:space="0"/>
              <w:right w:val="single" w:color="auto" w:sz="4" w:space="0"/>
            </w:tcBorders>
            <w:shd w:val="clear" w:color="auto" w:fill="auto"/>
            <w:vAlign w:val="center"/>
          </w:tcPr>
          <w:p w14:paraId="23C0ED5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Rolnictwo, leśnictwo, łowiectwo i rybactwo</w:t>
            </w:r>
          </w:p>
        </w:tc>
        <w:tc>
          <w:tcPr>
            <w:tcW w:w="782" w:type="pct"/>
            <w:tcBorders>
              <w:top w:val="single" w:color="auto" w:sz="4" w:space="0"/>
              <w:left w:val="nil"/>
              <w:bottom w:val="single" w:color="auto" w:sz="4" w:space="0"/>
              <w:right w:val="single" w:color="auto" w:sz="4" w:space="0"/>
            </w:tcBorders>
            <w:shd w:val="clear" w:color="auto" w:fill="auto"/>
            <w:vAlign w:val="center"/>
          </w:tcPr>
          <w:p w14:paraId="3B5E8D3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Przemysł i budownictwo</w:t>
            </w:r>
          </w:p>
        </w:tc>
        <w:tc>
          <w:tcPr>
            <w:tcW w:w="633" w:type="pct"/>
            <w:tcBorders>
              <w:top w:val="single" w:color="auto" w:sz="4" w:space="0"/>
              <w:left w:val="nil"/>
              <w:bottom w:val="single" w:color="auto" w:sz="4" w:space="0"/>
              <w:right w:val="single" w:color="auto" w:sz="4" w:space="0"/>
            </w:tcBorders>
            <w:shd w:val="clear" w:color="auto" w:fill="auto"/>
            <w:vAlign w:val="center"/>
          </w:tcPr>
          <w:p w14:paraId="355BF93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Handel hurtowy i detaliczny</w:t>
            </w:r>
          </w:p>
        </w:tc>
        <w:tc>
          <w:tcPr>
            <w:tcW w:w="783" w:type="pct"/>
            <w:tcBorders>
              <w:top w:val="single" w:color="auto" w:sz="4" w:space="0"/>
              <w:left w:val="nil"/>
              <w:bottom w:val="single" w:color="auto" w:sz="4" w:space="0"/>
              <w:right w:val="single" w:color="auto" w:sz="4" w:space="0"/>
            </w:tcBorders>
            <w:shd w:val="clear" w:color="auto" w:fill="auto"/>
            <w:vAlign w:val="center"/>
          </w:tcPr>
          <w:p w14:paraId="2475112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Zakwaterowanie i usługi gastronomiczne</w:t>
            </w:r>
          </w:p>
        </w:tc>
        <w:tc>
          <w:tcPr>
            <w:tcW w:w="632" w:type="pct"/>
            <w:tcBorders>
              <w:top w:val="single" w:color="auto" w:sz="4" w:space="0"/>
              <w:left w:val="nil"/>
              <w:bottom w:val="single" w:color="auto" w:sz="4" w:space="0"/>
              <w:right w:val="single" w:color="auto" w:sz="4" w:space="0"/>
            </w:tcBorders>
            <w:shd w:val="clear" w:color="auto" w:fill="auto"/>
            <w:vAlign w:val="center"/>
          </w:tcPr>
          <w:p w14:paraId="3A1F819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Pozostała działalność</w:t>
            </w:r>
          </w:p>
        </w:tc>
      </w:tr>
      <w:tr w14:paraId="79741687">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43FF51C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631" w:type="pct"/>
            <w:tcBorders>
              <w:top w:val="nil"/>
              <w:left w:val="nil"/>
              <w:bottom w:val="single" w:color="auto" w:sz="4" w:space="0"/>
              <w:right w:val="single" w:color="auto" w:sz="4" w:space="0"/>
            </w:tcBorders>
            <w:shd w:val="clear" w:color="auto" w:fill="auto"/>
            <w:noWrap/>
            <w:vAlign w:val="center"/>
          </w:tcPr>
          <w:p w14:paraId="34F179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w:t>
            </w:r>
          </w:p>
        </w:tc>
        <w:tc>
          <w:tcPr>
            <w:tcW w:w="782" w:type="pct"/>
            <w:tcBorders>
              <w:top w:val="nil"/>
              <w:left w:val="nil"/>
              <w:bottom w:val="single" w:color="auto" w:sz="4" w:space="0"/>
              <w:right w:val="single" w:color="auto" w:sz="4" w:space="0"/>
            </w:tcBorders>
            <w:shd w:val="clear" w:color="auto" w:fill="auto"/>
            <w:noWrap/>
            <w:vAlign w:val="center"/>
          </w:tcPr>
          <w:p w14:paraId="2EDA183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43,8</w:t>
            </w:r>
          </w:p>
        </w:tc>
        <w:tc>
          <w:tcPr>
            <w:tcW w:w="633" w:type="pct"/>
            <w:tcBorders>
              <w:top w:val="nil"/>
              <w:left w:val="nil"/>
              <w:bottom w:val="single" w:color="auto" w:sz="4" w:space="0"/>
              <w:right w:val="single" w:color="auto" w:sz="4" w:space="0"/>
            </w:tcBorders>
            <w:shd w:val="clear" w:color="auto" w:fill="auto"/>
            <w:noWrap/>
            <w:vAlign w:val="center"/>
          </w:tcPr>
          <w:p w14:paraId="7FDEF98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16,9</w:t>
            </w:r>
          </w:p>
        </w:tc>
        <w:tc>
          <w:tcPr>
            <w:tcW w:w="783" w:type="pct"/>
            <w:tcBorders>
              <w:top w:val="nil"/>
              <w:left w:val="nil"/>
              <w:bottom w:val="single" w:color="auto" w:sz="4" w:space="0"/>
              <w:right w:val="single" w:color="auto" w:sz="4" w:space="0"/>
            </w:tcBorders>
            <w:shd w:val="clear" w:color="auto" w:fill="auto"/>
            <w:noWrap/>
            <w:vAlign w:val="center"/>
          </w:tcPr>
          <w:p w14:paraId="28176ED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3,4</w:t>
            </w:r>
          </w:p>
        </w:tc>
        <w:tc>
          <w:tcPr>
            <w:tcW w:w="632" w:type="pct"/>
            <w:tcBorders>
              <w:top w:val="nil"/>
              <w:left w:val="nil"/>
              <w:bottom w:val="single" w:color="auto" w:sz="4" w:space="0"/>
              <w:right w:val="single" w:color="auto" w:sz="4" w:space="0"/>
            </w:tcBorders>
            <w:shd w:val="clear" w:color="auto" w:fill="auto"/>
            <w:noWrap/>
            <w:vAlign w:val="center"/>
          </w:tcPr>
          <w:p w14:paraId="2603C39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34,7</w:t>
            </w:r>
          </w:p>
        </w:tc>
      </w:tr>
      <w:tr w14:paraId="527E6646">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7591379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631" w:type="pct"/>
            <w:tcBorders>
              <w:top w:val="nil"/>
              <w:left w:val="nil"/>
              <w:bottom w:val="single" w:color="auto" w:sz="4" w:space="0"/>
              <w:right w:val="single" w:color="auto" w:sz="4" w:space="0"/>
            </w:tcBorders>
            <w:shd w:val="clear" w:color="auto" w:fill="auto"/>
            <w:noWrap/>
            <w:vAlign w:val="center"/>
          </w:tcPr>
          <w:p w14:paraId="5F0EBA7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0,7</w:t>
            </w:r>
          </w:p>
        </w:tc>
        <w:tc>
          <w:tcPr>
            <w:tcW w:w="782" w:type="pct"/>
            <w:tcBorders>
              <w:top w:val="nil"/>
              <w:left w:val="nil"/>
              <w:bottom w:val="single" w:color="auto" w:sz="4" w:space="0"/>
              <w:right w:val="single" w:color="auto" w:sz="4" w:space="0"/>
            </w:tcBorders>
            <w:shd w:val="clear" w:color="auto" w:fill="auto"/>
            <w:noWrap/>
            <w:vAlign w:val="center"/>
          </w:tcPr>
          <w:p w14:paraId="5314C8B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29,4</w:t>
            </w:r>
          </w:p>
        </w:tc>
        <w:tc>
          <w:tcPr>
            <w:tcW w:w="633" w:type="pct"/>
            <w:tcBorders>
              <w:top w:val="nil"/>
              <w:left w:val="nil"/>
              <w:bottom w:val="single" w:color="auto" w:sz="4" w:space="0"/>
              <w:right w:val="single" w:color="auto" w:sz="4" w:space="0"/>
            </w:tcBorders>
            <w:shd w:val="clear" w:color="auto" w:fill="auto"/>
            <w:noWrap/>
            <w:vAlign w:val="center"/>
          </w:tcPr>
          <w:p w14:paraId="5F63F72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22,6</w:t>
            </w:r>
          </w:p>
        </w:tc>
        <w:tc>
          <w:tcPr>
            <w:tcW w:w="783" w:type="pct"/>
            <w:tcBorders>
              <w:top w:val="nil"/>
              <w:left w:val="nil"/>
              <w:bottom w:val="single" w:color="auto" w:sz="4" w:space="0"/>
              <w:right w:val="single" w:color="auto" w:sz="4" w:space="0"/>
            </w:tcBorders>
            <w:shd w:val="clear" w:color="auto" w:fill="auto"/>
            <w:noWrap/>
            <w:vAlign w:val="center"/>
          </w:tcPr>
          <w:p w14:paraId="190C9C1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3,7</w:t>
            </w:r>
          </w:p>
        </w:tc>
        <w:tc>
          <w:tcPr>
            <w:tcW w:w="632" w:type="pct"/>
            <w:tcBorders>
              <w:top w:val="nil"/>
              <w:left w:val="nil"/>
              <w:bottom w:val="single" w:color="auto" w:sz="4" w:space="0"/>
              <w:right w:val="single" w:color="auto" w:sz="4" w:space="0"/>
            </w:tcBorders>
            <w:shd w:val="clear" w:color="auto" w:fill="auto"/>
            <w:noWrap/>
            <w:vAlign w:val="center"/>
          </w:tcPr>
          <w:p w14:paraId="13CD9FF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43,6</w:t>
            </w:r>
          </w:p>
        </w:tc>
      </w:tr>
      <w:tr w14:paraId="3F3CE135">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56267753">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631" w:type="pct"/>
            <w:tcBorders>
              <w:top w:val="nil"/>
              <w:left w:val="nil"/>
              <w:bottom w:val="single" w:color="auto" w:sz="4" w:space="0"/>
              <w:right w:val="single" w:color="auto" w:sz="4" w:space="0"/>
            </w:tcBorders>
            <w:shd w:val="clear" w:color="auto" w:fill="auto"/>
            <w:noWrap/>
            <w:vAlign w:val="center"/>
          </w:tcPr>
          <w:p w14:paraId="1CBC9A9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0,6</w:t>
            </w:r>
          </w:p>
        </w:tc>
        <w:tc>
          <w:tcPr>
            <w:tcW w:w="782" w:type="pct"/>
            <w:tcBorders>
              <w:top w:val="nil"/>
              <w:left w:val="nil"/>
              <w:bottom w:val="single" w:color="auto" w:sz="4" w:space="0"/>
              <w:right w:val="single" w:color="auto" w:sz="4" w:space="0"/>
            </w:tcBorders>
            <w:shd w:val="clear" w:color="auto" w:fill="auto"/>
            <w:noWrap/>
            <w:vAlign w:val="center"/>
          </w:tcPr>
          <w:p w14:paraId="0A82B0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46,1</w:t>
            </w:r>
          </w:p>
        </w:tc>
        <w:tc>
          <w:tcPr>
            <w:tcW w:w="633" w:type="pct"/>
            <w:tcBorders>
              <w:top w:val="nil"/>
              <w:left w:val="nil"/>
              <w:bottom w:val="single" w:color="auto" w:sz="4" w:space="0"/>
              <w:right w:val="single" w:color="auto" w:sz="4" w:space="0"/>
            </w:tcBorders>
            <w:shd w:val="clear" w:color="auto" w:fill="auto"/>
            <w:noWrap/>
            <w:vAlign w:val="center"/>
          </w:tcPr>
          <w:p w14:paraId="52C19ED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22,3</w:t>
            </w:r>
          </w:p>
        </w:tc>
        <w:tc>
          <w:tcPr>
            <w:tcW w:w="783" w:type="pct"/>
            <w:tcBorders>
              <w:top w:val="nil"/>
              <w:left w:val="nil"/>
              <w:bottom w:val="single" w:color="auto" w:sz="4" w:space="0"/>
              <w:right w:val="single" w:color="auto" w:sz="4" w:space="0"/>
            </w:tcBorders>
            <w:shd w:val="clear" w:color="auto" w:fill="auto"/>
            <w:noWrap/>
            <w:vAlign w:val="center"/>
          </w:tcPr>
          <w:p w14:paraId="68F67EF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w:t>
            </w:r>
          </w:p>
        </w:tc>
        <w:tc>
          <w:tcPr>
            <w:tcW w:w="632" w:type="pct"/>
            <w:tcBorders>
              <w:top w:val="nil"/>
              <w:left w:val="nil"/>
              <w:bottom w:val="single" w:color="auto" w:sz="4" w:space="0"/>
              <w:right w:val="single" w:color="auto" w:sz="4" w:space="0"/>
            </w:tcBorders>
            <w:shd w:val="clear" w:color="auto" w:fill="auto"/>
            <w:noWrap/>
            <w:vAlign w:val="center"/>
          </w:tcPr>
          <w:p w14:paraId="53715E5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28,8</w:t>
            </w:r>
          </w:p>
        </w:tc>
      </w:tr>
      <w:tr w14:paraId="3D58F916">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1D98918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631" w:type="pct"/>
            <w:tcBorders>
              <w:top w:val="nil"/>
              <w:left w:val="nil"/>
              <w:bottom w:val="single" w:color="auto" w:sz="4" w:space="0"/>
              <w:right w:val="single" w:color="auto" w:sz="4" w:space="0"/>
            </w:tcBorders>
            <w:shd w:val="clear" w:color="auto" w:fill="auto"/>
            <w:noWrap/>
            <w:vAlign w:val="center"/>
          </w:tcPr>
          <w:p w14:paraId="0114021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2,3</w:t>
            </w:r>
          </w:p>
        </w:tc>
        <w:tc>
          <w:tcPr>
            <w:tcW w:w="782" w:type="pct"/>
            <w:tcBorders>
              <w:top w:val="nil"/>
              <w:left w:val="nil"/>
              <w:bottom w:val="single" w:color="auto" w:sz="4" w:space="0"/>
              <w:right w:val="single" w:color="auto" w:sz="4" w:space="0"/>
            </w:tcBorders>
            <w:shd w:val="clear" w:color="auto" w:fill="auto"/>
            <w:noWrap/>
            <w:vAlign w:val="center"/>
          </w:tcPr>
          <w:p w14:paraId="77A13DF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43,1</w:t>
            </w:r>
          </w:p>
        </w:tc>
        <w:tc>
          <w:tcPr>
            <w:tcW w:w="633" w:type="pct"/>
            <w:tcBorders>
              <w:top w:val="nil"/>
              <w:left w:val="nil"/>
              <w:bottom w:val="single" w:color="auto" w:sz="4" w:space="0"/>
              <w:right w:val="single" w:color="auto" w:sz="4" w:space="0"/>
            </w:tcBorders>
            <w:shd w:val="clear" w:color="auto" w:fill="auto"/>
            <w:noWrap/>
            <w:vAlign w:val="center"/>
          </w:tcPr>
          <w:p w14:paraId="7FD21D9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17,9</w:t>
            </w:r>
          </w:p>
        </w:tc>
        <w:tc>
          <w:tcPr>
            <w:tcW w:w="783" w:type="pct"/>
            <w:tcBorders>
              <w:top w:val="nil"/>
              <w:left w:val="nil"/>
              <w:bottom w:val="single" w:color="auto" w:sz="4" w:space="0"/>
              <w:right w:val="single" w:color="auto" w:sz="4" w:space="0"/>
            </w:tcBorders>
            <w:shd w:val="clear" w:color="auto" w:fill="auto"/>
            <w:noWrap/>
            <w:vAlign w:val="center"/>
          </w:tcPr>
          <w:p w14:paraId="3AC71E5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w:t>
            </w:r>
          </w:p>
        </w:tc>
        <w:tc>
          <w:tcPr>
            <w:tcW w:w="632" w:type="pct"/>
            <w:tcBorders>
              <w:top w:val="nil"/>
              <w:left w:val="nil"/>
              <w:bottom w:val="single" w:color="auto" w:sz="4" w:space="0"/>
              <w:right w:val="single" w:color="auto" w:sz="4" w:space="0"/>
            </w:tcBorders>
            <w:shd w:val="clear" w:color="auto" w:fill="auto"/>
            <w:noWrap/>
            <w:vAlign w:val="center"/>
          </w:tcPr>
          <w:p w14:paraId="03E32D9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35,3</w:t>
            </w:r>
          </w:p>
        </w:tc>
      </w:tr>
      <w:tr w14:paraId="7967D9D6">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195884C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631" w:type="pct"/>
            <w:tcBorders>
              <w:top w:val="nil"/>
              <w:left w:val="nil"/>
              <w:bottom w:val="single" w:color="auto" w:sz="4" w:space="0"/>
              <w:right w:val="single" w:color="auto" w:sz="4" w:space="0"/>
            </w:tcBorders>
            <w:shd w:val="clear" w:color="auto" w:fill="auto"/>
            <w:noWrap/>
            <w:vAlign w:val="center"/>
          </w:tcPr>
          <w:p w14:paraId="73EB951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0,8</w:t>
            </w:r>
          </w:p>
        </w:tc>
        <w:tc>
          <w:tcPr>
            <w:tcW w:w="782" w:type="pct"/>
            <w:tcBorders>
              <w:top w:val="nil"/>
              <w:left w:val="nil"/>
              <w:bottom w:val="single" w:color="auto" w:sz="4" w:space="0"/>
              <w:right w:val="single" w:color="auto" w:sz="4" w:space="0"/>
            </w:tcBorders>
            <w:shd w:val="clear" w:color="auto" w:fill="auto"/>
            <w:noWrap/>
            <w:vAlign w:val="center"/>
          </w:tcPr>
          <w:p w14:paraId="2FC2C34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41,1</w:t>
            </w:r>
          </w:p>
        </w:tc>
        <w:tc>
          <w:tcPr>
            <w:tcW w:w="633" w:type="pct"/>
            <w:tcBorders>
              <w:top w:val="nil"/>
              <w:left w:val="nil"/>
              <w:bottom w:val="single" w:color="auto" w:sz="4" w:space="0"/>
              <w:right w:val="single" w:color="auto" w:sz="4" w:space="0"/>
            </w:tcBorders>
            <w:shd w:val="clear" w:color="auto" w:fill="auto"/>
            <w:noWrap/>
            <w:vAlign w:val="center"/>
          </w:tcPr>
          <w:p w14:paraId="5DC98E3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22,3</w:t>
            </w:r>
          </w:p>
        </w:tc>
        <w:tc>
          <w:tcPr>
            <w:tcW w:w="783" w:type="pct"/>
            <w:tcBorders>
              <w:top w:val="nil"/>
              <w:left w:val="nil"/>
              <w:bottom w:val="single" w:color="auto" w:sz="4" w:space="0"/>
              <w:right w:val="single" w:color="auto" w:sz="4" w:space="0"/>
            </w:tcBorders>
            <w:shd w:val="clear" w:color="auto" w:fill="auto"/>
            <w:noWrap/>
            <w:vAlign w:val="center"/>
          </w:tcPr>
          <w:p w14:paraId="1861F2F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w:t>
            </w:r>
          </w:p>
        </w:tc>
        <w:tc>
          <w:tcPr>
            <w:tcW w:w="632" w:type="pct"/>
            <w:tcBorders>
              <w:top w:val="nil"/>
              <w:left w:val="nil"/>
              <w:bottom w:val="single" w:color="auto" w:sz="4" w:space="0"/>
              <w:right w:val="single" w:color="auto" w:sz="4" w:space="0"/>
            </w:tcBorders>
            <w:shd w:val="clear" w:color="auto" w:fill="auto"/>
            <w:noWrap/>
            <w:vAlign w:val="center"/>
          </w:tcPr>
          <w:p w14:paraId="00B34B9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33,9</w:t>
            </w:r>
          </w:p>
        </w:tc>
      </w:tr>
      <w:tr w14:paraId="4BEFA184">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201CDBD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631" w:type="pct"/>
            <w:tcBorders>
              <w:top w:val="nil"/>
              <w:left w:val="nil"/>
              <w:bottom w:val="single" w:color="auto" w:sz="4" w:space="0"/>
              <w:right w:val="single" w:color="auto" w:sz="4" w:space="0"/>
            </w:tcBorders>
            <w:shd w:val="clear" w:color="auto" w:fill="auto"/>
            <w:noWrap/>
            <w:vAlign w:val="center"/>
          </w:tcPr>
          <w:p w14:paraId="0E2B425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w:t>
            </w:r>
          </w:p>
        </w:tc>
        <w:tc>
          <w:tcPr>
            <w:tcW w:w="782" w:type="pct"/>
            <w:tcBorders>
              <w:top w:val="nil"/>
              <w:left w:val="nil"/>
              <w:bottom w:val="single" w:color="auto" w:sz="4" w:space="0"/>
              <w:right w:val="single" w:color="auto" w:sz="4" w:space="0"/>
            </w:tcBorders>
            <w:shd w:val="clear" w:color="auto" w:fill="auto"/>
            <w:noWrap/>
            <w:vAlign w:val="center"/>
          </w:tcPr>
          <w:p w14:paraId="2C9CDF0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49,2</w:t>
            </w:r>
          </w:p>
        </w:tc>
        <w:tc>
          <w:tcPr>
            <w:tcW w:w="633" w:type="pct"/>
            <w:tcBorders>
              <w:top w:val="nil"/>
              <w:left w:val="nil"/>
              <w:bottom w:val="single" w:color="auto" w:sz="4" w:space="0"/>
              <w:right w:val="single" w:color="auto" w:sz="4" w:space="0"/>
            </w:tcBorders>
            <w:shd w:val="clear" w:color="auto" w:fill="auto"/>
            <w:noWrap/>
            <w:vAlign w:val="center"/>
          </w:tcPr>
          <w:p w14:paraId="19248D5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13,3</w:t>
            </w:r>
          </w:p>
        </w:tc>
        <w:tc>
          <w:tcPr>
            <w:tcW w:w="783" w:type="pct"/>
            <w:tcBorders>
              <w:top w:val="nil"/>
              <w:left w:val="nil"/>
              <w:bottom w:val="single" w:color="auto" w:sz="4" w:space="0"/>
              <w:right w:val="single" w:color="auto" w:sz="4" w:space="0"/>
            </w:tcBorders>
            <w:shd w:val="clear" w:color="auto" w:fill="auto"/>
            <w:noWrap/>
            <w:vAlign w:val="center"/>
          </w:tcPr>
          <w:p w14:paraId="2A50451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2,5</w:t>
            </w:r>
          </w:p>
        </w:tc>
        <w:tc>
          <w:tcPr>
            <w:tcW w:w="632" w:type="pct"/>
            <w:tcBorders>
              <w:top w:val="nil"/>
              <w:left w:val="nil"/>
              <w:bottom w:val="single" w:color="auto" w:sz="4" w:space="0"/>
              <w:right w:val="single" w:color="auto" w:sz="4" w:space="0"/>
            </w:tcBorders>
            <w:shd w:val="clear" w:color="auto" w:fill="auto"/>
            <w:noWrap/>
            <w:vAlign w:val="center"/>
          </w:tcPr>
          <w:p w14:paraId="6477331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33,9</w:t>
            </w:r>
          </w:p>
        </w:tc>
      </w:tr>
      <w:tr w14:paraId="4F7C66B1">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43142C9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631" w:type="pct"/>
            <w:tcBorders>
              <w:top w:val="nil"/>
              <w:left w:val="nil"/>
              <w:bottom w:val="single" w:color="auto" w:sz="4" w:space="0"/>
              <w:right w:val="single" w:color="auto" w:sz="4" w:space="0"/>
            </w:tcBorders>
            <w:shd w:val="clear" w:color="auto" w:fill="auto"/>
            <w:noWrap/>
            <w:vAlign w:val="center"/>
          </w:tcPr>
          <w:p w14:paraId="77FF0B9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w:t>
            </w:r>
          </w:p>
        </w:tc>
        <w:tc>
          <w:tcPr>
            <w:tcW w:w="782" w:type="pct"/>
            <w:tcBorders>
              <w:top w:val="nil"/>
              <w:left w:val="nil"/>
              <w:bottom w:val="single" w:color="auto" w:sz="4" w:space="0"/>
              <w:right w:val="single" w:color="auto" w:sz="4" w:space="0"/>
            </w:tcBorders>
            <w:shd w:val="clear" w:color="auto" w:fill="auto"/>
            <w:noWrap/>
            <w:vAlign w:val="center"/>
          </w:tcPr>
          <w:p w14:paraId="0E6DB52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44,8</w:t>
            </w:r>
          </w:p>
        </w:tc>
        <w:tc>
          <w:tcPr>
            <w:tcW w:w="633" w:type="pct"/>
            <w:tcBorders>
              <w:top w:val="nil"/>
              <w:left w:val="nil"/>
              <w:bottom w:val="single" w:color="auto" w:sz="4" w:space="0"/>
              <w:right w:val="single" w:color="auto" w:sz="4" w:space="0"/>
            </w:tcBorders>
            <w:shd w:val="clear" w:color="auto" w:fill="auto"/>
            <w:noWrap/>
            <w:vAlign w:val="center"/>
          </w:tcPr>
          <w:p w14:paraId="21CB12F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20,6</w:t>
            </w:r>
          </w:p>
        </w:tc>
        <w:tc>
          <w:tcPr>
            <w:tcW w:w="783" w:type="pct"/>
            <w:tcBorders>
              <w:top w:val="nil"/>
              <w:left w:val="nil"/>
              <w:bottom w:val="single" w:color="auto" w:sz="4" w:space="0"/>
              <w:right w:val="single" w:color="auto" w:sz="4" w:space="0"/>
            </w:tcBorders>
            <w:shd w:val="clear" w:color="auto" w:fill="auto"/>
            <w:noWrap/>
            <w:vAlign w:val="center"/>
          </w:tcPr>
          <w:p w14:paraId="06A2CB3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2,0</w:t>
            </w:r>
          </w:p>
        </w:tc>
        <w:tc>
          <w:tcPr>
            <w:tcW w:w="632" w:type="pct"/>
            <w:tcBorders>
              <w:top w:val="nil"/>
              <w:left w:val="nil"/>
              <w:bottom w:val="single" w:color="auto" w:sz="4" w:space="0"/>
              <w:right w:val="single" w:color="auto" w:sz="4" w:space="0"/>
            </w:tcBorders>
            <w:shd w:val="clear" w:color="auto" w:fill="auto"/>
            <w:noWrap/>
            <w:vAlign w:val="center"/>
          </w:tcPr>
          <w:p w14:paraId="2E5A0B9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31,4</w:t>
            </w:r>
          </w:p>
        </w:tc>
      </w:tr>
      <w:tr w14:paraId="3F4CA2C9">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727C7A47">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631" w:type="pct"/>
            <w:tcBorders>
              <w:top w:val="nil"/>
              <w:left w:val="nil"/>
              <w:bottom w:val="single" w:color="auto" w:sz="4" w:space="0"/>
              <w:right w:val="single" w:color="auto" w:sz="4" w:space="0"/>
            </w:tcBorders>
            <w:shd w:val="clear" w:color="auto" w:fill="auto"/>
            <w:noWrap/>
            <w:vAlign w:val="center"/>
          </w:tcPr>
          <w:p w14:paraId="2C6BD7C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0,9</w:t>
            </w:r>
          </w:p>
        </w:tc>
        <w:tc>
          <w:tcPr>
            <w:tcW w:w="782" w:type="pct"/>
            <w:tcBorders>
              <w:top w:val="nil"/>
              <w:left w:val="nil"/>
              <w:bottom w:val="single" w:color="auto" w:sz="4" w:space="0"/>
              <w:right w:val="single" w:color="auto" w:sz="4" w:space="0"/>
            </w:tcBorders>
            <w:shd w:val="clear" w:color="auto" w:fill="auto"/>
            <w:noWrap/>
            <w:vAlign w:val="center"/>
          </w:tcPr>
          <w:p w14:paraId="40429D6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36,5</w:t>
            </w:r>
          </w:p>
        </w:tc>
        <w:tc>
          <w:tcPr>
            <w:tcW w:w="633" w:type="pct"/>
            <w:tcBorders>
              <w:top w:val="nil"/>
              <w:left w:val="nil"/>
              <w:bottom w:val="single" w:color="auto" w:sz="4" w:space="0"/>
              <w:right w:val="single" w:color="auto" w:sz="4" w:space="0"/>
            </w:tcBorders>
            <w:shd w:val="clear" w:color="auto" w:fill="auto"/>
            <w:noWrap/>
            <w:vAlign w:val="center"/>
          </w:tcPr>
          <w:p w14:paraId="569E432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21,1</w:t>
            </w:r>
          </w:p>
        </w:tc>
        <w:tc>
          <w:tcPr>
            <w:tcW w:w="783" w:type="pct"/>
            <w:tcBorders>
              <w:top w:val="nil"/>
              <w:left w:val="nil"/>
              <w:bottom w:val="single" w:color="auto" w:sz="4" w:space="0"/>
              <w:right w:val="single" w:color="auto" w:sz="4" w:space="0"/>
            </w:tcBorders>
            <w:shd w:val="clear" w:color="auto" w:fill="auto"/>
            <w:noWrap/>
            <w:vAlign w:val="center"/>
          </w:tcPr>
          <w:p w14:paraId="1082FFD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3,0</w:t>
            </w:r>
          </w:p>
        </w:tc>
        <w:tc>
          <w:tcPr>
            <w:tcW w:w="632" w:type="pct"/>
            <w:tcBorders>
              <w:top w:val="nil"/>
              <w:left w:val="nil"/>
              <w:bottom w:val="single" w:color="auto" w:sz="4" w:space="0"/>
              <w:right w:val="single" w:color="auto" w:sz="4" w:space="0"/>
            </w:tcBorders>
            <w:shd w:val="clear" w:color="auto" w:fill="auto"/>
            <w:noWrap/>
            <w:vAlign w:val="center"/>
          </w:tcPr>
          <w:p w14:paraId="0C9EB32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38,5</w:t>
            </w:r>
          </w:p>
        </w:tc>
      </w:tr>
      <w:tr w14:paraId="18A91886">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7A0DBFE6">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631" w:type="pct"/>
            <w:tcBorders>
              <w:top w:val="nil"/>
              <w:left w:val="nil"/>
              <w:bottom w:val="single" w:color="auto" w:sz="4" w:space="0"/>
              <w:right w:val="single" w:color="auto" w:sz="4" w:space="0"/>
            </w:tcBorders>
            <w:shd w:val="clear" w:color="auto" w:fill="auto"/>
            <w:noWrap/>
            <w:vAlign w:val="center"/>
          </w:tcPr>
          <w:p w14:paraId="7C87D44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0,9</w:t>
            </w:r>
          </w:p>
        </w:tc>
        <w:tc>
          <w:tcPr>
            <w:tcW w:w="782" w:type="pct"/>
            <w:tcBorders>
              <w:top w:val="nil"/>
              <w:left w:val="nil"/>
              <w:bottom w:val="single" w:color="auto" w:sz="4" w:space="0"/>
              <w:right w:val="single" w:color="auto" w:sz="4" w:space="0"/>
            </w:tcBorders>
            <w:shd w:val="clear" w:color="auto" w:fill="auto"/>
            <w:noWrap/>
            <w:vAlign w:val="center"/>
          </w:tcPr>
          <w:p w14:paraId="01E8E15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25,1</w:t>
            </w:r>
          </w:p>
        </w:tc>
        <w:tc>
          <w:tcPr>
            <w:tcW w:w="633" w:type="pct"/>
            <w:tcBorders>
              <w:top w:val="nil"/>
              <w:left w:val="nil"/>
              <w:bottom w:val="single" w:color="auto" w:sz="4" w:space="0"/>
              <w:right w:val="single" w:color="auto" w:sz="4" w:space="0"/>
            </w:tcBorders>
            <w:shd w:val="clear" w:color="auto" w:fill="auto"/>
            <w:noWrap/>
            <w:vAlign w:val="center"/>
          </w:tcPr>
          <w:p w14:paraId="5E19D68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19,9</w:t>
            </w:r>
          </w:p>
        </w:tc>
        <w:tc>
          <w:tcPr>
            <w:tcW w:w="783" w:type="pct"/>
            <w:tcBorders>
              <w:top w:val="nil"/>
              <w:left w:val="nil"/>
              <w:bottom w:val="single" w:color="auto" w:sz="4" w:space="0"/>
              <w:right w:val="single" w:color="auto" w:sz="4" w:space="0"/>
            </w:tcBorders>
            <w:shd w:val="clear" w:color="auto" w:fill="auto"/>
            <w:noWrap/>
            <w:vAlign w:val="center"/>
          </w:tcPr>
          <w:p w14:paraId="204869B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4,1</w:t>
            </w:r>
          </w:p>
        </w:tc>
        <w:tc>
          <w:tcPr>
            <w:tcW w:w="632" w:type="pct"/>
            <w:tcBorders>
              <w:top w:val="nil"/>
              <w:left w:val="nil"/>
              <w:bottom w:val="single" w:color="auto" w:sz="4" w:space="0"/>
              <w:right w:val="single" w:color="auto" w:sz="4" w:space="0"/>
            </w:tcBorders>
            <w:shd w:val="clear" w:color="auto" w:fill="auto"/>
            <w:noWrap/>
            <w:vAlign w:val="center"/>
          </w:tcPr>
          <w:p w14:paraId="150C6C7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50,0</w:t>
            </w:r>
          </w:p>
        </w:tc>
      </w:tr>
      <w:tr w14:paraId="453CD421">
        <w:tblPrEx>
          <w:tblCellMar>
            <w:top w:w="0" w:type="dxa"/>
            <w:left w:w="70" w:type="dxa"/>
            <w:bottom w:w="0" w:type="dxa"/>
            <w:right w:w="70" w:type="dxa"/>
          </w:tblCellMar>
        </w:tblPrEx>
        <w:trPr>
          <w:trHeight w:val="340" w:hRule="atLeast"/>
        </w:trPr>
        <w:tc>
          <w:tcPr>
            <w:tcW w:w="1539" w:type="pct"/>
            <w:tcBorders>
              <w:top w:val="nil"/>
              <w:left w:val="single" w:color="auto" w:sz="4" w:space="0"/>
              <w:bottom w:val="single" w:color="auto" w:sz="4" w:space="0"/>
              <w:right w:val="single" w:color="auto" w:sz="4" w:space="0"/>
            </w:tcBorders>
            <w:shd w:val="clear" w:color="auto" w:fill="auto"/>
            <w:noWrap/>
            <w:vAlign w:val="center"/>
          </w:tcPr>
          <w:p w14:paraId="2A1E8E9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631" w:type="pct"/>
            <w:tcBorders>
              <w:top w:val="nil"/>
              <w:left w:val="nil"/>
              <w:bottom w:val="single" w:color="auto" w:sz="4" w:space="0"/>
              <w:right w:val="single" w:color="auto" w:sz="4" w:space="0"/>
            </w:tcBorders>
            <w:shd w:val="clear" w:color="auto" w:fill="auto"/>
            <w:noWrap/>
            <w:vAlign w:val="center"/>
          </w:tcPr>
          <w:p w14:paraId="7152173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w:t>
            </w:r>
          </w:p>
        </w:tc>
        <w:tc>
          <w:tcPr>
            <w:tcW w:w="782" w:type="pct"/>
            <w:tcBorders>
              <w:top w:val="nil"/>
              <w:left w:val="nil"/>
              <w:bottom w:val="single" w:color="auto" w:sz="4" w:space="0"/>
              <w:right w:val="single" w:color="auto" w:sz="4" w:space="0"/>
            </w:tcBorders>
            <w:shd w:val="clear" w:color="auto" w:fill="auto"/>
            <w:noWrap/>
            <w:vAlign w:val="center"/>
          </w:tcPr>
          <w:p w14:paraId="7552892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22,6</w:t>
            </w:r>
          </w:p>
        </w:tc>
        <w:tc>
          <w:tcPr>
            <w:tcW w:w="633" w:type="pct"/>
            <w:tcBorders>
              <w:top w:val="nil"/>
              <w:left w:val="nil"/>
              <w:bottom w:val="single" w:color="auto" w:sz="4" w:space="0"/>
              <w:right w:val="single" w:color="auto" w:sz="4" w:space="0"/>
            </w:tcBorders>
            <w:shd w:val="clear" w:color="auto" w:fill="auto"/>
            <w:noWrap/>
            <w:vAlign w:val="center"/>
          </w:tcPr>
          <w:p w14:paraId="7A6573A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20,8</w:t>
            </w:r>
          </w:p>
        </w:tc>
        <w:tc>
          <w:tcPr>
            <w:tcW w:w="783" w:type="pct"/>
            <w:tcBorders>
              <w:top w:val="nil"/>
              <w:left w:val="nil"/>
              <w:bottom w:val="single" w:color="auto" w:sz="4" w:space="0"/>
              <w:right w:val="single" w:color="auto" w:sz="4" w:space="0"/>
            </w:tcBorders>
            <w:shd w:val="clear" w:color="auto" w:fill="auto"/>
            <w:noWrap/>
            <w:vAlign w:val="center"/>
          </w:tcPr>
          <w:p w14:paraId="2113256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3,3</w:t>
            </w:r>
          </w:p>
        </w:tc>
        <w:tc>
          <w:tcPr>
            <w:tcW w:w="632" w:type="pct"/>
            <w:tcBorders>
              <w:top w:val="nil"/>
              <w:left w:val="nil"/>
              <w:bottom w:val="single" w:color="auto" w:sz="4" w:space="0"/>
              <w:right w:val="single" w:color="auto" w:sz="4" w:space="0"/>
            </w:tcBorders>
            <w:shd w:val="clear" w:color="auto" w:fill="auto"/>
            <w:noWrap/>
            <w:vAlign w:val="center"/>
          </w:tcPr>
          <w:p w14:paraId="768E1E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51,9</w:t>
            </w:r>
          </w:p>
        </w:tc>
      </w:tr>
    </w:tbl>
    <w:p w14:paraId="67DE310A">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66FBBC18">
      <w:pPr>
        <w:spacing w:after="0" w:line="276" w:lineRule="auto"/>
        <w:ind w:firstLine="708"/>
        <w:jc w:val="both"/>
        <w:rPr>
          <w:rFonts w:ascii="Times New Roman" w:hAnsi="Times New Roman" w:cs="Times New Roman"/>
        </w:rPr>
      </w:pPr>
      <w:r>
        <w:rPr>
          <w:rFonts w:ascii="Times New Roman" w:hAnsi="Times New Roman" w:eastAsia="Calibri" w:cs="Times New Roman"/>
        </w:rPr>
        <w:t>Jak wynika z danych statystycznych klasyfikacji podmiotów gospodarczych według sekcji PKD 2007, największa liczba, spośród wszystkich 12 145 podmiotów gospodarczych na obszarze w 2021 r., była zarejestrowana w sekcjach: F „Budownictwo” – 2 840 podmiotów (23,4%), G „Handel hurtowy i detaliczny; naprawa pojazdów samochodowych, włączając motocykle” – 2 563 podmioty (21,1%), oraz C „Przetwórstwo przemysłowe” – 1 553 podmioty (12,8%). Na obszarze nie są zarejestrowane żadne podmioty w sekcji U „Organizacje i zespoły eksterytorialne”, a najniższe i nikłe udziały podmiotów zarejestrowane są w sekcjach B „Górnictwo i wydobywanie”, D „Wytwarzanie i zaopatrywanie w energię elektryczną, gaz, parę wodną, gorącą wodę i powietrze do układów klimatyzacyjnych” i E „Dostawa wody; gospodarowanie ściekami i odpadami oraz działalność związana z rekultywacją. Warto zwrócić uwagę na branże, które są jednymi z determinantów rozwoju regionu – sekcja I „Działalność związana z zakwaterowaniem i usługami gastronomicznymi” oraz sekcja R „Działalność związana z kulturą, rozrywką i rekreacją”. W sekcjach tych w 2021 r. zarejestrowanych było odpowiednio 367 (3,0%) oraz 234 (1,93%) podmioty.</w:t>
      </w:r>
      <w:r>
        <w:rPr>
          <w:rFonts w:ascii="Times New Roman" w:hAnsi="Times New Roman" w:cs="Times New Roman"/>
        </w:rPr>
        <w:t xml:space="preserve"> </w:t>
      </w:r>
      <w:r>
        <w:rPr>
          <w:rFonts w:ascii="Times New Roman" w:hAnsi="Times New Roman" w:cs="Times New Roman"/>
          <w:color w:val="000000"/>
        </w:rPr>
        <w:t>Działalności kulturalne, rozrywkowe i rekreacyjne związane z różnymi zainteresowaniami ogółu społeczeństwa,</w:t>
      </w:r>
      <w:r>
        <w:rPr>
          <w:rFonts w:ascii="Times New Roman" w:hAnsi="Times New Roman" w:cs="Times New Roman"/>
        </w:rPr>
        <w:t xml:space="preserve"> z racji szerokiego oddziaływania na wiele sfer gospodarki narodowej, są niezwykle istotnym czynnikiem aktywizacji gospodarczej, wzrostu dochodów budżetów lokalnych oraz zatrudnienia mieszkańców, </w:t>
      </w:r>
      <w:r>
        <w:rPr>
          <w:rFonts w:ascii="Times New Roman" w:hAnsi="Times New Roman" w:cs="Times New Roman"/>
        </w:rPr>
        <w:br w:type="textWrapping"/>
      </w:r>
      <w:r>
        <w:rPr>
          <w:rFonts w:ascii="Times New Roman" w:hAnsi="Times New Roman" w:cs="Times New Roman"/>
        </w:rPr>
        <w:t xml:space="preserve">a także stymulatorem rozwoju gospodarczego. Ponadto </w:t>
      </w:r>
      <w:r>
        <w:rPr>
          <w:rFonts w:ascii="Times New Roman" w:hAnsi="Times New Roman" w:eastAsia="Calibri" w:cs="Times New Roman"/>
        </w:rPr>
        <w:t xml:space="preserve">wpłyną na rozwój szeroko pojętej oferty spędzania czasu wolnego mieszkańców. </w:t>
      </w:r>
    </w:p>
    <w:p w14:paraId="7F9E47AB">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O przedsiębiorczości na ogół mówi się w kontekście gospodarczym, natomiast istotna jest również przedsiębiorczość społeczna, rozumiana jako sfera aktywności obywatelskiej, która łączy działalność ekonomiczną z działalnością pożytku publicznego, przyczyniając się m.in. do integracji zawodowej i społecznej osób zagrożonych marginalizacją społeczną, do tworzenia miejsc pracy oraz rozwoju lokalnego. W całym powiecie myślenickim – także na obszarze LGD – nie było zarejestrowane żadne przedsiębiorstwo społeczne. </w:t>
      </w:r>
    </w:p>
    <w:p w14:paraId="76306540">
      <w:pPr>
        <w:spacing w:line="276" w:lineRule="auto"/>
        <w:ind w:firstLine="708"/>
        <w:jc w:val="both"/>
        <w:rPr>
          <w:rFonts w:ascii="Times New Roman" w:hAnsi="Times New Roman" w:cs="Times New Roman"/>
          <w:color w:val="000000" w:themeColor="text1"/>
          <w14:textFill>
            <w14:solidFill>
              <w14:schemeClr w14:val="tx1"/>
            </w14:solidFill>
          </w14:textFill>
        </w:rPr>
      </w:pPr>
      <w:bookmarkStart w:id="69" w:name="_Hlk111038292"/>
      <w:r>
        <w:rPr>
          <w:rFonts w:ascii="Times New Roman" w:hAnsi="Times New Roman" w:cs="Times New Roman"/>
          <w:color w:val="000000" w:themeColor="text1"/>
          <w14:textFill>
            <w14:solidFill>
              <w14:schemeClr w14:val="tx1"/>
            </w14:solidFill>
          </w14:textFill>
        </w:rPr>
        <w:t xml:space="preserve">Ludzie przedsiębiorczy to ludzie aktywni zawodowo i/lub społecznie. Istotna w tym zakresie jest analiza kapitału społecznego. Organizacje pozarządowe są partnerem do prowadzenia projektów prorozwojowych i płaszczyzną dla wzmacniania się kapitału społecznego, a ich powstawanie jest wynikiem oddolnych inicjatyw, wskazujących na zaangażowanie mieszkańców w życie lokalnej społeczności. Jednym z głównych mierników kapitału społecznego jest wskaźnik </w:t>
      </w:r>
      <w:r>
        <w:rPr>
          <w:rFonts w:ascii="Times New Roman" w:hAnsi="Times New Roman" w:cs="Times New Roman"/>
          <w:i/>
          <w:iCs/>
          <w:color w:val="000000" w:themeColor="text1"/>
          <w14:textFill>
            <w14:solidFill>
              <w14:schemeClr w14:val="tx1"/>
            </w14:solidFill>
          </w14:textFill>
        </w:rPr>
        <w:t>liczba fundacji, stowarzyszeń, organizacji społecznych na 10 tys. mieszkańców</w:t>
      </w:r>
      <w:r>
        <w:rPr>
          <w:rFonts w:ascii="Times New Roman" w:hAnsi="Times New Roman" w:cs="Times New Roman"/>
          <w:color w:val="000000" w:themeColor="text1"/>
          <w14:textFill>
            <w14:solidFill>
              <w14:schemeClr w14:val="tx1"/>
            </w14:solidFill>
          </w14:textFill>
        </w:rPr>
        <w:t xml:space="preserve"> (wykres 8). </w:t>
      </w:r>
      <w:bookmarkEnd w:id="69"/>
    </w:p>
    <w:p w14:paraId="39A94B73">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70" w:name="_Toc136240712"/>
      <w:bookmarkStart w:id="71" w:name="_Toc134966320"/>
      <w:bookmarkStart w:id="72" w:name="_Toc112838968"/>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8</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Liczba fundacji, stowarzyszeń, organizacji społecznych na 10 tys. mieszkańców na obszarze LGD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w porównaniu do województwa i kraju w 2021 r.</w:t>
      </w:r>
      <w:bookmarkEnd w:id="70"/>
      <w:bookmarkEnd w:id="71"/>
      <w:bookmarkEnd w:id="72"/>
    </w:p>
    <w:p w14:paraId="2EC056B7">
      <w:pPr>
        <w:spacing w:after="0" w:line="276" w:lineRule="auto"/>
        <w:jc w:val="center"/>
        <w:rPr>
          <w:rFonts w:ascii="Times New Roman" w:hAnsi="Times New Roman" w:cs="Times New Roman"/>
          <w:color w:val="000000" w:themeColor="text1"/>
          <w14:textFill>
            <w14:solidFill>
              <w14:schemeClr w14:val="tx1"/>
            </w14:solidFill>
          </w14:textFill>
        </w:rPr>
      </w:pPr>
      <w:r>
        <w:rPr>
          <w:lang w:eastAsia="pl-PL"/>
        </w:rPr>
        <w:drawing>
          <wp:inline distT="0" distB="0" distL="0" distR="0">
            <wp:extent cx="5358765" cy="1878330"/>
            <wp:effectExtent l="0" t="0" r="0" b="762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CB7F74">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7BFFAC0F">
      <w:pPr>
        <w:spacing w:after="0" w:line="276" w:lineRule="auto"/>
        <w:ind w:firstLine="708"/>
        <w:jc w:val="both"/>
        <w:rPr>
          <w:rFonts w:ascii="Times New Roman" w:hAnsi="Times New Roman" w:cs="Times New Roman"/>
        </w:rPr>
      </w:pPr>
      <w:r>
        <w:rPr>
          <w:rFonts w:ascii="Times New Roman" w:hAnsi="Times New Roman" w:eastAsia="Calibri" w:cs="Times New Roman"/>
          <w:szCs w:val="20"/>
        </w:rPr>
        <w:t xml:space="preserve">Wewnątrz obszaru LGD najwyższą wartością wskaźnika w całym analizowanym okresie charakteryzowała się Gmina Raciechowice, jednocześnie każdorazowo w latach 2019–2021 osiągała wartość niższą niż średnia dla województwa i kraju. Także średnia dla obszaru LGD w 2021 r. oraz wyniki osiągnięte przez pozostałe gminy były niższe niż średnia dla województwa i kraju (dane GUS). </w:t>
      </w:r>
      <w:r>
        <w:rPr>
          <w:rFonts w:ascii="Times New Roman" w:hAnsi="Times New Roman" w:cs="Times New Roman"/>
        </w:rPr>
        <w:t xml:space="preserve">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Ponadto na spotkaniach z Zespołem ds. LSR oraz mieszkańcami zwrócono uwagę na potrzebę wzmacniania potencjału organizacji pozarządowych na rzecz budowania oferty czasu wolnego. </w:t>
      </w:r>
      <w:r>
        <w:rPr>
          <w:rFonts w:ascii="Times New Roman" w:hAnsi="Times New Roman" w:eastAsia="Calibri" w:cs="Times New Roman"/>
          <w:szCs w:val="20"/>
        </w:rPr>
        <w:t xml:space="preserve">Z zebranych danych wynika, że należy </w:t>
      </w:r>
      <w:bookmarkStart w:id="73" w:name="_Hlk134962297"/>
      <w:r>
        <w:rPr>
          <w:rFonts w:ascii="Times New Roman" w:hAnsi="Times New Roman" w:eastAsia="Calibri" w:cs="Times New Roman"/>
          <w:szCs w:val="20"/>
        </w:rPr>
        <w:t xml:space="preserve">podjąć działania w kwestii przedsiębiorczości społecznej mieszkańców na obszarze LGD. Należy wzmacniać ich potencjał </w:t>
      </w:r>
      <w:r>
        <w:rPr>
          <w:rFonts w:ascii="Times New Roman" w:hAnsi="Times New Roman" w:cs="Times New Roman"/>
          <w:color w:val="000000" w:themeColor="text1"/>
          <w14:textFill>
            <w14:solidFill>
              <w14:schemeClr w14:val="tx1"/>
            </w14:solidFill>
          </w14:textFill>
        </w:rPr>
        <w:t xml:space="preserve">poprzez ogłaszanie konkursów kierowanych do trzeciego sektora. </w:t>
      </w:r>
      <w:bookmarkEnd w:id="73"/>
      <w:r>
        <w:rPr>
          <w:rFonts w:ascii="Times New Roman" w:hAnsi="Times New Roman" w:cs="Times New Roman"/>
          <w:color w:val="000000" w:themeColor="text1"/>
          <w14:textFill>
            <w14:solidFill>
              <w14:schemeClr w14:val="tx1"/>
            </w14:solidFill>
          </w14:textFill>
        </w:rPr>
        <w:t xml:space="preserve">Będą oni beneficjentami działań zarówno inwestycyjnych jak i „miękkich”: warsztatów, szkoleń itp. prowadzenia projektów prorozwojowych i płaszczyzną dla wzmacniania się kapitału społecznego. </w:t>
      </w:r>
      <w:r>
        <w:rPr>
          <w:rFonts w:ascii="Times New Roman" w:hAnsi="Times New Roman" w:cs="Times New Roman"/>
        </w:rPr>
        <w:t xml:space="preserve">Pomocne w tym zakresie mogą być również przedsięwzięcia realizowane w partnerstwie. </w:t>
      </w:r>
    </w:p>
    <w:p w14:paraId="75C3D1B2">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Przewiduje się również operacje realizowane w formie projektów grantowych na przygotowanie koncepcji inteligentnych wsi (smart villages), działanie to wymaga zaangażowania społeczności lokalnych w ich rozwój i wdrażanie koncepcji, niezbędne jest zdobywanie nowych kompetencji i wiedzy przez mieszkańców LGD. W rozwiązaniach smart na obszarach wiejskich szczególne znaczenie ma kapitał społeczny odgrywający kluczową rolę jako kreator (inicjator) zachodzących zmian w rozwoju wsi. Ważne jest również dobre zarządzanie i zaangażowanie obywateli. W koncepcji Smart Village zwraca się uwagę na: korzystanie z e-umiejętności, dostęp do e-usług zdrowotnych i innych podstawowych usług, innowacyjne rozwiązania w zakresie ochrony środowiska, oraz promocję lokalnych produktów wspieranych przez technologię.</w:t>
      </w:r>
    </w:p>
    <w:p w14:paraId="049D185E">
      <w:pPr>
        <w:pStyle w:val="28"/>
        <w:numPr>
          <w:ilvl w:val="1"/>
          <w:numId w:val="15"/>
        </w:numPr>
        <w:spacing w:before="240"/>
        <w:ind w:left="1701" w:hanging="567"/>
        <w:rPr>
          <w:rFonts w:ascii="Times New Roman" w:hAnsi="Times New Roman" w:cs="Times New Roman"/>
          <w:b/>
          <w:bCs/>
        </w:rPr>
      </w:pPr>
      <w:r>
        <w:rPr>
          <w:rFonts w:ascii="Times New Roman" w:hAnsi="Times New Roman" w:cs="Times New Roman"/>
          <w:b/>
          <w:bCs/>
        </w:rPr>
        <w:t>Rynek pracy</w:t>
      </w:r>
    </w:p>
    <w:p w14:paraId="0E3745FB">
      <w:pPr>
        <w:spacing w:line="276" w:lineRule="auto"/>
        <w:ind w:firstLine="708"/>
        <w:jc w:val="both"/>
        <w:rPr>
          <w:rFonts w:ascii="Times New Roman" w:hAnsi="Times New Roman" w:cs="Times New Roman"/>
          <w:color w:val="000000" w:themeColor="text1"/>
          <w14:textFill>
            <w14:solidFill>
              <w14:schemeClr w14:val="tx1"/>
            </w14:solidFill>
          </w14:textFill>
        </w:rPr>
        <w:sectPr>
          <w:footerReference r:id="rId6" w:type="first"/>
          <w:footerReference r:id="rId5" w:type="default"/>
          <w:pgSz w:w="11906" w:h="16838"/>
          <w:pgMar w:top="851" w:right="851" w:bottom="851" w:left="851" w:header="709" w:footer="709" w:gutter="0"/>
          <w:cols w:space="708" w:num="1"/>
          <w:titlePg/>
          <w:docGrid w:linePitch="360" w:charSpace="0"/>
        </w:sectPr>
      </w:pPr>
      <w:r>
        <w:rPr>
          <w:rFonts w:ascii="Times New Roman" w:hAnsi="Times New Roman" w:cs="Times New Roman"/>
          <w:color w:val="000000" w:themeColor="text1"/>
          <w14:textFill>
            <w14:solidFill>
              <w14:schemeClr w14:val="tx1"/>
            </w14:solidFill>
          </w14:textFill>
        </w:rPr>
        <w:t xml:space="preserve">Sytuację panującą na rynku pracy odzwierciedlają wskaźniki dotyczące zatrudnienia oraz bezrobocia. Zatrudnienie jest parametrem, który wskazuje trendy na rynku pracy. Im wyższy wskaźnik zatrudnienia, tym lepiej rozwinięty rynek pracy. W 2020 r. według danych GUS na obszarze LGD łączna liczba pracujących wynosiła 16 695 osób, w tym 7 407 mężczyzn (44,4%) oraz 9 288 kobiet (55,6%). Wartość wskaźnika liczba pracujących na 1 000 ludności w 2020 r. dla obszaru LGD (796) była znacznie wyższa od wartości dla województwa (248) oraz kraju (254). Najistotniejszymi wskaźnikami w zakresie bezrobocia są: </w:t>
      </w:r>
      <w:bookmarkStart w:id="74" w:name="_Hlk110600972"/>
      <w:r>
        <w:rPr>
          <w:rFonts w:ascii="Times New Roman" w:hAnsi="Times New Roman" w:cs="Times New Roman"/>
          <w:i/>
          <w:iCs/>
          <w:color w:val="000000" w:themeColor="text1"/>
          <w14:textFill>
            <w14:solidFill>
              <w14:schemeClr w14:val="tx1"/>
            </w14:solidFill>
          </w14:textFill>
        </w:rPr>
        <w:t>udział bezrobotnych zarejestrowanych w liczbie ludności w wieku produkcyjnym</w:t>
      </w:r>
      <w:bookmarkEnd w:id="74"/>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oraz </w:t>
      </w:r>
      <w:r>
        <w:rPr>
          <w:rFonts w:ascii="Times New Roman" w:hAnsi="Times New Roman" w:cs="Times New Roman"/>
          <w:i/>
          <w:iCs/>
          <w:color w:val="000000" w:themeColor="text1"/>
          <w14:textFill>
            <w14:solidFill>
              <w14:schemeClr w14:val="tx1"/>
            </w14:solidFill>
          </w14:textFill>
        </w:rPr>
        <w:t>udział długotrwale bezrobotnych w liczbie bezrobotnych ogółem</w:t>
      </w:r>
      <w:r>
        <w:rPr>
          <w:rFonts w:ascii="Times New Roman" w:hAnsi="Times New Roman" w:cs="Times New Roman"/>
          <w:color w:val="000000" w:themeColor="text1"/>
          <w14:textFill>
            <w14:solidFill>
              <w14:schemeClr w14:val="tx1"/>
            </w14:solidFill>
          </w14:textFill>
        </w:rPr>
        <w:t xml:space="preserve"> (tabela 8). </w:t>
      </w:r>
    </w:p>
    <w:p w14:paraId="7021A4A8">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75" w:name="_Toc112152408"/>
      <w:bookmarkStart w:id="76" w:name="_Toc136241396"/>
      <w:bookmarkStart w:id="77" w:name="_Toc134966357"/>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8</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Wskaźniki bezrobocia na obszarze LGD, średnio w województwie i kraju w latach 2016–2021</w:t>
      </w:r>
      <w:bookmarkEnd w:id="75"/>
      <w:bookmarkEnd w:id="76"/>
      <w:bookmarkEnd w:id="77"/>
    </w:p>
    <w:tbl>
      <w:tblPr>
        <w:tblStyle w:val="6"/>
        <w:tblW w:w="4928" w:type="pct"/>
        <w:tblInd w:w="0" w:type="dxa"/>
        <w:tblLayout w:type="fixed"/>
        <w:tblCellMar>
          <w:top w:w="0" w:type="dxa"/>
          <w:left w:w="70" w:type="dxa"/>
          <w:bottom w:w="0" w:type="dxa"/>
          <w:right w:w="70" w:type="dxa"/>
        </w:tblCellMar>
      </w:tblPr>
      <w:tblGrid>
        <w:gridCol w:w="2974"/>
        <w:gridCol w:w="710"/>
        <w:gridCol w:w="580"/>
        <w:gridCol w:w="620"/>
        <w:gridCol w:w="620"/>
        <w:gridCol w:w="673"/>
        <w:gridCol w:w="622"/>
        <w:gridCol w:w="565"/>
        <w:gridCol w:w="565"/>
        <w:gridCol w:w="565"/>
        <w:gridCol w:w="565"/>
        <w:gridCol w:w="565"/>
        <w:gridCol w:w="569"/>
      </w:tblGrid>
      <w:tr w14:paraId="2BC5E869">
        <w:tblPrEx>
          <w:tblCellMar>
            <w:top w:w="0" w:type="dxa"/>
            <w:left w:w="70" w:type="dxa"/>
            <w:bottom w:w="0" w:type="dxa"/>
            <w:right w:w="70" w:type="dxa"/>
          </w:tblCellMar>
        </w:tblPrEx>
        <w:trPr>
          <w:trHeight w:val="450" w:hRule="atLeast"/>
        </w:trPr>
        <w:tc>
          <w:tcPr>
            <w:tcW w:w="14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D402D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876" w:type="pct"/>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7D845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Udział bezrobotnych zarejestrowanych w liczbie ludności w wieku produkcyjnym (%)</w:t>
            </w:r>
          </w:p>
        </w:tc>
        <w:tc>
          <w:tcPr>
            <w:tcW w:w="1665" w:type="pct"/>
            <w:gridSpan w:val="6"/>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7549D03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 xml:space="preserve">Udział długotrwale bezrobotnych </w:t>
            </w:r>
            <w:r>
              <w:rPr>
                <w:rFonts w:ascii="Times New Roman" w:hAnsi="Times New Roman" w:eastAsia="Times New Roman" w:cs="Times New Roman"/>
                <w:b/>
                <w:bCs/>
                <w:color w:val="000000"/>
                <w:sz w:val="20"/>
                <w:szCs w:val="20"/>
                <w:lang w:eastAsia="pl-PL"/>
              </w:rPr>
              <w:br w:type="textWrapping"/>
            </w:r>
            <w:r>
              <w:rPr>
                <w:rFonts w:ascii="Times New Roman" w:hAnsi="Times New Roman" w:eastAsia="Times New Roman" w:cs="Times New Roman"/>
                <w:b/>
                <w:bCs/>
                <w:color w:val="000000"/>
                <w:sz w:val="20"/>
                <w:szCs w:val="20"/>
                <w:lang w:eastAsia="pl-PL"/>
              </w:rPr>
              <w:t>w liczbie bezrobotnych ogółem (%)</w:t>
            </w:r>
          </w:p>
        </w:tc>
      </w:tr>
      <w:tr w14:paraId="3C48AB24">
        <w:tblPrEx>
          <w:tblCellMar>
            <w:top w:w="0" w:type="dxa"/>
            <w:left w:w="70" w:type="dxa"/>
            <w:bottom w:w="0" w:type="dxa"/>
            <w:right w:w="70" w:type="dxa"/>
          </w:tblCellMar>
        </w:tblPrEx>
        <w:trPr>
          <w:trHeight w:val="450" w:hRule="atLeast"/>
        </w:trPr>
        <w:tc>
          <w:tcPr>
            <w:tcW w:w="14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71C58E">
            <w:pPr>
              <w:spacing w:after="0" w:line="240" w:lineRule="auto"/>
              <w:rPr>
                <w:rFonts w:ascii="Times New Roman" w:hAnsi="Times New Roman" w:eastAsia="Times New Roman" w:cs="Times New Roman"/>
                <w:b/>
                <w:bCs/>
                <w:color w:val="000000"/>
                <w:sz w:val="20"/>
                <w:szCs w:val="20"/>
                <w:lang w:eastAsia="pl-PL"/>
              </w:rPr>
            </w:pPr>
          </w:p>
        </w:tc>
        <w:tc>
          <w:tcPr>
            <w:tcW w:w="1876" w:type="pct"/>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B4C861">
            <w:pPr>
              <w:spacing w:after="0" w:line="240" w:lineRule="auto"/>
              <w:rPr>
                <w:rFonts w:ascii="Times New Roman" w:hAnsi="Times New Roman" w:eastAsia="Times New Roman" w:cs="Times New Roman"/>
                <w:b/>
                <w:bCs/>
                <w:color w:val="000000"/>
                <w:sz w:val="20"/>
                <w:szCs w:val="20"/>
                <w:lang w:eastAsia="pl-PL"/>
              </w:rPr>
            </w:pPr>
          </w:p>
        </w:tc>
        <w:tc>
          <w:tcPr>
            <w:tcW w:w="1665" w:type="pct"/>
            <w:gridSpan w:val="6"/>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4F780B60">
            <w:pPr>
              <w:spacing w:after="0" w:line="240" w:lineRule="auto"/>
              <w:rPr>
                <w:rFonts w:ascii="Times New Roman" w:hAnsi="Times New Roman" w:eastAsia="Times New Roman" w:cs="Times New Roman"/>
                <w:b/>
                <w:bCs/>
                <w:color w:val="000000"/>
                <w:sz w:val="20"/>
                <w:szCs w:val="20"/>
                <w:lang w:eastAsia="pl-PL"/>
              </w:rPr>
            </w:pPr>
          </w:p>
        </w:tc>
      </w:tr>
      <w:tr w14:paraId="009F6E8F">
        <w:tblPrEx>
          <w:tblCellMar>
            <w:top w:w="0" w:type="dxa"/>
            <w:left w:w="70" w:type="dxa"/>
            <w:bottom w:w="0" w:type="dxa"/>
            <w:right w:w="70" w:type="dxa"/>
          </w:tblCellMar>
        </w:tblPrEx>
        <w:trPr>
          <w:trHeight w:val="340" w:hRule="atLeast"/>
        </w:trPr>
        <w:tc>
          <w:tcPr>
            <w:tcW w:w="14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DA53CD">
            <w:pPr>
              <w:spacing w:after="0" w:line="240" w:lineRule="auto"/>
              <w:rPr>
                <w:rFonts w:ascii="Times New Roman" w:hAnsi="Times New Roman" w:eastAsia="Times New Roman" w:cs="Times New Roman"/>
                <w:b/>
                <w:bCs/>
                <w:color w:val="000000"/>
                <w:sz w:val="20"/>
                <w:szCs w:val="20"/>
                <w:lang w:eastAsia="pl-PL"/>
              </w:rPr>
            </w:pPr>
          </w:p>
        </w:tc>
        <w:tc>
          <w:tcPr>
            <w:tcW w:w="349" w:type="pct"/>
            <w:tcBorders>
              <w:top w:val="nil"/>
              <w:left w:val="nil"/>
              <w:bottom w:val="single" w:color="auto" w:sz="4" w:space="0"/>
              <w:right w:val="single" w:color="auto" w:sz="4" w:space="0"/>
            </w:tcBorders>
            <w:shd w:val="clear" w:color="auto" w:fill="auto"/>
            <w:vAlign w:val="center"/>
          </w:tcPr>
          <w:p w14:paraId="34CDC38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285" w:type="pct"/>
            <w:tcBorders>
              <w:top w:val="nil"/>
              <w:left w:val="nil"/>
              <w:bottom w:val="single" w:color="auto" w:sz="4" w:space="0"/>
              <w:right w:val="single" w:color="auto" w:sz="4" w:space="0"/>
            </w:tcBorders>
            <w:shd w:val="clear" w:color="auto" w:fill="auto"/>
            <w:vAlign w:val="center"/>
          </w:tcPr>
          <w:p w14:paraId="54D1F22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304" w:type="pct"/>
            <w:tcBorders>
              <w:top w:val="nil"/>
              <w:left w:val="nil"/>
              <w:bottom w:val="single" w:color="auto" w:sz="4" w:space="0"/>
              <w:right w:val="single" w:color="auto" w:sz="4" w:space="0"/>
            </w:tcBorders>
            <w:shd w:val="clear" w:color="auto" w:fill="auto"/>
            <w:vAlign w:val="center"/>
          </w:tcPr>
          <w:p w14:paraId="15435DD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304" w:type="pct"/>
            <w:tcBorders>
              <w:top w:val="nil"/>
              <w:left w:val="nil"/>
              <w:bottom w:val="single" w:color="auto" w:sz="4" w:space="0"/>
              <w:right w:val="single" w:color="auto" w:sz="4" w:space="0"/>
            </w:tcBorders>
            <w:shd w:val="clear" w:color="auto" w:fill="auto"/>
            <w:vAlign w:val="center"/>
          </w:tcPr>
          <w:p w14:paraId="5472F5B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330" w:type="pct"/>
            <w:tcBorders>
              <w:top w:val="nil"/>
              <w:left w:val="nil"/>
              <w:bottom w:val="single" w:color="auto" w:sz="4" w:space="0"/>
              <w:right w:val="single" w:color="auto" w:sz="4" w:space="0"/>
            </w:tcBorders>
            <w:shd w:val="clear" w:color="auto" w:fill="auto"/>
            <w:vAlign w:val="center"/>
          </w:tcPr>
          <w:p w14:paraId="594A333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305" w:type="pct"/>
            <w:tcBorders>
              <w:top w:val="nil"/>
              <w:left w:val="nil"/>
              <w:bottom w:val="single" w:color="auto" w:sz="4" w:space="0"/>
              <w:right w:val="single" w:color="auto" w:sz="4" w:space="0"/>
            </w:tcBorders>
            <w:shd w:val="clear" w:color="auto" w:fill="auto"/>
            <w:vAlign w:val="center"/>
          </w:tcPr>
          <w:p w14:paraId="0E9ACF5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277" w:type="pct"/>
            <w:tcBorders>
              <w:top w:val="nil"/>
              <w:left w:val="nil"/>
              <w:bottom w:val="single" w:color="auto" w:sz="4" w:space="0"/>
              <w:right w:val="single" w:color="auto" w:sz="4" w:space="0"/>
            </w:tcBorders>
            <w:shd w:val="clear" w:color="auto" w:fill="auto"/>
            <w:vAlign w:val="center"/>
          </w:tcPr>
          <w:p w14:paraId="6411361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277" w:type="pct"/>
            <w:tcBorders>
              <w:top w:val="nil"/>
              <w:left w:val="nil"/>
              <w:bottom w:val="single" w:color="auto" w:sz="4" w:space="0"/>
              <w:right w:val="single" w:color="auto" w:sz="4" w:space="0"/>
            </w:tcBorders>
            <w:shd w:val="clear" w:color="auto" w:fill="auto"/>
            <w:vAlign w:val="center"/>
          </w:tcPr>
          <w:p w14:paraId="0353EE8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277" w:type="pct"/>
            <w:tcBorders>
              <w:top w:val="nil"/>
              <w:left w:val="nil"/>
              <w:bottom w:val="single" w:color="auto" w:sz="4" w:space="0"/>
              <w:right w:val="single" w:color="auto" w:sz="4" w:space="0"/>
            </w:tcBorders>
            <w:shd w:val="clear" w:color="auto" w:fill="auto"/>
            <w:vAlign w:val="center"/>
          </w:tcPr>
          <w:p w14:paraId="45F1E43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277" w:type="pct"/>
            <w:tcBorders>
              <w:top w:val="nil"/>
              <w:left w:val="nil"/>
              <w:bottom w:val="single" w:color="auto" w:sz="4" w:space="0"/>
              <w:right w:val="single" w:color="auto" w:sz="4" w:space="0"/>
            </w:tcBorders>
            <w:shd w:val="clear" w:color="auto" w:fill="auto"/>
            <w:vAlign w:val="center"/>
          </w:tcPr>
          <w:p w14:paraId="6BCDF16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77" w:type="pct"/>
            <w:tcBorders>
              <w:top w:val="nil"/>
              <w:left w:val="nil"/>
              <w:bottom w:val="single" w:color="auto" w:sz="4" w:space="0"/>
              <w:right w:val="single" w:color="auto" w:sz="4" w:space="0"/>
            </w:tcBorders>
            <w:shd w:val="clear" w:color="auto" w:fill="auto"/>
            <w:vAlign w:val="center"/>
          </w:tcPr>
          <w:p w14:paraId="56B29C7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79" w:type="pct"/>
            <w:tcBorders>
              <w:top w:val="nil"/>
              <w:left w:val="nil"/>
              <w:bottom w:val="single" w:color="auto" w:sz="4" w:space="0"/>
              <w:right w:val="single" w:color="auto" w:sz="4" w:space="0"/>
            </w:tcBorders>
            <w:shd w:val="clear" w:color="auto" w:fill="auto"/>
            <w:vAlign w:val="center"/>
          </w:tcPr>
          <w:p w14:paraId="1D2A375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r>
      <w:tr w14:paraId="6EAD514E">
        <w:tblPrEx>
          <w:tblCellMar>
            <w:top w:w="0" w:type="dxa"/>
            <w:left w:w="70" w:type="dxa"/>
            <w:bottom w:w="0" w:type="dxa"/>
            <w:right w:w="70" w:type="dxa"/>
          </w:tblCellMar>
        </w:tblPrEx>
        <w:trPr>
          <w:trHeight w:val="340" w:hRule="atLeast"/>
        </w:trPr>
        <w:tc>
          <w:tcPr>
            <w:tcW w:w="1459" w:type="pct"/>
            <w:tcBorders>
              <w:top w:val="nil"/>
              <w:left w:val="single" w:color="auto" w:sz="4" w:space="0"/>
              <w:bottom w:val="single" w:color="auto" w:sz="4" w:space="0"/>
              <w:right w:val="single" w:color="auto" w:sz="4" w:space="0"/>
            </w:tcBorders>
            <w:shd w:val="clear" w:color="auto" w:fill="auto"/>
            <w:noWrap/>
            <w:vAlign w:val="center"/>
          </w:tcPr>
          <w:p w14:paraId="7F612728">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349" w:type="pct"/>
            <w:tcBorders>
              <w:top w:val="nil"/>
              <w:left w:val="nil"/>
              <w:bottom w:val="single" w:color="auto" w:sz="4" w:space="0"/>
              <w:right w:val="single" w:color="auto" w:sz="4" w:space="0"/>
            </w:tcBorders>
            <w:shd w:val="clear" w:color="auto" w:fill="auto"/>
            <w:noWrap/>
            <w:vAlign w:val="center"/>
          </w:tcPr>
          <w:p w14:paraId="4D28271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3,0</w:t>
            </w:r>
          </w:p>
        </w:tc>
        <w:tc>
          <w:tcPr>
            <w:tcW w:w="285" w:type="pct"/>
            <w:tcBorders>
              <w:top w:val="nil"/>
              <w:left w:val="nil"/>
              <w:bottom w:val="single" w:color="auto" w:sz="4" w:space="0"/>
              <w:right w:val="single" w:color="auto" w:sz="4" w:space="0"/>
            </w:tcBorders>
            <w:shd w:val="clear" w:color="auto" w:fill="auto"/>
            <w:noWrap/>
            <w:vAlign w:val="center"/>
          </w:tcPr>
          <w:p w14:paraId="1871530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1,8</w:t>
            </w:r>
          </w:p>
        </w:tc>
        <w:tc>
          <w:tcPr>
            <w:tcW w:w="304" w:type="pct"/>
            <w:tcBorders>
              <w:top w:val="nil"/>
              <w:left w:val="nil"/>
              <w:bottom w:val="single" w:color="auto" w:sz="4" w:space="0"/>
              <w:right w:val="single" w:color="auto" w:sz="4" w:space="0"/>
            </w:tcBorders>
            <w:shd w:val="clear" w:color="auto" w:fill="auto"/>
            <w:noWrap/>
            <w:vAlign w:val="center"/>
          </w:tcPr>
          <w:p w14:paraId="4E8B4F6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1,7</w:t>
            </w:r>
          </w:p>
        </w:tc>
        <w:tc>
          <w:tcPr>
            <w:tcW w:w="304" w:type="pct"/>
            <w:tcBorders>
              <w:top w:val="nil"/>
              <w:left w:val="nil"/>
              <w:bottom w:val="single" w:color="auto" w:sz="4" w:space="0"/>
              <w:right w:val="single" w:color="auto" w:sz="4" w:space="0"/>
            </w:tcBorders>
            <w:shd w:val="clear" w:color="auto" w:fill="auto"/>
            <w:noWrap/>
            <w:vAlign w:val="center"/>
          </w:tcPr>
          <w:p w14:paraId="5171A85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1,5</w:t>
            </w:r>
          </w:p>
        </w:tc>
        <w:tc>
          <w:tcPr>
            <w:tcW w:w="330" w:type="pct"/>
            <w:tcBorders>
              <w:top w:val="nil"/>
              <w:left w:val="nil"/>
              <w:bottom w:val="single" w:color="auto" w:sz="4" w:space="0"/>
              <w:right w:val="single" w:color="auto" w:sz="4" w:space="0"/>
            </w:tcBorders>
            <w:shd w:val="clear" w:color="auto" w:fill="auto"/>
            <w:noWrap/>
            <w:vAlign w:val="center"/>
          </w:tcPr>
          <w:p w14:paraId="1053D27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2,5</w:t>
            </w:r>
          </w:p>
        </w:tc>
        <w:tc>
          <w:tcPr>
            <w:tcW w:w="305" w:type="pct"/>
            <w:tcBorders>
              <w:top w:val="nil"/>
              <w:left w:val="nil"/>
              <w:bottom w:val="single" w:color="auto" w:sz="4" w:space="0"/>
              <w:right w:val="single" w:color="auto" w:sz="4" w:space="0"/>
            </w:tcBorders>
            <w:shd w:val="clear" w:color="auto" w:fill="auto"/>
            <w:noWrap/>
            <w:vAlign w:val="center"/>
          </w:tcPr>
          <w:p w14:paraId="7ABF112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1,7</w:t>
            </w:r>
          </w:p>
        </w:tc>
        <w:tc>
          <w:tcPr>
            <w:tcW w:w="277" w:type="pct"/>
            <w:tcBorders>
              <w:top w:val="nil"/>
              <w:left w:val="nil"/>
              <w:bottom w:val="single" w:color="auto" w:sz="4" w:space="0"/>
              <w:right w:val="single" w:color="auto" w:sz="4" w:space="0"/>
            </w:tcBorders>
            <w:shd w:val="clear" w:color="auto" w:fill="auto"/>
            <w:noWrap/>
            <w:vAlign w:val="center"/>
          </w:tcPr>
          <w:p w14:paraId="0F01D5C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34,6</w:t>
            </w:r>
          </w:p>
        </w:tc>
        <w:tc>
          <w:tcPr>
            <w:tcW w:w="277" w:type="pct"/>
            <w:tcBorders>
              <w:top w:val="nil"/>
              <w:left w:val="nil"/>
              <w:bottom w:val="single" w:color="auto" w:sz="4" w:space="0"/>
              <w:right w:val="single" w:color="auto" w:sz="4" w:space="0"/>
            </w:tcBorders>
            <w:shd w:val="clear" w:color="auto" w:fill="auto"/>
            <w:noWrap/>
            <w:vAlign w:val="center"/>
          </w:tcPr>
          <w:p w14:paraId="5473914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30,6</w:t>
            </w:r>
          </w:p>
        </w:tc>
        <w:tc>
          <w:tcPr>
            <w:tcW w:w="277" w:type="pct"/>
            <w:tcBorders>
              <w:top w:val="nil"/>
              <w:left w:val="nil"/>
              <w:bottom w:val="single" w:color="auto" w:sz="4" w:space="0"/>
              <w:right w:val="single" w:color="auto" w:sz="4" w:space="0"/>
            </w:tcBorders>
            <w:shd w:val="clear" w:color="auto" w:fill="auto"/>
            <w:noWrap/>
            <w:vAlign w:val="center"/>
          </w:tcPr>
          <w:p w14:paraId="709A3EE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22,1</w:t>
            </w:r>
          </w:p>
        </w:tc>
        <w:tc>
          <w:tcPr>
            <w:tcW w:w="277" w:type="pct"/>
            <w:tcBorders>
              <w:top w:val="nil"/>
              <w:left w:val="nil"/>
              <w:bottom w:val="single" w:color="auto" w:sz="4" w:space="0"/>
              <w:right w:val="single" w:color="auto" w:sz="4" w:space="0"/>
            </w:tcBorders>
            <w:shd w:val="clear" w:color="auto" w:fill="auto"/>
            <w:noWrap/>
            <w:vAlign w:val="center"/>
          </w:tcPr>
          <w:p w14:paraId="686B9DB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22,5</w:t>
            </w:r>
          </w:p>
        </w:tc>
        <w:tc>
          <w:tcPr>
            <w:tcW w:w="277" w:type="pct"/>
            <w:tcBorders>
              <w:top w:val="nil"/>
              <w:left w:val="nil"/>
              <w:bottom w:val="single" w:color="auto" w:sz="4" w:space="0"/>
              <w:right w:val="single" w:color="auto" w:sz="4" w:space="0"/>
            </w:tcBorders>
            <w:shd w:val="clear" w:color="auto" w:fill="auto"/>
            <w:noWrap/>
            <w:vAlign w:val="center"/>
          </w:tcPr>
          <w:p w14:paraId="038DB30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23,8</w:t>
            </w:r>
          </w:p>
        </w:tc>
        <w:tc>
          <w:tcPr>
            <w:tcW w:w="279" w:type="pct"/>
            <w:tcBorders>
              <w:top w:val="nil"/>
              <w:left w:val="nil"/>
              <w:bottom w:val="single" w:color="auto" w:sz="4" w:space="0"/>
              <w:right w:val="single" w:color="auto" w:sz="4" w:space="0"/>
            </w:tcBorders>
            <w:shd w:val="clear" w:color="auto" w:fill="auto"/>
            <w:noWrap/>
            <w:vAlign w:val="center"/>
          </w:tcPr>
          <w:p w14:paraId="6E199C3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32,2</w:t>
            </w:r>
          </w:p>
        </w:tc>
      </w:tr>
      <w:tr w14:paraId="378A3732">
        <w:tblPrEx>
          <w:tblCellMar>
            <w:top w:w="0" w:type="dxa"/>
            <w:left w:w="70" w:type="dxa"/>
            <w:bottom w:w="0" w:type="dxa"/>
            <w:right w:w="70" w:type="dxa"/>
          </w:tblCellMar>
        </w:tblPrEx>
        <w:trPr>
          <w:trHeight w:val="340" w:hRule="atLeast"/>
        </w:trPr>
        <w:tc>
          <w:tcPr>
            <w:tcW w:w="1459" w:type="pct"/>
            <w:tcBorders>
              <w:top w:val="nil"/>
              <w:left w:val="single" w:color="auto" w:sz="4" w:space="0"/>
              <w:bottom w:val="single" w:color="auto" w:sz="4" w:space="0"/>
              <w:right w:val="single" w:color="auto" w:sz="4" w:space="0"/>
            </w:tcBorders>
            <w:shd w:val="clear" w:color="auto" w:fill="auto"/>
            <w:noWrap/>
            <w:vAlign w:val="center"/>
          </w:tcPr>
          <w:p w14:paraId="0A1502CB">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349" w:type="pct"/>
            <w:tcBorders>
              <w:top w:val="nil"/>
              <w:left w:val="nil"/>
              <w:bottom w:val="single" w:color="auto" w:sz="4" w:space="0"/>
              <w:right w:val="single" w:color="auto" w:sz="4" w:space="0"/>
            </w:tcBorders>
            <w:shd w:val="clear" w:color="auto" w:fill="auto"/>
            <w:noWrap/>
            <w:vAlign w:val="center"/>
          </w:tcPr>
          <w:p w14:paraId="6318D71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4,6</w:t>
            </w:r>
          </w:p>
        </w:tc>
        <w:tc>
          <w:tcPr>
            <w:tcW w:w="285" w:type="pct"/>
            <w:tcBorders>
              <w:top w:val="nil"/>
              <w:left w:val="nil"/>
              <w:bottom w:val="single" w:color="auto" w:sz="4" w:space="0"/>
              <w:right w:val="single" w:color="auto" w:sz="4" w:space="0"/>
            </w:tcBorders>
            <w:shd w:val="clear" w:color="auto" w:fill="auto"/>
            <w:noWrap/>
            <w:vAlign w:val="center"/>
          </w:tcPr>
          <w:p w14:paraId="4B01B50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3,8</w:t>
            </w:r>
          </w:p>
        </w:tc>
        <w:tc>
          <w:tcPr>
            <w:tcW w:w="304" w:type="pct"/>
            <w:tcBorders>
              <w:top w:val="nil"/>
              <w:left w:val="nil"/>
              <w:bottom w:val="single" w:color="auto" w:sz="4" w:space="0"/>
              <w:right w:val="single" w:color="auto" w:sz="4" w:space="0"/>
            </w:tcBorders>
            <w:shd w:val="clear" w:color="auto" w:fill="auto"/>
            <w:noWrap/>
            <w:vAlign w:val="center"/>
          </w:tcPr>
          <w:p w14:paraId="1B899AB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3,4</w:t>
            </w:r>
          </w:p>
        </w:tc>
        <w:tc>
          <w:tcPr>
            <w:tcW w:w="304" w:type="pct"/>
            <w:tcBorders>
              <w:top w:val="nil"/>
              <w:left w:val="nil"/>
              <w:bottom w:val="single" w:color="auto" w:sz="4" w:space="0"/>
              <w:right w:val="single" w:color="auto" w:sz="4" w:space="0"/>
            </w:tcBorders>
            <w:shd w:val="clear" w:color="auto" w:fill="auto"/>
            <w:noWrap/>
            <w:vAlign w:val="center"/>
          </w:tcPr>
          <w:p w14:paraId="09003C0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3,0</w:t>
            </w:r>
          </w:p>
        </w:tc>
        <w:tc>
          <w:tcPr>
            <w:tcW w:w="330" w:type="pct"/>
            <w:tcBorders>
              <w:top w:val="nil"/>
              <w:left w:val="nil"/>
              <w:bottom w:val="single" w:color="auto" w:sz="4" w:space="0"/>
              <w:right w:val="single" w:color="auto" w:sz="4" w:space="0"/>
            </w:tcBorders>
            <w:shd w:val="clear" w:color="auto" w:fill="auto"/>
            <w:noWrap/>
            <w:vAlign w:val="center"/>
          </w:tcPr>
          <w:p w14:paraId="690C06E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4,0</w:t>
            </w:r>
          </w:p>
        </w:tc>
        <w:tc>
          <w:tcPr>
            <w:tcW w:w="305" w:type="pct"/>
            <w:tcBorders>
              <w:top w:val="nil"/>
              <w:left w:val="nil"/>
              <w:bottom w:val="single" w:color="auto" w:sz="4" w:space="0"/>
              <w:right w:val="single" w:color="auto" w:sz="4" w:space="0"/>
            </w:tcBorders>
            <w:shd w:val="clear" w:color="auto" w:fill="auto"/>
            <w:noWrap/>
            <w:vAlign w:val="center"/>
          </w:tcPr>
          <w:p w14:paraId="0D71996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3,4</w:t>
            </w:r>
          </w:p>
        </w:tc>
        <w:tc>
          <w:tcPr>
            <w:tcW w:w="277" w:type="pct"/>
            <w:tcBorders>
              <w:top w:val="nil"/>
              <w:left w:val="nil"/>
              <w:bottom w:val="single" w:color="auto" w:sz="4" w:space="0"/>
              <w:right w:val="single" w:color="auto" w:sz="4" w:space="0"/>
            </w:tcBorders>
            <w:shd w:val="clear" w:color="auto" w:fill="auto"/>
            <w:noWrap/>
            <w:vAlign w:val="center"/>
          </w:tcPr>
          <w:p w14:paraId="5A168A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53,9</w:t>
            </w:r>
          </w:p>
        </w:tc>
        <w:tc>
          <w:tcPr>
            <w:tcW w:w="277" w:type="pct"/>
            <w:tcBorders>
              <w:top w:val="nil"/>
              <w:left w:val="nil"/>
              <w:bottom w:val="single" w:color="auto" w:sz="4" w:space="0"/>
              <w:right w:val="single" w:color="auto" w:sz="4" w:space="0"/>
            </w:tcBorders>
            <w:shd w:val="clear" w:color="auto" w:fill="auto"/>
            <w:noWrap/>
            <w:vAlign w:val="center"/>
          </w:tcPr>
          <w:p w14:paraId="2DCBAC3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53,0</w:t>
            </w:r>
          </w:p>
        </w:tc>
        <w:tc>
          <w:tcPr>
            <w:tcW w:w="277" w:type="pct"/>
            <w:tcBorders>
              <w:top w:val="nil"/>
              <w:left w:val="nil"/>
              <w:bottom w:val="single" w:color="auto" w:sz="4" w:space="0"/>
              <w:right w:val="single" w:color="auto" w:sz="4" w:space="0"/>
            </w:tcBorders>
            <w:shd w:val="clear" w:color="auto" w:fill="auto"/>
            <w:noWrap/>
            <w:vAlign w:val="center"/>
          </w:tcPr>
          <w:p w14:paraId="799B56E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50,5</w:t>
            </w:r>
          </w:p>
        </w:tc>
        <w:tc>
          <w:tcPr>
            <w:tcW w:w="277" w:type="pct"/>
            <w:tcBorders>
              <w:top w:val="nil"/>
              <w:left w:val="nil"/>
              <w:bottom w:val="single" w:color="auto" w:sz="4" w:space="0"/>
              <w:right w:val="single" w:color="auto" w:sz="4" w:space="0"/>
            </w:tcBorders>
            <w:shd w:val="clear" w:color="auto" w:fill="auto"/>
            <w:noWrap/>
            <w:vAlign w:val="center"/>
          </w:tcPr>
          <w:p w14:paraId="5762E03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48,0</w:t>
            </w:r>
          </w:p>
        </w:tc>
        <w:tc>
          <w:tcPr>
            <w:tcW w:w="277" w:type="pct"/>
            <w:tcBorders>
              <w:top w:val="nil"/>
              <w:left w:val="nil"/>
              <w:bottom w:val="single" w:color="auto" w:sz="4" w:space="0"/>
              <w:right w:val="single" w:color="auto" w:sz="4" w:space="0"/>
            </w:tcBorders>
            <w:shd w:val="clear" w:color="auto" w:fill="auto"/>
            <w:noWrap/>
            <w:vAlign w:val="center"/>
          </w:tcPr>
          <w:p w14:paraId="073FC23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44,8</w:t>
            </w:r>
          </w:p>
        </w:tc>
        <w:tc>
          <w:tcPr>
            <w:tcW w:w="279" w:type="pct"/>
            <w:tcBorders>
              <w:top w:val="nil"/>
              <w:left w:val="nil"/>
              <w:bottom w:val="single" w:color="auto" w:sz="4" w:space="0"/>
              <w:right w:val="single" w:color="auto" w:sz="4" w:space="0"/>
            </w:tcBorders>
            <w:shd w:val="clear" w:color="auto" w:fill="auto"/>
            <w:noWrap/>
            <w:vAlign w:val="center"/>
          </w:tcPr>
          <w:p w14:paraId="3409BE7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55,6</w:t>
            </w:r>
          </w:p>
        </w:tc>
      </w:tr>
      <w:tr w14:paraId="48055E00">
        <w:tblPrEx>
          <w:tblCellMar>
            <w:top w:w="0" w:type="dxa"/>
            <w:left w:w="70" w:type="dxa"/>
            <w:bottom w:w="0" w:type="dxa"/>
            <w:right w:w="70" w:type="dxa"/>
          </w:tblCellMar>
        </w:tblPrEx>
        <w:trPr>
          <w:trHeight w:val="340" w:hRule="atLeast"/>
        </w:trPr>
        <w:tc>
          <w:tcPr>
            <w:tcW w:w="1459" w:type="pct"/>
            <w:tcBorders>
              <w:top w:val="nil"/>
              <w:left w:val="single" w:color="auto" w:sz="4" w:space="0"/>
              <w:bottom w:val="single" w:color="auto" w:sz="4" w:space="0"/>
              <w:right w:val="single" w:color="auto" w:sz="4" w:space="0"/>
            </w:tcBorders>
            <w:shd w:val="clear" w:color="auto" w:fill="auto"/>
            <w:noWrap/>
            <w:vAlign w:val="center"/>
          </w:tcPr>
          <w:p w14:paraId="4C7458B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349" w:type="pct"/>
            <w:tcBorders>
              <w:top w:val="nil"/>
              <w:left w:val="nil"/>
              <w:bottom w:val="single" w:color="auto" w:sz="4" w:space="0"/>
              <w:right w:val="single" w:color="auto" w:sz="4" w:space="0"/>
            </w:tcBorders>
            <w:shd w:val="clear" w:color="auto" w:fill="auto"/>
            <w:noWrap/>
            <w:vAlign w:val="center"/>
          </w:tcPr>
          <w:p w14:paraId="267B953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5,6</w:t>
            </w:r>
          </w:p>
        </w:tc>
        <w:tc>
          <w:tcPr>
            <w:tcW w:w="285" w:type="pct"/>
            <w:tcBorders>
              <w:top w:val="nil"/>
              <w:left w:val="nil"/>
              <w:bottom w:val="single" w:color="auto" w:sz="4" w:space="0"/>
              <w:right w:val="single" w:color="auto" w:sz="4" w:space="0"/>
            </w:tcBorders>
            <w:shd w:val="clear" w:color="auto" w:fill="auto"/>
            <w:noWrap/>
            <w:vAlign w:val="center"/>
          </w:tcPr>
          <w:p w14:paraId="6E17E55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4,6</w:t>
            </w:r>
          </w:p>
        </w:tc>
        <w:tc>
          <w:tcPr>
            <w:tcW w:w="304" w:type="pct"/>
            <w:tcBorders>
              <w:top w:val="nil"/>
              <w:left w:val="nil"/>
              <w:bottom w:val="single" w:color="auto" w:sz="4" w:space="0"/>
              <w:right w:val="single" w:color="auto" w:sz="4" w:space="0"/>
            </w:tcBorders>
            <w:shd w:val="clear" w:color="auto" w:fill="auto"/>
            <w:noWrap/>
            <w:vAlign w:val="center"/>
          </w:tcPr>
          <w:p w14:paraId="25C6720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4,2</w:t>
            </w:r>
          </w:p>
        </w:tc>
        <w:tc>
          <w:tcPr>
            <w:tcW w:w="304" w:type="pct"/>
            <w:tcBorders>
              <w:top w:val="nil"/>
              <w:left w:val="nil"/>
              <w:bottom w:val="single" w:color="auto" w:sz="4" w:space="0"/>
              <w:right w:val="single" w:color="auto" w:sz="4" w:space="0"/>
            </w:tcBorders>
            <w:shd w:val="clear" w:color="auto" w:fill="auto"/>
            <w:noWrap/>
            <w:vAlign w:val="center"/>
          </w:tcPr>
          <w:p w14:paraId="4911698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3,8</w:t>
            </w:r>
          </w:p>
        </w:tc>
        <w:tc>
          <w:tcPr>
            <w:tcW w:w="330" w:type="pct"/>
            <w:tcBorders>
              <w:top w:val="nil"/>
              <w:left w:val="nil"/>
              <w:bottom w:val="single" w:color="auto" w:sz="4" w:space="0"/>
              <w:right w:val="single" w:color="auto" w:sz="4" w:space="0"/>
            </w:tcBorders>
            <w:shd w:val="clear" w:color="auto" w:fill="auto"/>
            <w:noWrap/>
            <w:vAlign w:val="center"/>
          </w:tcPr>
          <w:p w14:paraId="3C0B65D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4,6</w:t>
            </w:r>
          </w:p>
        </w:tc>
        <w:tc>
          <w:tcPr>
            <w:tcW w:w="305" w:type="pct"/>
            <w:tcBorders>
              <w:top w:val="nil"/>
              <w:left w:val="nil"/>
              <w:bottom w:val="single" w:color="auto" w:sz="4" w:space="0"/>
              <w:right w:val="single" w:color="auto" w:sz="4" w:space="0"/>
            </w:tcBorders>
            <w:shd w:val="clear" w:color="auto" w:fill="auto"/>
            <w:noWrap/>
            <w:vAlign w:val="center"/>
          </w:tcPr>
          <w:p w14:paraId="1C4DFF1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4,0</w:t>
            </w:r>
          </w:p>
        </w:tc>
        <w:tc>
          <w:tcPr>
            <w:tcW w:w="277" w:type="pct"/>
            <w:tcBorders>
              <w:top w:val="nil"/>
              <w:left w:val="nil"/>
              <w:bottom w:val="single" w:color="auto" w:sz="4" w:space="0"/>
              <w:right w:val="single" w:color="auto" w:sz="4" w:space="0"/>
            </w:tcBorders>
            <w:shd w:val="clear" w:color="auto" w:fill="auto"/>
            <w:noWrap/>
            <w:vAlign w:val="center"/>
          </w:tcPr>
          <w:p w14:paraId="773FA1A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56,0</w:t>
            </w:r>
          </w:p>
        </w:tc>
        <w:tc>
          <w:tcPr>
            <w:tcW w:w="277" w:type="pct"/>
            <w:tcBorders>
              <w:top w:val="nil"/>
              <w:left w:val="nil"/>
              <w:bottom w:val="single" w:color="auto" w:sz="4" w:space="0"/>
              <w:right w:val="single" w:color="auto" w:sz="4" w:space="0"/>
            </w:tcBorders>
            <w:shd w:val="clear" w:color="auto" w:fill="auto"/>
            <w:noWrap/>
            <w:vAlign w:val="center"/>
          </w:tcPr>
          <w:p w14:paraId="5F2908B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55,0</w:t>
            </w:r>
          </w:p>
        </w:tc>
        <w:tc>
          <w:tcPr>
            <w:tcW w:w="277" w:type="pct"/>
            <w:tcBorders>
              <w:top w:val="nil"/>
              <w:left w:val="nil"/>
              <w:bottom w:val="single" w:color="auto" w:sz="4" w:space="0"/>
              <w:right w:val="single" w:color="auto" w:sz="4" w:space="0"/>
            </w:tcBorders>
            <w:shd w:val="clear" w:color="auto" w:fill="auto"/>
            <w:noWrap/>
            <w:vAlign w:val="center"/>
          </w:tcPr>
          <w:p w14:paraId="443F285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52,4</w:t>
            </w:r>
          </w:p>
        </w:tc>
        <w:tc>
          <w:tcPr>
            <w:tcW w:w="277" w:type="pct"/>
            <w:tcBorders>
              <w:top w:val="nil"/>
              <w:left w:val="nil"/>
              <w:bottom w:val="single" w:color="auto" w:sz="4" w:space="0"/>
              <w:right w:val="single" w:color="auto" w:sz="4" w:space="0"/>
            </w:tcBorders>
            <w:shd w:val="clear" w:color="auto" w:fill="auto"/>
            <w:noWrap/>
            <w:vAlign w:val="center"/>
          </w:tcPr>
          <w:p w14:paraId="45FC959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49,9</w:t>
            </w:r>
          </w:p>
        </w:tc>
        <w:tc>
          <w:tcPr>
            <w:tcW w:w="277" w:type="pct"/>
            <w:tcBorders>
              <w:top w:val="nil"/>
              <w:left w:val="nil"/>
              <w:bottom w:val="single" w:color="auto" w:sz="4" w:space="0"/>
              <w:right w:val="single" w:color="auto" w:sz="4" w:space="0"/>
            </w:tcBorders>
            <w:shd w:val="clear" w:color="auto" w:fill="auto"/>
            <w:noWrap/>
            <w:vAlign w:val="center"/>
          </w:tcPr>
          <w:p w14:paraId="0603638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49,3</w:t>
            </w:r>
          </w:p>
        </w:tc>
        <w:tc>
          <w:tcPr>
            <w:tcW w:w="279" w:type="pct"/>
            <w:tcBorders>
              <w:top w:val="nil"/>
              <w:left w:val="nil"/>
              <w:bottom w:val="single" w:color="auto" w:sz="4" w:space="0"/>
              <w:right w:val="single" w:color="auto" w:sz="4" w:space="0"/>
            </w:tcBorders>
            <w:shd w:val="clear" w:color="auto" w:fill="auto"/>
            <w:noWrap/>
            <w:vAlign w:val="center"/>
          </w:tcPr>
          <w:p w14:paraId="4B0CEE5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56,6</w:t>
            </w:r>
          </w:p>
        </w:tc>
      </w:tr>
    </w:tbl>
    <w:p w14:paraId="018675A6">
      <w:pPr>
        <w:jc w:val="center"/>
        <w:rPr>
          <w:rFonts w:ascii="Times New Roman" w:hAnsi="Times New Roman" w:cs="Times New Roman"/>
          <w:i/>
          <w:iCs/>
        </w:rPr>
      </w:pPr>
      <w:r>
        <w:rPr>
          <w:rFonts w:ascii="Times New Roman" w:hAnsi="Times New Roman" w:cs="Times New Roman"/>
          <w:i/>
          <w:iCs/>
        </w:rPr>
        <w:t>Źródło: opracowanie własne na podstawie danych GUS</w:t>
      </w:r>
      <w:bookmarkStart w:id="78" w:name="_Toc112838933"/>
    </w:p>
    <w:p w14:paraId="781EA831">
      <w:pPr>
        <w:tabs>
          <w:tab w:val="left" w:pos="7797"/>
        </w:tabs>
        <w:spacing w:after="0" w:line="276" w:lineRule="auto"/>
        <w:ind w:firstLine="709"/>
        <w:jc w:val="both"/>
        <w:rPr>
          <w:rFonts w:ascii="Times New Roman" w:hAnsi="Times New Roman" w:eastAsia="Calibri" w:cs="Times New Roman"/>
          <w:iCs/>
        </w:rPr>
      </w:pPr>
      <w:r>
        <w:rPr>
          <w:rFonts w:ascii="Times New Roman" w:hAnsi="Times New Roman" w:eastAsia="Calibri" w:cs="Times New Roman"/>
          <w:iCs/>
        </w:rPr>
        <w:t xml:space="preserve">Na obszarze LGD obserwuje się systematyczny spadek bezrobocia (wyjątek stanowił rok 2020, kiedy wystąpił nagły wzrost liczby bezrobotnych – wzrost wystąpił również w województwie i kraju). W 2021 r. wskaźnik </w:t>
      </w:r>
      <w:r>
        <w:rPr>
          <w:rFonts w:ascii="Times New Roman" w:hAnsi="Times New Roman" w:eastAsia="Calibri" w:cs="Times New Roman"/>
          <w:i/>
          <w:iCs/>
        </w:rPr>
        <w:t xml:space="preserve">udział bezrobotnych zarejestrowanych w liczbie ludności w wieku produkcyjnym </w:t>
      </w:r>
      <w:r>
        <w:rPr>
          <w:rFonts w:ascii="Times New Roman" w:hAnsi="Times New Roman" w:eastAsia="Calibri" w:cs="Times New Roman"/>
          <w:iCs/>
        </w:rPr>
        <w:t xml:space="preserve">na obszarze LGD (1,7%) był niższy niż średnia w województwie (3,4%) oraz średnia w kraju (4,0%). Pozytywnym zjawiskiem jest również fakt spadku poziomu bezrobocia długoterminowego – wartość wskaźnika </w:t>
      </w:r>
      <w:r>
        <w:rPr>
          <w:rFonts w:ascii="Times New Roman" w:hAnsi="Times New Roman" w:eastAsia="Calibri" w:cs="Times New Roman"/>
          <w:i/>
          <w:iCs/>
        </w:rPr>
        <w:t xml:space="preserve">udział długotrwale bezrobotnych w liczbie bezrobotnych ogółem </w:t>
      </w:r>
      <w:r>
        <w:rPr>
          <w:rFonts w:ascii="Times New Roman" w:hAnsi="Times New Roman" w:eastAsia="Calibri" w:cs="Times New Roman"/>
          <w:iCs/>
        </w:rPr>
        <w:t xml:space="preserve">w latach 2016–2021 wahała się, przy czym ostatecznie w 2021 roku w stosunku do roku 2016 nastąpił spadek wartości wskaźnika o 2,4 pp., podczas gdy tendencja w województwie i kraju była odwrotna – nastąpił wzrost bezrobocia długoterminowego – odpowiednio o 1,7 pp. i 0,6 pp. Wśród gmin obszaru w 2021 r. najniższa i najbardziej korzystna wartość wskaźnika wystąpiła w Gminie Tokarnia – 23,9%, natomiast najwyższa </w:t>
      </w:r>
      <w:r>
        <w:rPr>
          <w:rFonts w:ascii="Times New Roman" w:hAnsi="Times New Roman" w:eastAsia="Calibri" w:cs="Times New Roman"/>
          <w:iCs/>
        </w:rPr>
        <w:br w:type="textWrapping"/>
      </w:r>
      <w:r>
        <w:rPr>
          <w:rFonts w:ascii="Times New Roman" w:hAnsi="Times New Roman" w:eastAsia="Calibri" w:cs="Times New Roman"/>
          <w:iCs/>
        </w:rPr>
        <w:t xml:space="preserve">w Gminie Sułkowice – 35,7%. </w:t>
      </w:r>
    </w:p>
    <w:bookmarkEnd w:id="78"/>
    <w:p w14:paraId="552C1A5B">
      <w:pPr>
        <w:spacing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ab/>
      </w:r>
      <w:r>
        <w:rPr>
          <w:rFonts w:ascii="Times New Roman" w:hAnsi="Times New Roman" w:cs="Times New Roman"/>
          <w:color w:val="000000" w:themeColor="text1"/>
          <w14:textFill>
            <w14:solidFill>
              <w14:schemeClr w14:val="tx1"/>
            </w14:solidFill>
          </w14:textFill>
        </w:rPr>
        <w:t xml:space="preserve">Na wykresie 9 przedstawiono procentowy udział bezrobotnych ze względu na płeć na obszarze LGD,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województwie i kraju. Wśród osób bezrobotnych na terenie LGD przeważają kobiety i jest to podobny trend jak w województwie i kraju. Wskaźnik </w:t>
      </w:r>
      <w:r>
        <w:rPr>
          <w:rFonts w:ascii="Times New Roman" w:hAnsi="Times New Roman" w:cs="Times New Roman"/>
          <w:i/>
          <w:iCs/>
          <w:color w:val="000000" w:themeColor="text1"/>
          <w14:textFill>
            <w14:solidFill>
              <w14:schemeClr w14:val="tx1"/>
            </w14:solidFill>
          </w14:textFill>
        </w:rPr>
        <w:t xml:space="preserve">udział kobiet wśród bezrobotnych ogółem </w:t>
      </w:r>
      <w:r>
        <w:rPr>
          <w:rFonts w:ascii="Times New Roman" w:hAnsi="Times New Roman" w:cs="Times New Roman"/>
          <w:color w:val="000000" w:themeColor="text1"/>
          <w14:textFill>
            <w14:solidFill>
              <w14:schemeClr w14:val="tx1"/>
            </w14:solidFill>
          </w14:textFill>
        </w:rPr>
        <w:t>w 2021 r. wynosił 50,7%, przy średniej dla województwa – 54,4% i średniej dla kraju – 53,8%</w:t>
      </w:r>
    </w:p>
    <w:p w14:paraId="283DF0D1">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79" w:name="_Toc112838969"/>
      <w:bookmarkStart w:id="80" w:name="_Toc134966321"/>
      <w:bookmarkStart w:id="81" w:name="_Toc136240713"/>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9</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Procentowy udział bezrobotnych według płci na obszarze LGD, w województwie i kraju w 2021 r.</w:t>
      </w:r>
      <w:bookmarkEnd w:id="79"/>
      <w:bookmarkEnd w:id="80"/>
      <w:bookmarkEnd w:id="81"/>
    </w:p>
    <w:p w14:paraId="6B4C4835">
      <w:pPr>
        <w:spacing w:after="0" w:line="276" w:lineRule="auto"/>
        <w:jc w:val="center"/>
        <w:rPr>
          <w:rFonts w:ascii="Times New Roman" w:hAnsi="Times New Roman" w:cs="Times New Roman"/>
          <w:color w:val="000000" w:themeColor="text1"/>
          <w14:textFill>
            <w14:solidFill>
              <w14:schemeClr w14:val="tx1"/>
            </w14:solidFill>
          </w14:textFill>
        </w:rPr>
      </w:pPr>
      <w:r>
        <w:rPr>
          <w:lang w:eastAsia="pl-PL"/>
        </w:rPr>
        <w:drawing>
          <wp:inline distT="0" distB="0" distL="0" distR="0">
            <wp:extent cx="5669915" cy="1828800"/>
            <wp:effectExtent l="0" t="0" r="6985"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7B01A0">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51FA5860">
      <w:pPr>
        <w:spacing w:line="276"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Przy obliczeniu wskaźnika </w:t>
      </w:r>
      <w:r>
        <w:rPr>
          <w:rFonts w:ascii="Times New Roman" w:hAnsi="Times New Roman" w:cs="Times New Roman"/>
          <w:b/>
          <w:bCs/>
          <w:i/>
          <w:iCs/>
          <w:color w:val="000000" w:themeColor="text1"/>
          <w14:textFill>
            <w14:solidFill>
              <w14:schemeClr w14:val="tx1"/>
            </w14:solidFill>
          </w14:textFill>
        </w:rPr>
        <w:t>udział liczby bezrobotnych zarejestrowanych na obszarze LSR w liczbie ludności w wieku produkcyjnym na obszarze objętym LSR, według stanu na koniec 2020 r.</w:t>
      </w:r>
      <w:r>
        <w:rPr>
          <w:rFonts w:ascii="Times New Roman" w:hAnsi="Times New Roman" w:cs="Times New Roman"/>
          <w:b/>
          <w:bCs/>
          <w:color w:val="000000" w:themeColor="text1"/>
          <w14:textFill>
            <w14:solidFill>
              <w14:schemeClr w14:val="tx1"/>
            </w14:solidFill>
          </w14:textFill>
        </w:rPr>
        <w:t xml:space="preserve"> ze wzoru:</w:t>
      </w:r>
    </w:p>
    <w:p w14:paraId="1AB3CC2C">
      <w:pPr>
        <w:spacing w:before="240" w:line="360" w:lineRule="auto"/>
        <w:jc w:val="center"/>
        <w:rPr>
          <w:rFonts w:ascii="Times New Roman" w:hAnsi="Times New Roman" w:cs="Times New Roman" w:eastAsiaTheme="minorEastAsia"/>
          <w:b/>
          <w:bCs/>
          <w:color w:val="000000" w:themeColor="text1"/>
          <w14:textFill>
            <w14:solidFill>
              <w14:schemeClr w14:val="tx1"/>
            </w14:solidFill>
          </w14:textFill>
        </w:rPr>
      </w:pPr>
      <m:oMath>
        <m:r>
          <m:rPr>
            <m:sty m:val="bi"/>
          </m:rPr>
          <w:rPr>
            <w:rFonts w:ascii="Cambria Math" w:hAnsi="Cambria Math" w:cs="Times New Roman"/>
            <w:color w:val="000000" w:themeColor="text1"/>
            <w14:textFill>
              <w14:solidFill>
                <w14:schemeClr w14:val="tx1"/>
              </w14:solidFill>
            </w14:textFill>
          </w:rPr>
          <m:t xml:space="preserve"> 5 x (1− </m:t>
        </m:r>
        <m:f>
          <m:fPr>
            <m:ctrlPr>
              <w:rPr>
                <w:rFonts w:ascii="Cambria Math" w:hAnsi="Cambria Math" w:cs="Times New Roman"/>
                <w:b/>
                <w:bCs/>
                <w:i/>
                <w:color w:val="000000" w:themeColor="text1"/>
                <w14:textFill>
                  <w14:solidFill>
                    <w14:schemeClr w14:val="tx1"/>
                  </w14:solidFill>
                </w14:textFill>
              </w:rPr>
            </m:ctrlPr>
          </m:fPr>
          <m:num>
            <m:r>
              <m:rPr>
                <m:sty m:val="bi"/>
              </m:rPr>
              <w:rPr>
                <w:rFonts w:ascii="Cambria Math" w:hAnsi="Cambria Math" w:cs="Times New Roman"/>
                <w:color w:val="000000" w:themeColor="text1"/>
                <w14:textFill>
                  <w14:solidFill>
                    <w14:schemeClr w14:val="tx1"/>
                  </w14:solidFill>
                </w14:textFill>
              </w:rPr>
              <m:t>0,015 x ludność w wieku produkcyjnym</m:t>
            </m:r>
            <m:ctrlPr>
              <w:rPr>
                <w:rFonts w:ascii="Cambria Math" w:hAnsi="Cambria Math" w:cs="Times New Roman"/>
                <w:b/>
                <w:bCs/>
                <w:i/>
                <w:color w:val="000000" w:themeColor="text1"/>
                <w14:textFill>
                  <w14:solidFill>
                    <w14:schemeClr w14:val="tx1"/>
                  </w14:solidFill>
                </w14:textFill>
              </w:rPr>
            </m:ctrlPr>
          </m:num>
          <m:den>
            <m:r>
              <m:rPr>
                <m:sty m:val="bi"/>
              </m:rPr>
              <w:rPr>
                <w:rFonts w:ascii="Cambria Math" w:hAnsi="Cambria Math" w:cs="Times New Roman"/>
                <w:color w:val="000000" w:themeColor="text1"/>
                <w14:textFill>
                  <w14:solidFill>
                    <w14:schemeClr w14:val="tx1"/>
                  </w14:solidFill>
                </w14:textFill>
              </w:rPr>
              <m:t>liczba bezrobotnych</m:t>
            </m:r>
            <m:ctrlPr>
              <w:rPr>
                <w:rFonts w:ascii="Cambria Math" w:hAnsi="Cambria Math" w:cs="Times New Roman"/>
                <w:b/>
                <w:bCs/>
                <w:i/>
                <w:color w:val="000000" w:themeColor="text1"/>
                <w14:textFill>
                  <w14:solidFill>
                    <w14:schemeClr w14:val="tx1"/>
                  </w14:solidFill>
                </w14:textFill>
              </w:rPr>
            </m:ctrlPr>
          </m:den>
        </m:f>
        <m:r>
          <m:rPr>
            <m:sty m:val="bi"/>
          </m:rPr>
          <w:rPr>
            <w:rFonts w:ascii="Cambria Math" w:hAnsi="Cambria Math" w:cs="Times New Roman"/>
            <w:color w:val="000000" w:themeColor="text1"/>
            <w14:textFill>
              <w14:solidFill>
                <w14:schemeClr w14:val="tx1"/>
              </w14:solidFill>
            </w14:textFill>
          </w:rPr>
          <m:t>)</m:t>
        </m:r>
      </m:oMath>
      <w:r>
        <w:rPr>
          <w:rFonts w:ascii="Times New Roman" w:hAnsi="Times New Roman" w:cs="Times New Roman" w:eastAsiaTheme="minorEastAsia"/>
          <w:b/>
          <w:bCs/>
          <w:color w:val="000000" w:themeColor="text1"/>
          <w14:textFill>
            <w14:solidFill>
              <w14:schemeClr w14:val="tx1"/>
            </w14:solidFill>
          </w14:textFill>
        </w:rPr>
        <w:t xml:space="preserve"> obszar LGD osiąga wartość 1,80.</w:t>
      </w:r>
    </w:p>
    <w:p w14:paraId="5961EC4C">
      <w:pPr>
        <w:pStyle w:val="28"/>
        <w:numPr>
          <w:ilvl w:val="1"/>
          <w:numId w:val="15"/>
        </w:numPr>
        <w:spacing w:before="240" w:after="0"/>
        <w:ind w:left="1701" w:hanging="567"/>
        <w:contextualSpacing w:val="0"/>
        <w:rPr>
          <w:rFonts w:ascii="Times New Roman" w:hAnsi="Times New Roman" w:cs="Times New Roman"/>
          <w:b/>
          <w:bCs/>
        </w:rPr>
      </w:pPr>
      <w:r>
        <w:rPr>
          <w:rFonts w:ascii="Times New Roman" w:hAnsi="Times New Roman" w:cs="Times New Roman"/>
          <w:b/>
          <w:bCs/>
        </w:rPr>
        <w:t>Problemy społeczne</w:t>
      </w:r>
    </w:p>
    <w:p w14:paraId="1CB2F315">
      <w:pPr>
        <w:spacing w:before="240" w:line="276" w:lineRule="auto"/>
        <w:ind w:firstLine="708"/>
        <w:jc w:val="both"/>
        <w:rPr>
          <w:rFonts w:ascii="Times New Roman" w:hAnsi="Times New Roman" w:eastAsia="Calibri" w:cs="Times New Roman"/>
          <w:color w:val="000000"/>
          <w:szCs w:val="20"/>
        </w:rPr>
      </w:pPr>
      <w:r>
        <w:rPr>
          <w:rFonts w:ascii="Times New Roman" w:hAnsi="Times New Roman" w:eastAsia="Calibri" w:cs="Times New Roman"/>
          <w:color w:val="000000"/>
          <w:szCs w:val="20"/>
        </w:rPr>
        <w:t xml:space="preserve">We wszystkich gminach obszaru LGD „MDiG” działają ośrodki pomocy społecznej, których zadaniem jest m.in. udzielanie pomocy społecznej osobom i rodzinom w trudnej sytuacji, w szczególności z powodu: ubóstwa, bezdomności, bezrobocia, niepełnosprawności, przemocy w rodzinie, potrzeby ochrony macierzyństwa lub wielodzietności, alkoholizmu, narkomanii, zdarzenia losowego itp. </w:t>
      </w:r>
    </w:p>
    <w:p w14:paraId="18242D72">
      <w:pPr>
        <w:spacing w:after="0" w:line="276" w:lineRule="auto"/>
        <w:ind w:firstLine="708"/>
        <w:jc w:val="both"/>
        <w:rPr>
          <w:rFonts w:ascii="Times New Roman" w:hAnsi="Times New Roman" w:eastAsia="Calibri" w:cs="Times New Roman"/>
          <w:color w:val="000000"/>
          <w:szCs w:val="20"/>
        </w:rPr>
      </w:pPr>
      <w:r>
        <w:rPr>
          <w:rFonts w:ascii="Times New Roman" w:hAnsi="Times New Roman" w:eastAsia="Calibri" w:cs="Times New Roman"/>
          <w:color w:val="000000"/>
          <w:szCs w:val="20"/>
        </w:rPr>
        <w:t xml:space="preserve">Sytuację panującą na obszarze LGD w zakresie polityki społecznej obrazują następujące wskaźniki: </w:t>
      </w:r>
      <w:r>
        <w:rPr>
          <w:rFonts w:ascii="Times New Roman" w:hAnsi="Times New Roman" w:eastAsia="Calibri" w:cs="Times New Roman"/>
          <w:i/>
          <w:iCs/>
          <w:color w:val="000000"/>
          <w:szCs w:val="20"/>
        </w:rPr>
        <w:t>udział osób korzystających ze środowiskowej pomocy społecznej w liczbie mieszkańców ogółem, gospodarstwa domowe korzystające ze środowiskowej pomocy społecznej wg kryterium dochodowego na 10 tys. mieszkańców.</w:t>
      </w:r>
    </w:p>
    <w:p w14:paraId="3EF02676">
      <w:pPr>
        <w:spacing w:line="276" w:lineRule="auto"/>
        <w:ind w:firstLine="708"/>
        <w:jc w:val="both"/>
        <w:rPr>
          <w:rFonts w:ascii="Times New Roman" w:hAnsi="Times New Roman" w:eastAsia="Calibri" w:cs="Times New Roman"/>
          <w:color w:val="000000"/>
          <w:szCs w:val="20"/>
        </w:rPr>
      </w:pPr>
      <w:bookmarkStart w:id="82" w:name="_Toc112838978"/>
      <w:r>
        <w:rPr>
          <w:rFonts w:ascii="Times New Roman" w:hAnsi="Times New Roman" w:eastAsia="Calibri" w:cs="Times New Roman"/>
          <w:color w:val="000000"/>
          <w:szCs w:val="20"/>
        </w:rPr>
        <w:t xml:space="preserve">Wartość wskaźnika </w:t>
      </w:r>
      <w:r>
        <w:rPr>
          <w:rFonts w:ascii="Times New Roman" w:hAnsi="Times New Roman" w:eastAsia="Calibri" w:cs="Times New Roman"/>
          <w:i/>
          <w:iCs/>
          <w:color w:val="000000"/>
          <w:szCs w:val="20"/>
        </w:rPr>
        <w:t xml:space="preserve">udział osób korzystających ze środowiskowej pomocy społecznej w liczbie mieszkańców ogółem </w:t>
      </w:r>
      <w:r>
        <w:rPr>
          <w:rFonts w:ascii="Times New Roman" w:hAnsi="Times New Roman" w:eastAsia="Calibri" w:cs="Times New Roman"/>
          <w:color w:val="000000"/>
          <w:szCs w:val="20"/>
        </w:rPr>
        <w:t>przedstawiono na wykresach 10 i 11.</w:t>
      </w:r>
    </w:p>
    <w:p w14:paraId="1E00519D">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83" w:name="_Toc136240714"/>
      <w:bookmarkStart w:id="84" w:name="_Toc134966322"/>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10</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t xml:space="preserve"> </w:t>
      </w:r>
      <w:r>
        <w:rPr>
          <w:rFonts w:ascii="Times New Roman" w:hAnsi="Times New Roman" w:cs="Times New Roman"/>
          <w:b/>
          <w:bCs/>
          <w:i w:val="0"/>
          <w:iCs w:val="0"/>
          <w:color w:val="000000" w:themeColor="text1"/>
          <w:sz w:val="20"/>
          <w:szCs w:val="20"/>
          <w14:textFill>
            <w14:solidFill>
              <w14:schemeClr w14:val="tx1"/>
            </w14:solidFill>
          </w14:textFill>
        </w:rPr>
        <w:t>Udział osób korzystających ze środowiskowej pomocy społecznej w liczbie mieszkańców ogółem na obszarze LGD w latach 2016–202</w:t>
      </w:r>
      <w:bookmarkEnd w:id="82"/>
      <w:r>
        <w:rPr>
          <w:rFonts w:ascii="Times New Roman" w:hAnsi="Times New Roman" w:cs="Times New Roman"/>
          <w:b/>
          <w:bCs/>
          <w:i w:val="0"/>
          <w:iCs w:val="0"/>
          <w:color w:val="000000" w:themeColor="text1"/>
          <w:sz w:val="20"/>
          <w:szCs w:val="20"/>
          <w14:textFill>
            <w14:solidFill>
              <w14:schemeClr w14:val="tx1"/>
            </w14:solidFill>
          </w14:textFill>
        </w:rPr>
        <w:t>0</w:t>
      </w:r>
      <w:bookmarkEnd w:id="83"/>
      <w:bookmarkEnd w:id="84"/>
    </w:p>
    <w:p w14:paraId="0D47B839">
      <w:pPr>
        <w:spacing w:after="0" w:line="240" w:lineRule="auto"/>
        <w:jc w:val="center"/>
      </w:pPr>
      <w:r>
        <w:rPr>
          <w:lang w:eastAsia="pl-PL"/>
        </w:rPr>
        <w:drawing>
          <wp:inline distT="0" distB="0" distL="0" distR="0">
            <wp:extent cx="4859655" cy="1979930"/>
            <wp:effectExtent l="0" t="0" r="0" b="127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73216D">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bookmarkStart w:id="85" w:name="_Toc112838939"/>
    </w:p>
    <w:bookmarkEnd w:id="85"/>
    <w:p w14:paraId="42D60759">
      <w:pPr>
        <w:spacing w:before="240" w:after="0" w:line="240" w:lineRule="auto"/>
        <w:jc w:val="center"/>
        <w:rPr>
          <w:rFonts w:ascii="Times New Roman" w:hAnsi="Times New Roman" w:eastAsia="Calibri" w:cs="Times New Roman"/>
          <w:b/>
          <w:bCs/>
          <w:sz w:val="20"/>
          <w:szCs w:val="20"/>
        </w:rPr>
      </w:pPr>
      <w:bookmarkStart w:id="86" w:name="_Toc136240715"/>
      <w:bookmarkStart w:id="87" w:name="_Toc120467307"/>
      <w:bookmarkStart w:id="88" w:name="_Toc134966323"/>
      <w:r>
        <w:rPr>
          <w:rFonts w:ascii="Times New Roman" w:hAnsi="Times New Roman" w:eastAsia="Calibri" w:cs="Times New Roman"/>
          <w:b/>
          <w:bCs/>
          <w:sz w:val="20"/>
          <w:szCs w:val="20"/>
        </w:rPr>
        <w:t xml:space="preserve">Wykres </w:t>
      </w:r>
      <w:r>
        <w:rPr>
          <w:rFonts w:ascii="Times New Roman" w:hAnsi="Times New Roman" w:eastAsia="Calibri" w:cs="Times New Roman"/>
          <w:i/>
          <w:iCs/>
          <w:color w:val="44546A" w:themeColor="text2"/>
          <w:sz w:val="18"/>
          <w:szCs w:val="18"/>
          <w14:textFill>
            <w14:solidFill>
              <w14:schemeClr w14:val="tx2"/>
            </w14:solidFill>
          </w14:textFill>
        </w:rPr>
        <w:fldChar w:fldCharType="begin"/>
      </w:r>
      <w:r>
        <w:rPr>
          <w:rFonts w:ascii="Times New Roman" w:hAnsi="Times New Roman" w:eastAsia="Calibri" w:cs="Times New Roman"/>
          <w:b/>
          <w:bCs/>
          <w:sz w:val="20"/>
          <w:szCs w:val="20"/>
        </w:rPr>
        <w:instrText xml:space="preserve"> SEQ Wykres \* ARABIC </w:instrText>
      </w:r>
      <w:r>
        <w:rPr>
          <w:rFonts w:ascii="Times New Roman" w:hAnsi="Times New Roman" w:eastAsia="Calibri" w:cs="Times New Roman"/>
          <w:i/>
          <w:iCs/>
          <w:color w:val="44546A" w:themeColor="text2"/>
          <w:sz w:val="18"/>
          <w:szCs w:val="18"/>
          <w14:textFill>
            <w14:solidFill>
              <w14:schemeClr w14:val="tx2"/>
            </w14:solidFill>
          </w14:textFill>
        </w:rPr>
        <w:fldChar w:fldCharType="separate"/>
      </w:r>
      <w:r>
        <w:rPr>
          <w:rFonts w:ascii="Times New Roman" w:hAnsi="Times New Roman" w:eastAsia="Calibri" w:cs="Times New Roman"/>
          <w:b/>
          <w:bCs/>
          <w:sz w:val="20"/>
          <w:szCs w:val="20"/>
        </w:rPr>
        <w:t>11</w:t>
      </w:r>
      <w:r>
        <w:rPr>
          <w:rFonts w:ascii="Times New Roman" w:hAnsi="Times New Roman" w:eastAsia="Calibri" w:cs="Times New Roman"/>
          <w:i/>
          <w:iCs/>
          <w:color w:val="44546A" w:themeColor="text2"/>
          <w:sz w:val="18"/>
          <w:szCs w:val="18"/>
          <w14:textFill>
            <w14:solidFill>
              <w14:schemeClr w14:val="tx2"/>
            </w14:solidFill>
          </w14:textFill>
        </w:rPr>
        <w:fldChar w:fldCharType="end"/>
      </w:r>
      <w:r>
        <w:rPr>
          <w:rFonts w:ascii="Times New Roman" w:hAnsi="Times New Roman" w:eastAsia="Calibri" w:cs="Times New Roman"/>
          <w:b/>
          <w:bCs/>
          <w:sz w:val="20"/>
          <w:szCs w:val="20"/>
        </w:rPr>
        <w:t xml:space="preserve"> Udział osób korzystających ze środowiskowej pomocy społecznej w liczbie mieszkańców ogółem na obszarze LGD w porównaniu do województwa i kraju w 2020 r.</w:t>
      </w:r>
      <w:bookmarkEnd w:id="86"/>
      <w:bookmarkEnd w:id="87"/>
      <w:bookmarkEnd w:id="88"/>
    </w:p>
    <w:p w14:paraId="27E4B661">
      <w:pPr>
        <w:spacing w:before="240" w:after="0" w:line="240" w:lineRule="auto"/>
        <w:jc w:val="center"/>
        <w:rPr>
          <w:rFonts w:ascii="Times New Roman" w:hAnsi="Times New Roman" w:eastAsia="Calibri" w:cs="Times New Roman"/>
          <w:b/>
          <w:bCs/>
          <w:sz w:val="20"/>
          <w:szCs w:val="20"/>
        </w:rPr>
      </w:pPr>
      <w:r>
        <w:rPr>
          <w:lang w:eastAsia="pl-PL"/>
        </w:rPr>
        <w:drawing>
          <wp:inline distT="0" distB="0" distL="0" distR="0">
            <wp:extent cx="4835525" cy="2101850"/>
            <wp:effectExtent l="0" t="0" r="3175" b="0"/>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3560F0">
      <w:pPr>
        <w:spacing w:line="276" w:lineRule="auto"/>
        <w:jc w:val="center"/>
        <w:rPr>
          <w:rFonts w:ascii="Times New Roman" w:hAnsi="Times New Roman" w:eastAsia="Calibri" w:cs="Times New Roman"/>
          <w:i/>
          <w:iCs/>
          <w:sz w:val="20"/>
          <w:szCs w:val="20"/>
        </w:rPr>
      </w:pPr>
      <w:r>
        <w:rPr>
          <w:rFonts w:ascii="Times New Roman" w:hAnsi="Times New Roman" w:eastAsia="Calibri" w:cs="Times New Roman"/>
          <w:i/>
          <w:iCs/>
          <w:sz w:val="20"/>
          <w:szCs w:val="20"/>
        </w:rPr>
        <w:t>Źródło: opracowanie własne na podstawie danych GUS</w:t>
      </w:r>
    </w:p>
    <w:p w14:paraId="327CD5AC">
      <w:pPr>
        <w:spacing w:before="240" w:line="276"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Przy obliczeniu wskaźnika </w:t>
      </w:r>
      <w:r>
        <w:rPr>
          <w:rFonts w:ascii="Times New Roman" w:hAnsi="Times New Roman" w:cs="Times New Roman"/>
          <w:b/>
          <w:bCs/>
          <w:i/>
          <w:iCs/>
          <w:color w:val="000000" w:themeColor="text1"/>
          <w14:textFill>
            <w14:solidFill>
              <w14:schemeClr w14:val="tx1"/>
            </w14:solidFill>
          </w14:textFill>
        </w:rPr>
        <w:t>udział liczby osób korzystających ze środowiskowej pomocy społecznej na obszarze LSR w liczbie mieszkańców obszaru objętego LSR, według stanu na koniec 2020 r.</w:t>
      </w:r>
      <w:r>
        <w:rPr>
          <w:rFonts w:ascii="Times New Roman" w:hAnsi="Times New Roman" w:cs="Times New Roman"/>
          <w:b/>
          <w:bCs/>
          <w:color w:val="000000" w:themeColor="text1"/>
          <w14:textFill>
            <w14:solidFill>
              <w14:schemeClr w14:val="tx1"/>
            </w14:solidFill>
          </w14:textFill>
        </w:rPr>
        <w:t xml:space="preserve"> ze wzoru:</w:t>
      </w:r>
    </w:p>
    <w:p w14:paraId="7A1DFEFF">
      <w:pPr>
        <w:spacing w:before="240" w:line="360" w:lineRule="auto"/>
        <w:jc w:val="center"/>
        <w:rPr>
          <w:rFonts w:ascii="Times New Roman" w:hAnsi="Times New Roman" w:cs="Times New Roman" w:eastAsiaTheme="minorEastAsia"/>
          <w:b/>
          <w:bCs/>
          <w:color w:val="000000" w:themeColor="text1"/>
          <w14:textFill>
            <w14:solidFill>
              <w14:schemeClr w14:val="tx1"/>
            </w14:solidFill>
          </w14:textFill>
        </w:rPr>
      </w:pPr>
      <m:oMath>
        <m:r>
          <m:rPr>
            <m:sty m:val="bi"/>
          </m:rPr>
          <w:rPr>
            <w:rFonts w:ascii="Cambria Math" w:hAnsi="Cambria Math" w:cs="Times New Roman"/>
            <w:color w:val="000000" w:themeColor="text1"/>
            <w14:textFill>
              <w14:solidFill>
                <w14:schemeClr w14:val="tx1"/>
              </w14:solidFill>
            </w14:textFill>
          </w:rPr>
          <m:t xml:space="preserve"> 6 x (1− </m:t>
        </m:r>
        <m:f>
          <m:fPr>
            <m:ctrlPr>
              <w:rPr>
                <w:rFonts w:ascii="Cambria Math" w:hAnsi="Cambria Math" w:cs="Times New Roman"/>
                <w:b/>
                <w:bCs/>
                <w:i/>
                <w:color w:val="000000" w:themeColor="text1"/>
                <w14:textFill>
                  <w14:solidFill>
                    <w14:schemeClr w14:val="tx1"/>
                  </w14:solidFill>
                </w14:textFill>
              </w:rPr>
            </m:ctrlPr>
          </m:fPr>
          <m:num>
            <m:r>
              <m:rPr>
                <m:sty m:val="bi"/>
              </m:rPr>
              <w:rPr>
                <w:rFonts w:ascii="Cambria Math" w:hAnsi="Cambria Math" w:cs="Times New Roman"/>
                <w:color w:val="000000" w:themeColor="text1"/>
                <w14:textFill>
                  <w14:solidFill>
                    <w14:schemeClr w14:val="tx1"/>
                  </w14:solidFill>
                </w14:textFill>
              </w:rPr>
              <m:t>0,015 x liczba mieszkańców</m:t>
            </m:r>
            <m:ctrlPr>
              <w:rPr>
                <w:rFonts w:ascii="Cambria Math" w:hAnsi="Cambria Math" w:cs="Times New Roman"/>
                <w:b/>
                <w:bCs/>
                <w:i/>
                <w:color w:val="000000" w:themeColor="text1"/>
                <w14:textFill>
                  <w14:solidFill>
                    <w14:schemeClr w14:val="tx1"/>
                  </w14:solidFill>
                </w14:textFill>
              </w:rPr>
            </m:ctrlPr>
          </m:num>
          <m:den>
            <m:r>
              <m:rPr>
                <m:sty m:val="bi"/>
              </m:rPr>
              <w:rPr>
                <w:rFonts w:ascii="Cambria Math" w:hAnsi="Cambria Math" w:cs="Times New Roman"/>
                <w:color w:val="000000" w:themeColor="text1"/>
                <w14:textFill>
                  <w14:solidFill>
                    <w14:schemeClr w14:val="tx1"/>
                  </w14:solidFill>
                </w14:textFill>
              </w:rPr>
              <m:t>liczba osób korzystających z pomocy społecznej</m:t>
            </m:r>
            <m:ctrlPr>
              <w:rPr>
                <w:rFonts w:ascii="Cambria Math" w:hAnsi="Cambria Math" w:cs="Times New Roman"/>
                <w:b/>
                <w:bCs/>
                <w:i/>
                <w:color w:val="000000" w:themeColor="text1"/>
                <w14:textFill>
                  <w14:solidFill>
                    <w14:schemeClr w14:val="tx1"/>
                  </w14:solidFill>
                </w14:textFill>
              </w:rPr>
            </m:ctrlPr>
          </m:den>
        </m:f>
        <m:r>
          <m:rPr>
            <m:sty m:val="bi"/>
          </m:rPr>
          <w:rPr>
            <w:rFonts w:ascii="Cambria Math" w:hAnsi="Cambria Math" w:cs="Times New Roman"/>
            <w:color w:val="000000" w:themeColor="text1"/>
            <w14:textFill>
              <w14:solidFill>
                <w14:schemeClr w14:val="tx1"/>
              </w14:solidFill>
            </w14:textFill>
          </w:rPr>
          <m:t>)</m:t>
        </m:r>
      </m:oMath>
      <w:r>
        <w:rPr>
          <w:rFonts w:ascii="Times New Roman" w:hAnsi="Times New Roman" w:cs="Times New Roman" w:eastAsiaTheme="minorEastAsia"/>
          <w:b/>
          <w:bCs/>
          <w:color w:val="000000" w:themeColor="text1"/>
          <w14:textFill>
            <w14:solidFill>
              <w14:schemeClr w14:val="tx1"/>
            </w14:solidFill>
          </w14:textFill>
        </w:rPr>
        <w:t xml:space="preserve"> obszar LGD osiąga wartość 3,14.</w:t>
      </w:r>
    </w:p>
    <w:p w14:paraId="270BFF70">
      <w:pPr>
        <w:spacing w:line="276" w:lineRule="auto"/>
        <w:jc w:val="both"/>
        <w:rPr>
          <w:rFonts w:ascii="Times New Roman" w:hAnsi="Times New Roman" w:cs="Times New Roman"/>
        </w:rPr>
        <w:sectPr>
          <w:footerReference r:id="rId7" w:type="first"/>
          <w:pgSz w:w="11906" w:h="16838"/>
          <w:pgMar w:top="851" w:right="851" w:bottom="851" w:left="851" w:header="709" w:footer="709" w:gutter="0"/>
          <w:cols w:space="708" w:num="1"/>
          <w:titlePg/>
          <w:docGrid w:linePitch="360" w:charSpace="0"/>
        </w:sectPr>
      </w:pPr>
      <w:r>
        <w:rPr>
          <w:rFonts w:ascii="Times New Roman" w:hAnsi="Times New Roman" w:cs="Times New Roman"/>
        </w:rPr>
        <w:tab/>
      </w:r>
      <w:r>
        <w:rPr>
          <w:rFonts w:ascii="Times New Roman" w:hAnsi="Times New Roman" w:cs="Times New Roman"/>
        </w:rPr>
        <w:t xml:space="preserve">W tabeli 9 przedstawiono wartości wskaźnika </w:t>
      </w:r>
      <w:bookmarkStart w:id="89" w:name="_Hlk111039219"/>
      <w:r>
        <w:rPr>
          <w:rFonts w:ascii="Times New Roman" w:hAnsi="Times New Roman" w:cs="Times New Roman"/>
          <w:i/>
          <w:iCs/>
        </w:rPr>
        <w:t>gospodarstwa domowe korzystające ze środowiskowej pomocy społecznej wg kryterium dochodowego ogółem na 10 tys. mieszkańców</w:t>
      </w:r>
      <w:bookmarkEnd w:id="89"/>
      <w:r>
        <w:rPr>
          <w:rFonts w:ascii="Times New Roman" w:hAnsi="Times New Roman" w:cs="Times New Roman"/>
        </w:rPr>
        <w:t xml:space="preserve">. </w:t>
      </w:r>
    </w:p>
    <w:p w14:paraId="0FE8D2BB">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90" w:name="_Toc112152413"/>
      <w:bookmarkStart w:id="91" w:name="_Toc134966358"/>
      <w:bookmarkStart w:id="92" w:name="_Toc136241397"/>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9</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Gospodarstwa domowe korzystające ze środowiskowej pomocy społecznej wg kryterium dochodowego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 xml:space="preserve">ogółem na 10 tys. mieszkańców w gminach LGD oraz porównanie średniej obszaru LGD do województwa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i kraju w latach 2016–202</w:t>
      </w:r>
      <w:bookmarkEnd w:id="90"/>
      <w:r>
        <w:rPr>
          <w:rFonts w:ascii="Times New Roman" w:hAnsi="Times New Roman" w:cs="Times New Roman"/>
          <w:b/>
          <w:bCs/>
          <w:i w:val="0"/>
          <w:iCs w:val="0"/>
          <w:color w:val="000000" w:themeColor="text1"/>
          <w:sz w:val="20"/>
          <w:szCs w:val="20"/>
          <w14:textFill>
            <w14:solidFill>
              <w14:schemeClr w14:val="tx1"/>
            </w14:solidFill>
          </w14:textFill>
        </w:rPr>
        <w:t>1</w:t>
      </w:r>
      <w:bookmarkEnd w:id="91"/>
      <w:bookmarkEnd w:id="92"/>
    </w:p>
    <w:tbl>
      <w:tblPr>
        <w:tblStyle w:val="6"/>
        <w:tblW w:w="5000" w:type="pct"/>
        <w:tblInd w:w="0" w:type="dxa"/>
        <w:tblLayout w:type="autofit"/>
        <w:tblCellMar>
          <w:top w:w="0" w:type="dxa"/>
          <w:left w:w="70" w:type="dxa"/>
          <w:bottom w:w="0" w:type="dxa"/>
          <w:right w:w="70" w:type="dxa"/>
        </w:tblCellMar>
      </w:tblPr>
      <w:tblGrid>
        <w:gridCol w:w="3539"/>
        <w:gridCol w:w="1347"/>
        <w:gridCol w:w="1295"/>
        <w:gridCol w:w="1438"/>
        <w:gridCol w:w="1293"/>
        <w:gridCol w:w="1432"/>
      </w:tblGrid>
      <w:tr w14:paraId="0CBBF5E3">
        <w:tblPrEx>
          <w:tblCellMar>
            <w:top w:w="0" w:type="dxa"/>
            <w:left w:w="70" w:type="dxa"/>
            <w:bottom w:w="0" w:type="dxa"/>
            <w:right w:w="70" w:type="dxa"/>
          </w:tblCellMar>
        </w:tblPrEx>
        <w:trPr>
          <w:trHeight w:val="340" w:hRule="atLeast"/>
        </w:trPr>
        <w:tc>
          <w:tcPr>
            <w:tcW w:w="1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1FF292">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651" w:type="pct"/>
            <w:tcBorders>
              <w:top w:val="single" w:color="auto" w:sz="4" w:space="0"/>
              <w:left w:val="nil"/>
              <w:bottom w:val="single" w:color="auto" w:sz="4" w:space="0"/>
              <w:right w:val="single" w:color="auto" w:sz="4" w:space="0"/>
            </w:tcBorders>
            <w:shd w:val="clear" w:color="auto" w:fill="auto"/>
            <w:noWrap/>
            <w:vAlign w:val="center"/>
          </w:tcPr>
          <w:p w14:paraId="6EA9921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626" w:type="pct"/>
            <w:tcBorders>
              <w:top w:val="single" w:color="auto" w:sz="4" w:space="0"/>
              <w:left w:val="nil"/>
              <w:bottom w:val="single" w:color="auto" w:sz="4" w:space="0"/>
              <w:right w:val="single" w:color="auto" w:sz="4" w:space="0"/>
            </w:tcBorders>
            <w:shd w:val="clear" w:color="auto" w:fill="auto"/>
            <w:noWrap/>
            <w:vAlign w:val="center"/>
          </w:tcPr>
          <w:p w14:paraId="7A559DD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695" w:type="pct"/>
            <w:tcBorders>
              <w:top w:val="single" w:color="auto" w:sz="4" w:space="0"/>
              <w:left w:val="nil"/>
              <w:bottom w:val="single" w:color="auto" w:sz="4" w:space="0"/>
              <w:right w:val="single" w:color="auto" w:sz="4" w:space="0"/>
            </w:tcBorders>
            <w:shd w:val="clear" w:color="auto" w:fill="auto"/>
            <w:noWrap/>
            <w:vAlign w:val="center"/>
          </w:tcPr>
          <w:p w14:paraId="41964C0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625" w:type="pct"/>
            <w:tcBorders>
              <w:top w:val="single" w:color="auto" w:sz="4" w:space="0"/>
              <w:left w:val="nil"/>
              <w:bottom w:val="single" w:color="auto" w:sz="4" w:space="0"/>
              <w:right w:val="single" w:color="auto" w:sz="4" w:space="0"/>
            </w:tcBorders>
            <w:shd w:val="clear" w:color="auto" w:fill="auto"/>
            <w:noWrap/>
            <w:vAlign w:val="center"/>
          </w:tcPr>
          <w:p w14:paraId="3DF0790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692" w:type="pct"/>
            <w:tcBorders>
              <w:top w:val="single" w:color="auto" w:sz="4" w:space="0"/>
              <w:left w:val="nil"/>
              <w:bottom w:val="single" w:color="auto" w:sz="4" w:space="0"/>
              <w:right w:val="single" w:color="auto" w:sz="4" w:space="0"/>
            </w:tcBorders>
            <w:shd w:val="clear" w:color="auto" w:fill="auto"/>
            <w:noWrap/>
            <w:vAlign w:val="center"/>
          </w:tcPr>
          <w:p w14:paraId="4D60918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r>
      <w:tr w14:paraId="7C433C0E">
        <w:tblPrEx>
          <w:tblCellMar>
            <w:top w:w="0" w:type="dxa"/>
            <w:left w:w="70" w:type="dxa"/>
            <w:bottom w:w="0" w:type="dxa"/>
            <w:right w:w="70" w:type="dxa"/>
          </w:tblCellMar>
        </w:tblPrEx>
        <w:trPr>
          <w:trHeight w:val="397" w:hRule="atLeast"/>
        </w:trPr>
        <w:tc>
          <w:tcPr>
            <w:tcW w:w="1711" w:type="pct"/>
            <w:tcBorders>
              <w:top w:val="nil"/>
              <w:left w:val="single" w:color="auto" w:sz="4" w:space="0"/>
              <w:bottom w:val="single" w:color="auto" w:sz="4" w:space="0"/>
              <w:right w:val="single" w:color="auto" w:sz="4" w:space="0"/>
            </w:tcBorders>
            <w:shd w:val="clear" w:color="auto" w:fill="auto"/>
            <w:noWrap/>
            <w:vAlign w:val="center"/>
          </w:tcPr>
          <w:p w14:paraId="21D4B306">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651" w:type="pct"/>
            <w:tcBorders>
              <w:top w:val="nil"/>
              <w:left w:val="nil"/>
              <w:bottom w:val="single" w:color="auto" w:sz="4" w:space="0"/>
              <w:right w:val="single" w:color="auto" w:sz="4" w:space="0"/>
            </w:tcBorders>
            <w:shd w:val="clear" w:color="auto" w:fill="auto"/>
            <w:noWrap/>
            <w:vAlign w:val="center"/>
          </w:tcPr>
          <w:p w14:paraId="77E4B17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191</w:t>
            </w:r>
          </w:p>
        </w:tc>
        <w:tc>
          <w:tcPr>
            <w:tcW w:w="626" w:type="pct"/>
            <w:tcBorders>
              <w:top w:val="nil"/>
              <w:left w:val="nil"/>
              <w:bottom w:val="single" w:color="auto" w:sz="4" w:space="0"/>
              <w:right w:val="single" w:color="auto" w:sz="4" w:space="0"/>
            </w:tcBorders>
            <w:shd w:val="clear" w:color="auto" w:fill="auto"/>
            <w:noWrap/>
            <w:vAlign w:val="center"/>
          </w:tcPr>
          <w:p w14:paraId="1B7801B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144</w:t>
            </w:r>
          </w:p>
        </w:tc>
        <w:tc>
          <w:tcPr>
            <w:tcW w:w="695" w:type="pct"/>
            <w:tcBorders>
              <w:top w:val="nil"/>
              <w:left w:val="nil"/>
              <w:bottom w:val="single" w:color="auto" w:sz="4" w:space="0"/>
              <w:right w:val="single" w:color="auto" w:sz="4" w:space="0"/>
            </w:tcBorders>
            <w:shd w:val="clear" w:color="auto" w:fill="auto"/>
            <w:noWrap/>
            <w:vAlign w:val="center"/>
          </w:tcPr>
          <w:p w14:paraId="65E7607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141</w:t>
            </w:r>
          </w:p>
        </w:tc>
        <w:tc>
          <w:tcPr>
            <w:tcW w:w="625" w:type="pct"/>
            <w:tcBorders>
              <w:top w:val="nil"/>
              <w:left w:val="nil"/>
              <w:bottom w:val="single" w:color="auto" w:sz="4" w:space="0"/>
              <w:right w:val="single" w:color="auto" w:sz="4" w:space="0"/>
            </w:tcBorders>
            <w:shd w:val="clear" w:color="auto" w:fill="auto"/>
            <w:noWrap/>
            <w:vAlign w:val="center"/>
          </w:tcPr>
          <w:p w14:paraId="786B8C0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139</w:t>
            </w:r>
          </w:p>
        </w:tc>
        <w:tc>
          <w:tcPr>
            <w:tcW w:w="692" w:type="pct"/>
            <w:tcBorders>
              <w:top w:val="nil"/>
              <w:left w:val="nil"/>
              <w:bottom w:val="single" w:color="auto" w:sz="4" w:space="0"/>
              <w:right w:val="single" w:color="auto" w:sz="4" w:space="0"/>
            </w:tcBorders>
            <w:shd w:val="clear" w:color="auto" w:fill="auto"/>
            <w:noWrap/>
            <w:vAlign w:val="center"/>
          </w:tcPr>
          <w:p w14:paraId="50E8564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125</w:t>
            </w:r>
          </w:p>
        </w:tc>
      </w:tr>
      <w:tr w14:paraId="754455E4">
        <w:tblPrEx>
          <w:tblCellMar>
            <w:top w:w="0" w:type="dxa"/>
            <w:left w:w="70" w:type="dxa"/>
            <w:bottom w:w="0" w:type="dxa"/>
            <w:right w:w="70" w:type="dxa"/>
          </w:tblCellMar>
        </w:tblPrEx>
        <w:trPr>
          <w:trHeight w:val="397" w:hRule="atLeast"/>
        </w:trPr>
        <w:tc>
          <w:tcPr>
            <w:tcW w:w="1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63E9D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6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0F71A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151</w:t>
            </w:r>
          </w:p>
        </w:tc>
        <w:tc>
          <w:tcPr>
            <w:tcW w:w="6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88714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132</w:t>
            </w:r>
          </w:p>
        </w:tc>
        <w:tc>
          <w:tcPr>
            <w:tcW w:w="6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6FA26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129</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B6979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124</w:t>
            </w:r>
          </w:p>
        </w:tc>
        <w:tc>
          <w:tcPr>
            <w:tcW w:w="6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E383C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112</w:t>
            </w:r>
          </w:p>
        </w:tc>
      </w:tr>
      <w:tr w14:paraId="37222CDD">
        <w:tblPrEx>
          <w:tblCellMar>
            <w:top w:w="0" w:type="dxa"/>
            <w:left w:w="70" w:type="dxa"/>
            <w:bottom w:w="0" w:type="dxa"/>
            <w:right w:w="70" w:type="dxa"/>
          </w:tblCellMar>
        </w:tblPrEx>
        <w:trPr>
          <w:trHeight w:val="397" w:hRule="atLeast"/>
        </w:trPr>
        <w:tc>
          <w:tcPr>
            <w:tcW w:w="1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A006C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6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3129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176</w:t>
            </w:r>
          </w:p>
        </w:tc>
        <w:tc>
          <w:tcPr>
            <w:tcW w:w="6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19D2A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164</w:t>
            </w:r>
          </w:p>
        </w:tc>
        <w:tc>
          <w:tcPr>
            <w:tcW w:w="6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B4337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155</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26C59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138</w:t>
            </w:r>
          </w:p>
        </w:tc>
        <w:tc>
          <w:tcPr>
            <w:tcW w:w="6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77847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125</w:t>
            </w:r>
          </w:p>
        </w:tc>
      </w:tr>
      <w:tr w14:paraId="61A05178">
        <w:tblPrEx>
          <w:tblCellMar>
            <w:top w:w="0" w:type="dxa"/>
            <w:left w:w="70" w:type="dxa"/>
            <w:bottom w:w="0" w:type="dxa"/>
            <w:right w:w="70" w:type="dxa"/>
          </w:tblCellMar>
        </w:tblPrEx>
        <w:trPr>
          <w:trHeight w:val="397" w:hRule="atLeast"/>
        </w:trPr>
        <w:tc>
          <w:tcPr>
            <w:tcW w:w="1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1FED6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6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E28CF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347</w:t>
            </w:r>
          </w:p>
        </w:tc>
        <w:tc>
          <w:tcPr>
            <w:tcW w:w="6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459F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332</w:t>
            </w:r>
          </w:p>
        </w:tc>
        <w:tc>
          <w:tcPr>
            <w:tcW w:w="6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11CDF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285</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17C59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256</w:t>
            </w:r>
          </w:p>
        </w:tc>
        <w:tc>
          <w:tcPr>
            <w:tcW w:w="6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04F10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198</w:t>
            </w:r>
          </w:p>
        </w:tc>
      </w:tr>
      <w:tr w14:paraId="051E0287">
        <w:tblPrEx>
          <w:tblCellMar>
            <w:top w:w="0" w:type="dxa"/>
            <w:left w:w="70" w:type="dxa"/>
            <w:bottom w:w="0" w:type="dxa"/>
            <w:right w:w="70" w:type="dxa"/>
          </w:tblCellMar>
        </w:tblPrEx>
        <w:trPr>
          <w:trHeight w:val="397" w:hRule="atLeast"/>
        </w:trPr>
        <w:tc>
          <w:tcPr>
            <w:tcW w:w="1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6248F3">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651" w:type="pct"/>
            <w:tcBorders>
              <w:top w:val="single" w:color="auto" w:sz="4" w:space="0"/>
              <w:left w:val="nil"/>
              <w:bottom w:val="single" w:color="auto" w:sz="4" w:space="0"/>
              <w:right w:val="single" w:color="auto" w:sz="4" w:space="0"/>
            </w:tcBorders>
            <w:shd w:val="clear" w:color="auto" w:fill="auto"/>
            <w:noWrap/>
            <w:vAlign w:val="center"/>
          </w:tcPr>
          <w:p w14:paraId="7B9582B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197</w:t>
            </w:r>
          </w:p>
        </w:tc>
        <w:tc>
          <w:tcPr>
            <w:tcW w:w="626" w:type="pct"/>
            <w:tcBorders>
              <w:top w:val="single" w:color="auto" w:sz="4" w:space="0"/>
              <w:left w:val="nil"/>
              <w:bottom w:val="single" w:color="auto" w:sz="4" w:space="0"/>
              <w:right w:val="single" w:color="auto" w:sz="4" w:space="0"/>
            </w:tcBorders>
            <w:shd w:val="clear" w:color="auto" w:fill="auto"/>
            <w:noWrap/>
            <w:vAlign w:val="center"/>
          </w:tcPr>
          <w:p w14:paraId="31C5A58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175</w:t>
            </w:r>
          </w:p>
        </w:tc>
        <w:tc>
          <w:tcPr>
            <w:tcW w:w="695" w:type="pct"/>
            <w:tcBorders>
              <w:top w:val="single" w:color="auto" w:sz="4" w:space="0"/>
              <w:left w:val="nil"/>
              <w:bottom w:val="single" w:color="auto" w:sz="4" w:space="0"/>
              <w:right w:val="single" w:color="auto" w:sz="4" w:space="0"/>
            </w:tcBorders>
            <w:shd w:val="clear" w:color="auto" w:fill="auto"/>
            <w:noWrap/>
            <w:vAlign w:val="center"/>
          </w:tcPr>
          <w:p w14:paraId="066B816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152</w:t>
            </w:r>
          </w:p>
        </w:tc>
        <w:tc>
          <w:tcPr>
            <w:tcW w:w="625" w:type="pct"/>
            <w:tcBorders>
              <w:top w:val="single" w:color="auto" w:sz="4" w:space="0"/>
              <w:left w:val="nil"/>
              <w:bottom w:val="single" w:color="auto" w:sz="4" w:space="0"/>
              <w:right w:val="single" w:color="auto" w:sz="4" w:space="0"/>
            </w:tcBorders>
            <w:shd w:val="clear" w:color="auto" w:fill="auto"/>
            <w:noWrap/>
            <w:vAlign w:val="center"/>
          </w:tcPr>
          <w:p w14:paraId="6550656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151</w:t>
            </w:r>
          </w:p>
        </w:tc>
        <w:tc>
          <w:tcPr>
            <w:tcW w:w="692" w:type="pct"/>
            <w:tcBorders>
              <w:top w:val="single" w:color="auto" w:sz="4" w:space="0"/>
              <w:left w:val="nil"/>
              <w:bottom w:val="single" w:color="auto" w:sz="4" w:space="0"/>
              <w:right w:val="single" w:color="auto" w:sz="4" w:space="0"/>
            </w:tcBorders>
            <w:shd w:val="clear" w:color="auto" w:fill="auto"/>
            <w:noWrap/>
            <w:vAlign w:val="center"/>
          </w:tcPr>
          <w:p w14:paraId="584FB6A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136</w:t>
            </w:r>
          </w:p>
        </w:tc>
      </w:tr>
      <w:tr w14:paraId="25CB32D9">
        <w:tblPrEx>
          <w:tblCellMar>
            <w:top w:w="0" w:type="dxa"/>
            <w:left w:w="70" w:type="dxa"/>
            <w:bottom w:w="0" w:type="dxa"/>
            <w:right w:w="70" w:type="dxa"/>
          </w:tblCellMar>
        </w:tblPrEx>
        <w:trPr>
          <w:trHeight w:val="397" w:hRule="atLeast"/>
        </w:trPr>
        <w:tc>
          <w:tcPr>
            <w:tcW w:w="1711" w:type="pct"/>
            <w:tcBorders>
              <w:top w:val="nil"/>
              <w:left w:val="single" w:color="auto" w:sz="4" w:space="0"/>
              <w:bottom w:val="single" w:color="auto" w:sz="4" w:space="0"/>
              <w:right w:val="single" w:color="auto" w:sz="4" w:space="0"/>
            </w:tcBorders>
            <w:shd w:val="clear" w:color="auto" w:fill="auto"/>
            <w:noWrap/>
            <w:vAlign w:val="center"/>
          </w:tcPr>
          <w:p w14:paraId="6B53A5D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651" w:type="pct"/>
            <w:tcBorders>
              <w:top w:val="nil"/>
              <w:left w:val="nil"/>
              <w:bottom w:val="single" w:color="auto" w:sz="4" w:space="0"/>
              <w:right w:val="single" w:color="auto" w:sz="4" w:space="0"/>
            </w:tcBorders>
            <w:shd w:val="clear" w:color="auto" w:fill="auto"/>
            <w:noWrap/>
            <w:vAlign w:val="center"/>
          </w:tcPr>
          <w:p w14:paraId="030D4CA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187</w:t>
            </w:r>
          </w:p>
        </w:tc>
        <w:tc>
          <w:tcPr>
            <w:tcW w:w="626" w:type="pct"/>
            <w:tcBorders>
              <w:top w:val="nil"/>
              <w:left w:val="nil"/>
              <w:bottom w:val="single" w:color="auto" w:sz="4" w:space="0"/>
              <w:right w:val="single" w:color="auto" w:sz="4" w:space="0"/>
            </w:tcBorders>
            <w:shd w:val="clear" w:color="auto" w:fill="auto"/>
            <w:noWrap/>
            <w:vAlign w:val="center"/>
          </w:tcPr>
          <w:p w14:paraId="30422A6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172</w:t>
            </w:r>
          </w:p>
        </w:tc>
        <w:tc>
          <w:tcPr>
            <w:tcW w:w="695" w:type="pct"/>
            <w:tcBorders>
              <w:top w:val="nil"/>
              <w:left w:val="nil"/>
              <w:bottom w:val="single" w:color="auto" w:sz="4" w:space="0"/>
              <w:right w:val="single" w:color="auto" w:sz="4" w:space="0"/>
            </w:tcBorders>
            <w:shd w:val="clear" w:color="auto" w:fill="auto"/>
            <w:noWrap/>
            <w:vAlign w:val="center"/>
          </w:tcPr>
          <w:p w14:paraId="7560E6A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161</w:t>
            </w:r>
          </w:p>
        </w:tc>
        <w:tc>
          <w:tcPr>
            <w:tcW w:w="625" w:type="pct"/>
            <w:tcBorders>
              <w:top w:val="nil"/>
              <w:left w:val="nil"/>
              <w:bottom w:val="single" w:color="auto" w:sz="4" w:space="0"/>
              <w:right w:val="single" w:color="auto" w:sz="4" w:space="0"/>
            </w:tcBorders>
            <w:shd w:val="clear" w:color="auto" w:fill="auto"/>
            <w:noWrap/>
            <w:vAlign w:val="center"/>
          </w:tcPr>
          <w:p w14:paraId="217D07C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157</w:t>
            </w:r>
          </w:p>
        </w:tc>
        <w:tc>
          <w:tcPr>
            <w:tcW w:w="692" w:type="pct"/>
            <w:tcBorders>
              <w:top w:val="nil"/>
              <w:left w:val="nil"/>
              <w:bottom w:val="single" w:color="auto" w:sz="4" w:space="0"/>
              <w:right w:val="single" w:color="auto" w:sz="4" w:space="0"/>
            </w:tcBorders>
            <w:shd w:val="clear" w:color="auto" w:fill="auto"/>
            <w:noWrap/>
            <w:vAlign w:val="center"/>
          </w:tcPr>
          <w:p w14:paraId="54A0543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133</w:t>
            </w:r>
          </w:p>
        </w:tc>
      </w:tr>
      <w:tr w14:paraId="0AF06A5E">
        <w:tblPrEx>
          <w:tblCellMar>
            <w:top w:w="0" w:type="dxa"/>
            <w:left w:w="70" w:type="dxa"/>
            <w:bottom w:w="0" w:type="dxa"/>
            <w:right w:w="70" w:type="dxa"/>
          </w:tblCellMar>
        </w:tblPrEx>
        <w:trPr>
          <w:trHeight w:val="397" w:hRule="atLeast"/>
        </w:trPr>
        <w:tc>
          <w:tcPr>
            <w:tcW w:w="1711" w:type="pct"/>
            <w:tcBorders>
              <w:top w:val="nil"/>
              <w:left w:val="single" w:color="auto" w:sz="4" w:space="0"/>
              <w:bottom w:val="single" w:color="auto" w:sz="4" w:space="0"/>
              <w:right w:val="single" w:color="auto" w:sz="4" w:space="0"/>
            </w:tcBorders>
            <w:shd w:val="clear" w:color="auto" w:fill="auto"/>
            <w:noWrap/>
            <w:vAlign w:val="center"/>
          </w:tcPr>
          <w:p w14:paraId="7F6A6E25">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651" w:type="pct"/>
            <w:tcBorders>
              <w:top w:val="nil"/>
              <w:left w:val="nil"/>
              <w:bottom w:val="single" w:color="auto" w:sz="4" w:space="0"/>
              <w:right w:val="single" w:color="auto" w:sz="4" w:space="0"/>
            </w:tcBorders>
            <w:shd w:val="clear" w:color="auto" w:fill="auto"/>
            <w:noWrap/>
            <w:vAlign w:val="center"/>
          </w:tcPr>
          <w:p w14:paraId="31106DF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263</w:t>
            </w:r>
          </w:p>
        </w:tc>
        <w:tc>
          <w:tcPr>
            <w:tcW w:w="626" w:type="pct"/>
            <w:tcBorders>
              <w:top w:val="nil"/>
              <w:left w:val="nil"/>
              <w:bottom w:val="single" w:color="auto" w:sz="4" w:space="0"/>
              <w:right w:val="single" w:color="auto" w:sz="4" w:space="0"/>
            </w:tcBorders>
            <w:shd w:val="clear" w:color="auto" w:fill="auto"/>
            <w:noWrap/>
            <w:vAlign w:val="center"/>
          </w:tcPr>
          <w:p w14:paraId="5E566AA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226</w:t>
            </w:r>
          </w:p>
        </w:tc>
        <w:tc>
          <w:tcPr>
            <w:tcW w:w="695" w:type="pct"/>
            <w:tcBorders>
              <w:top w:val="nil"/>
              <w:left w:val="nil"/>
              <w:bottom w:val="single" w:color="auto" w:sz="4" w:space="0"/>
              <w:right w:val="single" w:color="auto" w:sz="4" w:space="0"/>
            </w:tcBorders>
            <w:shd w:val="clear" w:color="auto" w:fill="auto"/>
            <w:noWrap/>
            <w:vAlign w:val="center"/>
          </w:tcPr>
          <w:p w14:paraId="34455F2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183</w:t>
            </w:r>
          </w:p>
        </w:tc>
        <w:tc>
          <w:tcPr>
            <w:tcW w:w="625" w:type="pct"/>
            <w:tcBorders>
              <w:top w:val="nil"/>
              <w:left w:val="nil"/>
              <w:bottom w:val="single" w:color="auto" w:sz="4" w:space="0"/>
              <w:right w:val="single" w:color="auto" w:sz="4" w:space="0"/>
            </w:tcBorders>
            <w:shd w:val="clear" w:color="auto" w:fill="auto"/>
            <w:noWrap/>
            <w:vAlign w:val="center"/>
          </w:tcPr>
          <w:p w14:paraId="6461467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174</w:t>
            </w:r>
          </w:p>
        </w:tc>
        <w:tc>
          <w:tcPr>
            <w:tcW w:w="692" w:type="pct"/>
            <w:tcBorders>
              <w:top w:val="nil"/>
              <w:left w:val="nil"/>
              <w:bottom w:val="single" w:color="auto" w:sz="4" w:space="0"/>
              <w:right w:val="single" w:color="auto" w:sz="4" w:space="0"/>
            </w:tcBorders>
            <w:shd w:val="clear" w:color="auto" w:fill="auto"/>
            <w:noWrap/>
            <w:vAlign w:val="center"/>
          </w:tcPr>
          <w:p w14:paraId="02DA475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191</w:t>
            </w:r>
          </w:p>
        </w:tc>
      </w:tr>
      <w:tr w14:paraId="1619E90E">
        <w:tblPrEx>
          <w:tblCellMar>
            <w:top w:w="0" w:type="dxa"/>
            <w:left w:w="70" w:type="dxa"/>
            <w:bottom w:w="0" w:type="dxa"/>
            <w:right w:w="70" w:type="dxa"/>
          </w:tblCellMar>
        </w:tblPrEx>
        <w:trPr>
          <w:trHeight w:val="397" w:hRule="atLeast"/>
        </w:trPr>
        <w:tc>
          <w:tcPr>
            <w:tcW w:w="1711" w:type="pct"/>
            <w:tcBorders>
              <w:top w:val="nil"/>
              <w:left w:val="single" w:color="auto" w:sz="4" w:space="0"/>
              <w:bottom w:val="single" w:color="auto" w:sz="4" w:space="0"/>
              <w:right w:val="single" w:color="auto" w:sz="4" w:space="0"/>
            </w:tcBorders>
            <w:shd w:val="clear" w:color="auto" w:fill="auto"/>
            <w:noWrap/>
            <w:vAlign w:val="center"/>
          </w:tcPr>
          <w:p w14:paraId="442D58BD">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651" w:type="pct"/>
            <w:tcBorders>
              <w:top w:val="nil"/>
              <w:left w:val="nil"/>
              <w:bottom w:val="single" w:color="auto" w:sz="4" w:space="0"/>
              <w:right w:val="single" w:color="auto" w:sz="4" w:space="0"/>
            </w:tcBorders>
            <w:shd w:val="clear" w:color="auto" w:fill="auto"/>
            <w:noWrap/>
            <w:vAlign w:val="center"/>
          </w:tcPr>
          <w:p w14:paraId="1AB22B2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188</w:t>
            </w:r>
          </w:p>
        </w:tc>
        <w:tc>
          <w:tcPr>
            <w:tcW w:w="626" w:type="pct"/>
            <w:tcBorders>
              <w:top w:val="nil"/>
              <w:left w:val="nil"/>
              <w:bottom w:val="single" w:color="auto" w:sz="4" w:space="0"/>
              <w:right w:val="single" w:color="auto" w:sz="4" w:space="0"/>
            </w:tcBorders>
            <w:shd w:val="clear" w:color="auto" w:fill="auto"/>
            <w:noWrap/>
            <w:vAlign w:val="center"/>
          </w:tcPr>
          <w:p w14:paraId="402E8CA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166</w:t>
            </w:r>
          </w:p>
        </w:tc>
        <w:tc>
          <w:tcPr>
            <w:tcW w:w="695" w:type="pct"/>
            <w:tcBorders>
              <w:top w:val="nil"/>
              <w:left w:val="nil"/>
              <w:bottom w:val="single" w:color="auto" w:sz="4" w:space="0"/>
              <w:right w:val="single" w:color="auto" w:sz="4" w:space="0"/>
            </w:tcBorders>
            <w:shd w:val="clear" w:color="auto" w:fill="auto"/>
            <w:noWrap/>
            <w:vAlign w:val="center"/>
          </w:tcPr>
          <w:p w14:paraId="54D6A47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153</w:t>
            </w:r>
          </w:p>
        </w:tc>
        <w:tc>
          <w:tcPr>
            <w:tcW w:w="625" w:type="pct"/>
            <w:tcBorders>
              <w:top w:val="nil"/>
              <w:left w:val="nil"/>
              <w:bottom w:val="single" w:color="auto" w:sz="4" w:space="0"/>
              <w:right w:val="single" w:color="auto" w:sz="4" w:space="0"/>
            </w:tcBorders>
            <w:shd w:val="clear" w:color="auto" w:fill="auto"/>
            <w:noWrap/>
            <w:vAlign w:val="center"/>
          </w:tcPr>
          <w:p w14:paraId="496FE26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145</w:t>
            </w:r>
          </w:p>
        </w:tc>
        <w:tc>
          <w:tcPr>
            <w:tcW w:w="692" w:type="pct"/>
            <w:tcBorders>
              <w:top w:val="nil"/>
              <w:left w:val="nil"/>
              <w:bottom w:val="single" w:color="auto" w:sz="4" w:space="0"/>
              <w:right w:val="single" w:color="auto" w:sz="4" w:space="0"/>
            </w:tcBorders>
            <w:shd w:val="clear" w:color="auto" w:fill="auto"/>
            <w:noWrap/>
            <w:vAlign w:val="center"/>
          </w:tcPr>
          <w:p w14:paraId="644DC20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131</w:t>
            </w:r>
          </w:p>
        </w:tc>
      </w:tr>
      <w:tr w14:paraId="3B608EC2">
        <w:tblPrEx>
          <w:tblCellMar>
            <w:top w:w="0" w:type="dxa"/>
            <w:left w:w="70" w:type="dxa"/>
            <w:bottom w:w="0" w:type="dxa"/>
            <w:right w:w="70" w:type="dxa"/>
          </w:tblCellMar>
        </w:tblPrEx>
        <w:trPr>
          <w:trHeight w:val="397" w:hRule="atLeast"/>
        </w:trPr>
        <w:tc>
          <w:tcPr>
            <w:tcW w:w="1711" w:type="pct"/>
            <w:tcBorders>
              <w:top w:val="nil"/>
              <w:left w:val="single" w:color="auto" w:sz="4" w:space="0"/>
              <w:bottom w:val="single" w:color="auto" w:sz="4" w:space="0"/>
              <w:right w:val="single" w:color="auto" w:sz="4" w:space="0"/>
            </w:tcBorders>
            <w:shd w:val="clear" w:color="auto" w:fill="auto"/>
            <w:noWrap/>
            <w:vAlign w:val="center"/>
          </w:tcPr>
          <w:p w14:paraId="7B0E7561">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651" w:type="pct"/>
            <w:tcBorders>
              <w:top w:val="nil"/>
              <w:left w:val="nil"/>
              <w:bottom w:val="single" w:color="auto" w:sz="4" w:space="0"/>
              <w:right w:val="single" w:color="auto" w:sz="4" w:space="0"/>
            </w:tcBorders>
            <w:shd w:val="clear" w:color="auto" w:fill="auto"/>
            <w:noWrap/>
            <w:vAlign w:val="center"/>
          </w:tcPr>
          <w:p w14:paraId="74BA0C6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210</w:t>
            </w:r>
          </w:p>
        </w:tc>
        <w:tc>
          <w:tcPr>
            <w:tcW w:w="626" w:type="pct"/>
            <w:tcBorders>
              <w:top w:val="nil"/>
              <w:left w:val="nil"/>
              <w:bottom w:val="single" w:color="auto" w:sz="4" w:space="0"/>
              <w:right w:val="single" w:color="auto" w:sz="4" w:space="0"/>
            </w:tcBorders>
            <w:shd w:val="clear" w:color="auto" w:fill="auto"/>
            <w:noWrap/>
            <w:vAlign w:val="center"/>
          </w:tcPr>
          <w:p w14:paraId="207A1F7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195</w:t>
            </w:r>
          </w:p>
        </w:tc>
        <w:tc>
          <w:tcPr>
            <w:tcW w:w="695" w:type="pct"/>
            <w:tcBorders>
              <w:top w:val="nil"/>
              <w:left w:val="nil"/>
              <w:bottom w:val="single" w:color="auto" w:sz="4" w:space="0"/>
              <w:right w:val="single" w:color="auto" w:sz="4" w:space="0"/>
            </w:tcBorders>
            <w:shd w:val="clear" w:color="auto" w:fill="auto"/>
            <w:noWrap/>
            <w:vAlign w:val="center"/>
          </w:tcPr>
          <w:p w14:paraId="0814CD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187</w:t>
            </w:r>
          </w:p>
        </w:tc>
        <w:tc>
          <w:tcPr>
            <w:tcW w:w="625" w:type="pct"/>
            <w:tcBorders>
              <w:top w:val="nil"/>
              <w:left w:val="nil"/>
              <w:bottom w:val="single" w:color="auto" w:sz="4" w:space="0"/>
              <w:right w:val="single" w:color="auto" w:sz="4" w:space="0"/>
            </w:tcBorders>
            <w:shd w:val="clear" w:color="auto" w:fill="auto"/>
            <w:noWrap/>
            <w:vAlign w:val="center"/>
          </w:tcPr>
          <w:p w14:paraId="212426D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177</w:t>
            </w:r>
          </w:p>
        </w:tc>
        <w:tc>
          <w:tcPr>
            <w:tcW w:w="692" w:type="pct"/>
            <w:tcBorders>
              <w:top w:val="nil"/>
              <w:left w:val="nil"/>
              <w:bottom w:val="single" w:color="auto" w:sz="4" w:space="0"/>
              <w:right w:val="single" w:color="auto" w:sz="4" w:space="0"/>
            </w:tcBorders>
            <w:shd w:val="clear" w:color="auto" w:fill="auto"/>
            <w:noWrap/>
            <w:vAlign w:val="center"/>
          </w:tcPr>
          <w:p w14:paraId="02F2E5A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163</w:t>
            </w:r>
          </w:p>
        </w:tc>
      </w:tr>
      <w:tr w14:paraId="67D67D32">
        <w:tblPrEx>
          <w:tblCellMar>
            <w:top w:w="0" w:type="dxa"/>
            <w:left w:w="70" w:type="dxa"/>
            <w:bottom w:w="0" w:type="dxa"/>
            <w:right w:w="70" w:type="dxa"/>
          </w:tblCellMar>
        </w:tblPrEx>
        <w:trPr>
          <w:trHeight w:val="397" w:hRule="atLeast"/>
        </w:trPr>
        <w:tc>
          <w:tcPr>
            <w:tcW w:w="1711" w:type="pct"/>
            <w:tcBorders>
              <w:top w:val="nil"/>
              <w:left w:val="single" w:color="auto" w:sz="4" w:space="0"/>
              <w:bottom w:val="single" w:color="auto" w:sz="4" w:space="0"/>
              <w:right w:val="single" w:color="auto" w:sz="4" w:space="0"/>
            </w:tcBorders>
            <w:shd w:val="clear" w:color="auto" w:fill="auto"/>
            <w:noWrap/>
            <w:vAlign w:val="center"/>
          </w:tcPr>
          <w:p w14:paraId="02517B9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651" w:type="pct"/>
            <w:tcBorders>
              <w:top w:val="nil"/>
              <w:left w:val="nil"/>
              <w:bottom w:val="single" w:color="auto" w:sz="4" w:space="0"/>
              <w:right w:val="single" w:color="auto" w:sz="4" w:space="0"/>
            </w:tcBorders>
            <w:shd w:val="clear" w:color="auto" w:fill="auto"/>
            <w:noWrap/>
            <w:vAlign w:val="center"/>
          </w:tcPr>
          <w:p w14:paraId="0AFE91B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268</w:t>
            </w:r>
          </w:p>
        </w:tc>
        <w:tc>
          <w:tcPr>
            <w:tcW w:w="626" w:type="pct"/>
            <w:tcBorders>
              <w:top w:val="nil"/>
              <w:left w:val="nil"/>
              <w:bottom w:val="single" w:color="auto" w:sz="4" w:space="0"/>
              <w:right w:val="single" w:color="auto" w:sz="4" w:space="0"/>
            </w:tcBorders>
            <w:shd w:val="clear" w:color="auto" w:fill="auto"/>
            <w:noWrap/>
            <w:vAlign w:val="center"/>
          </w:tcPr>
          <w:p w14:paraId="6329E99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249</w:t>
            </w:r>
          </w:p>
        </w:tc>
        <w:tc>
          <w:tcPr>
            <w:tcW w:w="695" w:type="pct"/>
            <w:tcBorders>
              <w:top w:val="nil"/>
              <w:left w:val="nil"/>
              <w:bottom w:val="single" w:color="auto" w:sz="4" w:space="0"/>
              <w:right w:val="single" w:color="auto" w:sz="4" w:space="0"/>
            </w:tcBorders>
            <w:shd w:val="clear" w:color="auto" w:fill="auto"/>
            <w:noWrap/>
            <w:vAlign w:val="center"/>
          </w:tcPr>
          <w:p w14:paraId="59F3F05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233</w:t>
            </w:r>
          </w:p>
        </w:tc>
        <w:tc>
          <w:tcPr>
            <w:tcW w:w="625" w:type="pct"/>
            <w:tcBorders>
              <w:top w:val="nil"/>
              <w:left w:val="nil"/>
              <w:bottom w:val="single" w:color="auto" w:sz="4" w:space="0"/>
              <w:right w:val="single" w:color="auto" w:sz="4" w:space="0"/>
            </w:tcBorders>
            <w:shd w:val="clear" w:color="auto" w:fill="auto"/>
            <w:noWrap/>
            <w:vAlign w:val="center"/>
          </w:tcPr>
          <w:p w14:paraId="7E58DD2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215</w:t>
            </w:r>
          </w:p>
        </w:tc>
        <w:tc>
          <w:tcPr>
            <w:tcW w:w="692" w:type="pct"/>
            <w:tcBorders>
              <w:top w:val="nil"/>
              <w:left w:val="nil"/>
              <w:bottom w:val="single" w:color="auto" w:sz="4" w:space="0"/>
              <w:right w:val="single" w:color="auto" w:sz="4" w:space="0"/>
            </w:tcBorders>
            <w:shd w:val="clear" w:color="auto" w:fill="auto"/>
            <w:noWrap/>
            <w:vAlign w:val="center"/>
          </w:tcPr>
          <w:p w14:paraId="3228F1F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200</w:t>
            </w:r>
          </w:p>
        </w:tc>
      </w:tr>
    </w:tbl>
    <w:p w14:paraId="7CD2C69B">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3D1A1050">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Wartości wyżej analizowanych wskaźników (wykresy 10 i 11, tabela 9) corocznie maleją, co jest zjawiskiem pozytywnym, ale jednocześnie stanowi tendencję ogólnopolską. Ponadto średnie wartości dla LGD są niższe niż w województwie małopolskim i w Polsce.</w:t>
      </w:r>
    </w:p>
    <w:p w14:paraId="45293025">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zadań własnych powiatu należy m.in. opracowanie i realizacja powiatowej strategii rozwiązywania problemów społecznych, ze szczególnym uwzględnieniem programów pomocy społecznej, wspierania osób niepełnosprawnych i innych, których celem jest integracja osób i rodzin z grup szczególnego ryzyka, w związku z tym w GUS znajdują się wyłącznie dane powiatowe. Wśród mieszkańców powiatu myślenickiego, którzy w 2021 roku korzystali ze świadczeń z pomocy społecznej, było 820 osób z niepełnosprawnościami</w:t>
      </w:r>
      <w:r>
        <w:rPr>
          <w:rFonts w:ascii="Times New Roman" w:hAnsi="Times New Roman" w:cs="Times New Roman"/>
          <w:color w:val="000000" w:themeColor="text1"/>
          <w:vertAlign w:val="superscript"/>
          <w14:textFill>
            <w14:solidFill>
              <w14:schemeClr w14:val="tx1"/>
            </w14:solidFill>
          </w14:textFill>
        </w:rPr>
        <w:footnoteReference w:id="9"/>
      </w:r>
      <w:r>
        <w:rPr>
          <w:rFonts w:ascii="Times New Roman" w:hAnsi="Times New Roman" w:cs="Times New Roman"/>
          <w:color w:val="000000" w:themeColor="text1"/>
          <w14:textFill>
            <w14:solidFill>
              <w14:schemeClr w14:val="tx1"/>
            </w14:solidFill>
          </w14:textFill>
        </w:rPr>
        <w:t xml:space="preserve">. </w:t>
      </w:r>
    </w:p>
    <w:p w14:paraId="5CC123FD">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Na terenie powiatu myślenickiego funkcjonuje Powiatowy Zespół ds. Orzekania o Niepełnosprawności, który realizuje działalność orzeczniczą. W latach 2015–2020 Zespół wydawał każdego roku średnio 1 532 orzeczenia o stopniu niepełnosprawności. Rozkład osób niepełnosprawnych pod względem płci, na przestrzeni omawianego okresu, po uśrednieniu wskazywał na udział 54% mężczyzn oraz 46% kobiet. Pod względem struktury powodów zdrowotnych, będących podstawą wydania orzeczenia o stopniu niepełnosprawności wśród osób powyżej 16. roku życia, najczęściej w latach 2015–2020 otrzymywano orzeczenie z powodu upośledzenia narządów ruchu (co trzecia osoba)</w:t>
      </w:r>
      <w:r>
        <w:rPr>
          <w:rStyle w:val="17"/>
          <w:rFonts w:ascii="Times New Roman" w:hAnsi="Times New Roman" w:cs="Times New Roman"/>
          <w:color w:val="000000" w:themeColor="text1"/>
          <w14:textFill>
            <w14:solidFill>
              <w14:schemeClr w14:val="tx1"/>
            </w14:solidFill>
          </w14:textFill>
        </w:rPr>
        <w:footnoteReference w:id="10"/>
      </w:r>
      <w:r>
        <w:rPr>
          <w:rFonts w:ascii="Times New Roman" w:hAnsi="Times New Roman" w:cs="Times New Roman"/>
          <w:color w:val="000000" w:themeColor="text1"/>
          <w14:textFill>
            <w14:solidFill>
              <w14:schemeClr w14:val="tx1"/>
            </w14:solidFill>
          </w14:textFill>
        </w:rPr>
        <w:t>.</w:t>
      </w:r>
    </w:p>
    <w:p w14:paraId="7B8D7E50">
      <w:pPr>
        <w:spacing w:line="276" w:lineRule="auto"/>
        <w:ind w:firstLine="708"/>
        <w:jc w:val="both"/>
        <w:rPr>
          <w:rFonts w:ascii="Times New Roman" w:hAnsi="Times New Roman" w:cs="Times New Roman"/>
        </w:rPr>
      </w:pPr>
      <w:r>
        <w:rPr>
          <w:rFonts w:ascii="Times New Roman" w:hAnsi="Times New Roman" w:cs="Times New Roman"/>
        </w:rPr>
        <w:t>W latach 2016–2020 z dofinansowania likwidacji barier na terenie powiatu myślenickiego średnio każdego roku skorzystały 93 osoby niepełnosprawne, przy czym co dziewiąty beneficjent należał do grupy dzieci i młodzieży. Należy jednocześnie zwrócić uwagę, że do końca 2019 roku zauważalny był spadek liczby osób korzystających z pomocy w tym zakresie. Jednak w 2020 roku liczba osób, które otrzymały dofinansowanie zwiększyła się o 23% w porównaniu do roku poprzedniego (tabela 10).</w:t>
      </w:r>
    </w:p>
    <w:p w14:paraId="6A916105">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93" w:name="_Toc136241398"/>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10</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Dofinansowanie likwidacji barier architektonicznych, w komunikowaniu się i technicznych na terenie powiatu myślenickiego w latach 2016–2020</w:t>
      </w:r>
      <w:bookmarkEnd w:id="93"/>
    </w:p>
    <w:tbl>
      <w:tblPr>
        <w:tblStyle w:val="23"/>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134"/>
        <w:gridCol w:w="858"/>
        <w:gridCol w:w="858"/>
        <w:gridCol w:w="859"/>
        <w:gridCol w:w="858"/>
        <w:gridCol w:w="859"/>
        <w:gridCol w:w="1162"/>
      </w:tblGrid>
      <w:tr w14:paraId="4FE2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1" w:type="dxa"/>
            <w:vMerge w:val="restart"/>
            <w:vAlign w:val="center"/>
          </w:tcPr>
          <w:p w14:paraId="68628A33">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Nazwa zadania</w:t>
            </w:r>
          </w:p>
        </w:tc>
        <w:tc>
          <w:tcPr>
            <w:tcW w:w="1134" w:type="dxa"/>
            <w:vMerge w:val="restart"/>
            <w:vAlign w:val="center"/>
          </w:tcPr>
          <w:p w14:paraId="275CC276">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Jednostka</w:t>
            </w:r>
          </w:p>
        </w:tc>
        <w:tc>
          <w:tcPr>
            <w:tcW w:w="4292" w:type="dxa"/>
            <w:gridSpan w:val="5"/>
            <w:vAlign w:val="center"/>
          </w:tcPr>
          <w:p w14:paraId="5F865E75">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Rok</w:t>
            </w:r>
          </w:p>
        </w:tc>
        <w:tc>
          <w:tcPr>
            <w:tcW w:w="1162" w:type="dxa"/>
            <w:vMerge w:val="restart"/>
            <w:vAlign w:val="center"/>
          </w:tcPr>
          <w:p w14:paraId="40E297B4">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Suma końcowa</w:t>
            </w:r>
          </w:p>
        </w:tc>
      </w:tr>
      <w:tr w14:paraId="4157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1" w:type="dxa"/>
            <w:vMerge w:val="continue"/>
            <w:vAlign w:val="center"/>
          </w:tcPr>
          <w:p w14:paraId="46655D8E">
            <w:pPr>
              <w:spacing w:after="0" w:line="276" w:lineRule="auto"/>
              <w:jc w:val="center"/>
              <w:rPr>
                <w:rFonts w:ascii="Times New Roman" w:hAnsi="Times New Roman" w:cs="Times New Roman"/>
                <w:sz w:val="20"/>
                <w:szCs w:val="20"/>
              </w:rPr>
            </w:pPr>
          </w:p>
        </w:tc>
        <w:tc>
          <w:tcPr>
            <w:tcW w:w="1134" w:type="dxa"/>
            <w:vMerge w:val="continue"/>
            <w:vAlign w:val="center"/>
          </w:tcPr>
          <w:p w14:paraId="39C2DEE3">
            <w:pPr>
              <w:spacing w:after="0" w:line="276" w:lineRule="auto"/>
              <w:jc w:val="center"/>
              <w:rPr>
                <w:rFonts w:ascii="Times New Roman" w:hAnsi="Times New Roman" w:cs="Times New Roman"/>
                <w:sz w:val="20"/>
                <w:szCs w:val="20"/>
              </w:rPr>
            </w:pPr>
          </w:p>
        </w:tc>
        <w:tc>
          <w:tcPr>
            <w:tcW w:w="858" w:type="dxa"/>
            <w:vAlign w:val="center"/>
          </w:tcPr>
          <w:p w14:paraId="03ED7D31">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858" w:type="dxa"/>
            <w:vAlign w:val="center"/>
          </w:tcPr>
          <w:p w14:paraId="48E8624B">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859" w:type="dxa"/>
            <w:vAlign w:val="center"/>
          </w:tcPr>
          <w:p w14:paraId="160FB88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2018</w:t>
            </w:r>
          </w:p>
        </w:tc>
        <w:tc>
          <w:tcPr>
            <w:tcW w:w="858" w:type="dxa"/>
            <w:vAlign w:val="center"/>
          </w:tcPr>
          <w:p w14:paraId="7425FDDC">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2019</w:t>
            </w:r>
          </w:p>
        </w:tc>
        <w:tc>
          <w:tcPr>
            <w:tcW w:w="859" w:type="dxa"/>
            <w:vAlign w:val="center"/>
          </w:tcPr>
          <w:p w14:paraId="7088C85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1162" w:type="dxa"/>
            <w:vMerge w:val="continue"/>
            <w:vAlign w:val="center"/>
          </w:tcPr>
          <w:p w14:paraId="4A79E51A">
            <w:pPr>
              <w:spacing w:after="0" w:line="276" w:lineRule="auto"/>
              <w:jc w:val="center"/>
              <w:rPr>
                <w:rFonts w:ascii="Times New Roman" w:hAnsi="Times New Roman" w:cs="Times New Roman"/>
                <w:sz w:val="20"/>
                <w:szCs w:val="20"/>
              </w:rPr>
            </w:pPr>
          </w:p>
        </w:tc>
      </w:tr>
      <w:tr w14:paraId="3787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1" w:type="dxa"/>
            <w:vAlign w:val="center"/>
          </w:tcPr>
          <w:p w14:paraId="4271CDFB">
            <w:pPr>
              <w:spacing w:after="0" w:line="276" w:lineRule="auto"/>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Dofinansowanie barier architektonicznych w komunikowaniu się i technicznych na wnioski indywidualnych osób</w:t>
            </w:r>
          </w:p>
        </w:tc>
        <w:tc>
          <w:tcPr>
            <w:tcW w:w="1134" w:type="dxa"/>
            <w:vMerge w:val="restart"/>
            <w:vAlign w:val="center"/>
          </w:tcPr>
          <w:p w14:paraId="22F7EC94">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osoba</w:t>
            </w:r>
          </w:p>
        </w:tc>
        <w:tc>
          <w:tcPr>
            <w:tcW w:w="858" w:type="dxa"/>
            <w:vAlign w:val="center"/>
          </w:tcPr>
          <w:p w14:paraId="1C3BADCE">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82 </w:t>
            </w:r>
          </w:p>
        </w:tc>
        <w:tc>
          <w:tcPr>
            <w:tcW w:w="858" w:type="dxa"/>
            <w:vAlign w:val="center"/>
          </w:tcPr>
          <w:p w14:paraId="3887689D">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113 </w:t>
            </w:r>
          </w:p>
        </w:tc>
        <w:tc>
          <w:tcPr>
            <w:tcW w:w="859" w:type="dxa"/>
            <w:vAlign w:val="center"/>
          </w:tcPr>
          <w:p w14:paraId="3DC53264">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89 </w:t>
            </w:r>
          </w:p>
        </w:tc>
        <w:tc>
          <w:tcPr>
            <w:tcW w:w="858" w:type="dxa"/>
            <w:vAlign w:val="center"/>
          </w:tcPr>
          <w:p w14:paraId="512AFA9F">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81 </w:t>
            </w:r>
          </w:p>
        </w:tc>
        <w:tc>
          <w:tcPr>
            <w:tcW w:w="859" w:type="dxa"/>
            <w:vAlign w:val="center"/>
          </w:tcPr>
          <w:p w14:paraId="78DD8C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100 </w:t>
            </w:r>
          </w:p>
        </w:tc>
        <w:tc>
          <w:tcPr>
            <w:tcW w:w="1162" w:type="dxa"/>
            <w:vAlign w:val="center"/>
          </w:tcPr>
          <w:p w14:paraId="6671D1B9">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465</w:t>
            </w:r>
          </w:p>
        </w:tc>
      </w:tr>
      <w:tr w14:paraId="7E1E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1" w:type="dxa"/>
            <w:vAlign w:val="center"/>
          </w:tcPr>
          <w:p w14:paraId="69E55D5E">
            <w:pPr>
              <w:spacing w:after="0" w:line="276" w:lineRule="auto"/>
              <w:rPr>
                <w:rFonts w:ascii="Times New Roman" w:hAnsi="Times New Roman" w:cs="Times New Roman"/>
                <w:sz w:val="20"/>
                <w:szCs w:val="20"/>
              </w:rPr>
            </w:pPr>
            <w:r>
              <w:rPr>
                <w:rFonts w:ascii="Times New Roman" w:hAnsi="Times New Roman" w:cs="Times New Roman"/>
                <w:sz w:val="20"/>
                <w:szCs w:val="20"/>
              </w:rPr>
              <w:t>w tym: dzieci i młodzież niepełnosprawna</w:t>
            </w:r>
          </w:p>
        </w:tc>
        <w:tc>
          <w:tcPr>
            <w:tcW w:w="1134" w:type="dxa"/>
            <w:vMerge w:val="continue"/>
            <w:vAlign w:val="center"/>
          </w:tcPr>
          <w:p w14:paraId="1F3BC3A1">
            <w:pPr>
              <w:spacing w:after="0" w:line="276" w:lineRule="auto"/>
              <w:jc w:val="center"/>
              <w:rPr>
                <w:rFonts w:ascii="Times New Roman" w:hAnsi="Times New Roman" w:cs="Times New Roman"/>
                <w:sz w:val="20"/>
                <w:szCs w:val="20"/>
              </w:rPr>
            </w:pPr>
          </w:p>
        </w:tc>
        <w:tc>
          <w:tcPr>
            <w:tcW w:w="858" w:type="dxa"/>
            <w:vAlign w:val="center"/>
          </w:tcPr>
          <w:p w14:paraId="52CCC13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11 </w:t>
            </w:r>
          </w:p>
        </w:tc>
        <w:tc>
          <w:tcPr>
            <w:tcW w:w="858" w:type="dxa"/>
            <w:vAlign w:val="center"/>
          </w:tcPr>
          <w:p w14:paraId="141D50FF">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10 </w:t>
            </w:r>
          </w:p>
        </w:tc>
        <w:tc>
          <w:tcPr>
            <w:tcW w:w="859" w:type="dxa"/>
            <w:vAlign w:val="center"/>
          </w:tcPr>
          <w:p w14:paraId="43B8FD56">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8 </w:t>
            </w:r>
          </w:p>
        </w:tc>
        <w:tc>
          <w:tcPr>
            <w:tcW w:w="858" w:type="dxa"/>
            <w:vAlign w:val="center"/>
          </w:tcPr>
          <w:p w14:paraId="2ADB96A6">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6 </w:t>
            </w:r>
          </w:p>
        </w:tc>
        <w:tc>
          <w:tcPr>
            <w:tcW w:w="859" w:type="dxa"/>
            <w:vAlign w:val="center"/>
          </w:tcPr>
          <w:p w14:paraId="452F1FF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16 </w:t>
            </w:r>
          </w:p>
        </w:tc>
        <w:tc>
          <w:tcPr>
            <w:tcW w:w="1162" w:type="dxa"/>
            <w:vAlign w:val="center"/>
          </w:tcPr>
          <w:p w14:paraId="3BE93EE3">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51</w:t>
            </w:r>
          </w:p>
        </w:tc>
      </w:tr>
    </w:tbl>
    <w:p w14:paraId="268112A9">
      <w:pPr>
        <w:jc w:val="center"/>
        <w:rPr>
          <w:rFonts w:ascii="Times New Roman" w:hAnsi="Times New Roman" w:cs="Times New Roman"/>
          <w:i/>
          <w:iCs/>
          <w:sz w:val="20"/>
          <w:szCs w:val="20"/>
        </w:rPr>
      </w:pPr>
      <w:r>
        <w:rPr>
          <w:rFonts w:ascii="Times New Roman" w:hAnsi="Times New Roman" w:cs="Times New Roman"/>
          <w:i/>
          <w:iCs/>
          <w:sz w:val="20"/>
          <w:szCs w:val="20"/>
        </w:rPr>
        <w:t>Źródło: na podstawie danych Powiatowego Zespołu do Spraw Orzekania o Niepełnosprawności w Myślenicach</w:t>
      </w:r>
    </w:p>
    <w:p w14:paraId="1DE3BC79">
      <w:pPr>
        <w:spacing w:line="276" w:lineRule="auto"/>
        <w:ind w:firstLine="708"/>
        <w:jc w:val="both"/>
        <w:rPr>
          <w:rFonts w:ascii="Times New Roman" w:hAnsi="Times New Roman" w:cs="Times New Roman"/>
        </w:rPr>
      </w:pPr>
      <w:r>
        <w:rPr>
          <w:rFonts w:ascii="Times New Roman" w:hAnsi="Times New Roman" w:cs="Times New Roman"/>
        </w:rPr>
        <w:t>Warto również zwrócić uwagę na poszczególne formy rehabilitacji społecznej. W latach 2016–2020 średnio każdego roku składanych było 947 wniosków o dofinansowanie ze środków PFRON w ramach rehabilitacji społecznej. Liczba ta utrzymywała się na zbliżonym poziomie od 2016 do 2019 roku. W 2020 r. liczba wniosków złożonych na likwidację barier wynosiła 142, z czego zrealizowano 100 (tabela 11).</w:t>
      </w:r>
    </w:p>
    <w:p w14:paraId="532E39E5">
      <w:pPr>
        <w:spacing w:after="0" w:line="276" w:lineRule="auto"/>
        <w:ind w:firstLine="708"/>
        <w:jc w:val="center"/>
        <w:rPr>
          <w:rFonts w:ascii="Times New Roman" w:hAnsi="Times New Roman" w:cs="Times New Roman"/>
          <w:b/>
          <w:bCs/>
          <w:sz w:val="20"/>
          <w:szCs w:val="20"/>
        </w:rPr>
      </w:pPr>
      <w:bookmarkStart w:id="94" w:name="_Toc136241399"/>
      <w:r>
        <w:rPr>
          <w:rFonts w:ascii="Times New Roman" w:hAnsi="Times New Roman" w:cs="Times New Roman"/>
          <w:b/>
          <w:bCs/>
          <w:sz w:val="20"/>
          <w:szCs w:val="20"/>
        </w:rPr>
        <w:t xml:space="preserve">Tabela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SEQ Tabela \* ARABIC </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11</w:t>
      </w:r>
      <w:r>
        <w:rPr>
          <w:rFonts w:ascii="Times New Roman" w:hAnsi="Times New Roman" w:cs="Times New Roman"/>
          <w:b/>
          <w:bCs/>
          <w:sz w:val="20"/>
          <w:szCs w:val="20"/>
        </w:rPr>
        <w:fldChar w:fldCharType="end"/>
      </w:r>
      <w:r>
        <w:rPr>
          <w:rFonts w:ascii="Times New Roman" w:hAnsi="Times New Roman" w:cs="Times New Roman"/>
          <w:b/>
          <w:bCs/>
          <w:sz w:val="20"/>
          <w:szCs w:val="20"/>
        </w:rPr>
        <w:t xml:space="preserve"> Liczba wniosków o dofinansowanie ze środków PFRON latach 2016-2020</w:t>
      </w:r>
      <w:bookmarkEnd w:id="94"/>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2465"/>
        <w:gridCol w:w="1071"/>
        <w:gridCol w:w="1071"/>
        <w:gridCol w:w="1071"/>
        <w:gridCol w:w="1071"/>
        <w:gridCol w:w="1072"/>
      </w:tblGrid>
      <w:tr w14:paraId="748D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restart"/>
            <w:vAlign w:val="center"/>
          </w:tcPr>
          <w:p w14:paraId="1AA1AA95">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Wyszczególnienie</w:t>
            </w:r>
          </w:p>
        </w:tc>
        <w:tc>
          <w:tcPr>
            <w:tcW w:w="1183" w:type="pct"/>
            <w:vMerge w:val="restart"/>
            <w:vAlign w:val="center"/>
          </w:tcPr>
          <w:p w14:paraId="4719E4A7">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Jednostka</w:t>
            </w:r>
          </w:p>
        </w:tc>
        <w:tc>
          <w:tcPr>
            <w:tcW w:w="2570" w:type="pct"/>
            <w:gridSpan w:val="5"/>
            <w:vAlign w:val="center"/>
          </w:tcPr>
          <w:p w14:paraId="4765C24B">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Rok</w:t>
            </w:r>
          </w:p>
        </w:tc>
      </w:tr>
      <w:tr w14:paraId="0B04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continue"/>
            <w:vAlign w:val="center"/>
          </w:tcPr>
          <w:p w14:paraId="6E2EF772">
            <w:pPr>
              <w:spacing w:after="0" w:line="276" w:lineRule="auto"/>
              <w:jc w:val="center"/>
              <w:rPr>
                <w:rFonts w:ascii="Times New Roman" w:hAnsi="Times New Roman" w:cs="Times New Roman"/>
                <w:sz w:val="20"/>
                <w:szCs w:val="20"/>
              </w:rPr>
            </w:pPr>
          </w:p>
        </w:tc>
        <w:tc>
          <w:tcPr>
            <w:tcW w:w="1183" w:type="pct"/>
            <w:vMerge w:val="continue"/>
            <w:vAlign w:val="center"/>
          </w:tcPr>
          <w:p w14:paraId="1AD7C6BA">
            <w:pPr>
              <w:spacing w:after="0" w:line="276" w:lineRule="auto"/>
              <w:jc w:val="center"/>
              <w:rPr>
                <w:rFonts w:ascii="Times New Roman" w:hAnsi="Times New Roman" w:cs="Times New Roman"/>
                <w:sz w:val="20"/>
                <w:szCs w:val="20"/>
              </w:rPr>
            </w:pPr>
          </w:p>
        </w:tc>
        <w:tc>
          <w:tcPr>
            <w:tcW w:w="514" w:type="pct"/>
            <w:vAlign w:val="center"/>
          </w:tcPr>
          <w:p w14:paraId="62EFA037">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514" w:type="pct"/>
            <w:vAlign w:val="center"/>
          </w:tcPr>
          <w:p w14:paraId="1DE2453C">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514" w:type="pct"/>
            <w:vAlign w:val="center"/>
          </w:tcPr>
          <w:p w14:paraId="0C86CDD1">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2018</w:t>
            </w:r>
          </w:p>
        </w:tc>
        <w:tc>
          <w:tcPr>
            <w:tcW w:w="514" w:type="pct"/>
            <w:vAlign w:val="center"/>
          </w:tcPr>
          <w:p w14:paraId="2A927530">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2019</w:t>
            </w:r>
          </w:p>
        </w:tc>
        <w:tc>
          <w:tcPr>
            <w:tcW w:w="514" w:type="pct"/>
            <w:vAlign w:val="center"/>
          </w:tcPr>
          <w:p w14:paraId="4FA676FF">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2020</w:t>
            </w:r>
          </w:p>
        </w:tc>
      </w:tr>
      <w:tr w14:paraId="4A63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restart"/>
            <w:vAlign w:val="center"/>
          </w:tcPr>
          <w:p w14:paraId="4BE17767">
            <w:pPr>
              <w:spacing w:after="0" w:line="276" w:lineRule="auto"/>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Aktywny Samorząd</w:t>
            </w:r>
          </w:p>
        </w:tc>
        <w:tc>
          <w:tcPr>
            <w:tcW w:w="1183" w:type="pct"/>
            <w:vAlign w:val="center"/>
          </w:tcPr>
          <w:p w14:paraId="23AE78DF">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złożonych wniosków</w:t>
            </w:r>
          </w:p>
        </w:tc>
        <w:tc>
          <w:tcPr>
            <w:tcW w:w="514" w:type="pct"/>
            <w:vAlign w:val="center"/>
          </w:tcPr>
          <w:p w14:paraId="775FBD4E">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514" w:type="pct"/>
            <w:vAlign w:val="center"/>
          </w:tcPr>
          <w:p w14:paraId="2EEE3F5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514" w:type="pct"/>
            <w:vAlign w:val="center"/>
          </w:tcPr>
          <w:p w14:paraId="04FFC226">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514" w:type="pct"/>
            <w:vAlign w:val="center"/>
          </w:tcPr>
          <w:p w14:paraId="62C7D65D">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514" w:type="pct"/>
            <w:vAlign w:val="center"/>
          </w:tcPr>
          <w:p w14:paraId="27778E3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73</w:t>
            </w:r>
          </w:p>
        </w:tc>
      </w:tr>
      <w:tr w14:paraId="4F55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continue"/>
            <w:vAlign w:val="center"/>
          </w:tcPr>
          <w:p w14:paraId="2375C806">
            <w:pPr>
              <w:spacing w:after="0" w:line="276" w:lineRule="auto"/>
              <w:rPr>
                <w:rFonts w:ascii="Times New Roman" w:hAnsi="Times New Roman" w:cs="Times New Roman"/>
                <w:color w:val="000000" w:themeColor="text1"/>
                <w:sz w:val="20"/>
                <w:szCs w:val="20"/>
                <w14:textFill>
                  <w14:solidFill>
                    <w14:schemeClr w14:val="tx1"/>
                  </w14:solidFill>
                </w14:textFill>
              </w:rPr>
            </w:pPr>
          </w:p>
        </w:tc>
        <w:tc>
          <w:tcPr>
            <w:tcW w:w="1183" w:type="pct"/>
            <w:vAlign w:val="center"/>
          </w:tcPr>
          <w:p w14:paraId="78875D27">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zrealizowanych wniosków</w:t>
            </w:r>
          </w:p>
        </w:tc>
        <w:tc>
          <w:tcPr>
            <w:tcW w:w="514" w:type="pct"/>
            <w:vAlign w:val="center"/>
          </w:tcPr>
          <w:p w14:paraId="7C0D8C3D">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514" w:type="pct"/>
            <w:vAlign w:val="center"/>
          </w:tcPr>
          <w:p w14:paraId="2EC9EFB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514" w:type="pct"/>
            <w:vAlign w:val="center"/>
          </w:tcPr>
          <w:p w14:paraId="13FE9E3F">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514" w:type="pct"/>
            <w:vAlign w:val="center"/>
          </w:tcPr>
          <w:p w14:paraId="2A098B0A">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514" w:type="pct"/>
            <w:vAlign w:val="center"/>
          </w:tcPr>
          <w:p w14:paraId="4B27C24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27</w:t>
            </w:r>
          </w:p>
        </w:tc>
      </w:tr>
      <w:tr w14:paraId="248E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restart"/>
            <w:vAlign w:val="center"/>
          </w:tcPr>
          <w:p w14:paraId="68937391">
            <w:pPr>
              <w:spacing w:after="0" w:line="276" w:lineRule="auto"/>
              <w:rPr>
                <w:rFonts w:ascii="Times New Roman" w:hAnsi="Times New Roman" w:cs="Times New Roman"/>
                <w:sz w:val="20"/>
                <w:szCs w:val="20"/>
              </w:rPr>
            </w:pPr>
            <w:r>
              <w:rPr>
                <w:rFonts w:ascii="Times New Roman" w:hAnsi="Times New Roman" w:cs="Times New Roman"/>
                <w:sz w:val="20"/>
                <w:szCs w:val="20"/>
              </w:rPr>
              <w:t>Likwidacja barier</w:t>
            </w:r>
          </w:p>
        </w:tc>
        <w:tc>
          <w:tcPr>
            <w:tcW w:w="1183" w:type="pct"/>
            <w:vAlign w:val="center"/>
          </w:tcPr>
          <w:p w14:paraId="7BC570C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złożonych wniosków</w:t>
            </w:r>
          </w:p>
        </w:tc>
        <w:tc>
          <w:tcPr>
            <w:tcW w:w="514" w:type="pct"/>
            <w:vAlign w:val="center"/>
          </w:tcPr>
          <w:p w14:paraId="608503E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201</w:t>
            </w:r>
          </w:p>
        </w:tc>
        <w:tc>
          <w:tcPr>
            <w:tcW w:w="514" w:type="pct"/>
            <w:vAlign w:val="center"/>
          </w:tcPr>
          <w:p w14:paraId="69F3549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191</w:t>
            </w:r>
          </w:p>
        </w:tc>
        <w:tc>
          <w:tcPr>
            <w:tcW w:w="514" w:type="pct"/>
            <w:vAlign w:val="center"/>
          </w:tcPr>
          <w:p w14:paraId="3701DE8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176</w:t>
            </w:r>
          </w:p>
        </w:tc>
        <w:tc>
          <w:tcPr>
            <w:tcW w:w="514" w:type="pct"/>
            <w:vAlign w:val="center"/>
          </w:tcPr>
          <w:p w14:paraId="5DC1E20A">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142</w:t>
            </w:r>
          </w:p>
        </w:tc>
        <w:tc>
          <w:tcPr>
            <w:tcW w:w="514" w:type="pct"/>
            <w:vAlign w:val="center"/>
          </w:tcPr>
          <w:p w14:paraId="7209780A">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142</w:t>
            </w:r>
          </w:p>
        </w:tc>
      </w:tr>
      <w:tr w14:paraId="5BB1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continue"/>
            <w:vAlign w:val="center"/>
          </w:tcPr>
          <w:p w14:paraId="3287D32F">
            <w:pPr>
              <w:spacing w:after="0" w:line="276" w:lineRule="auto"/>
              <w:rPr>
                <w:rFonts w:ascii="Times New Roman" w:hAnsi="Times New Roman" w:cs="Times New Roman"/>
                <w:sz w:val="20"/>
                <w:szCs w:val="20"/>
              </w:rPr>
            </w:pPr>
          </w:p>
        </w:tc>
        <w:tc>
          <w:tcPr>
            <w:tcW w:w="1183" w:type="pct"/>
            <w:vAlign w:val="center"/>
          </w:tcPr>
          <w:p w14:paraId="1FBD885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zrealizowanych wniosków</w:t>
            </w:r>
          </w:p>
        </w:tc>
        <w:tc>
          <w:tcPr>
            <w:tcW w:w="514" w:type="pct"/>
            <w:vAlign w:val="center"/>
          </w:tcPr>
          <w:p w14:paraId="452367E3">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514" w:type="pct"/>
            <w:vAlign w:val="center"/>
          </w:tcPr>
          <w:p w14:paraId="7A554ED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113</w:t>
            </w:r>
          </w:p>
        </w:tc>
        <w:tc>
          <w:tcPr>
            <w:tcW w:w="514" w:type="pct"/>
            <w:vAlign w:val="center"/>
          </w:tcPr>
          <w:p w14:paraId="35BEBD70">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514" w:type="pct"/>
            <w:vAlign w:val="center"/>
          </w:tcPr>
          <w:p w14:paraId="71764D06">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514" w:type="pct"/>
            <w:vAlign w:val="center"/>
          </w:tcPr>
          <w:p w14:paraId="6275C920">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14:paraId="647C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restart"/>
            <w:vAlign w:val="center"/>
          </w:tcPr>
          <w:p w14:paraId="711D677A">
            <w:pPr>
              <w:spacing w:after="0" w:line="276" w:lineRule="auto"/>
              <w:rPr>
                <w:rFonts w:ascii="Times New Roman" w:hAnsi="Times New Roman" w:cs="Times New Roman"/>
                <w:sz w:val="20"/>
                <w:szCs w:val="20"/>
              </w:rPr>
            </w:pPr>
            <w:r>
              <w:rPr>
                <w:rFonts w:ascii="Times New Roman" w:hAnsi="Times New Roman" w:cs="Times New Roman"/>
                <w:sz w:val="20"/>
                <w:szCs w:val="20"/>
              </w:rPr>
              <w:t>Moduł III</w:t>
            </w:r>
          </w:p>
        </w:tc>
        <w:tc>
          <w:tcPr>
            <w:tcW w:w="1183" w:type="pct"/>
            <w:vAlign w:val="center"/>
          </w:tcPr>
          <w:p w14:paraId="1017A1D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złożonych wniosków</w:t>
            </w:r>
          </w:p>
        </w:tc>
        <w:tc>
          <w:tcPr>
            <w:tcW w:w="514" w:type="pct"/>
            <w:vAlign w:val="center"/>
          </w:tcPr>
          <w:p w14:paraId="75A88BF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5E0DB0C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4E42E76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77B44DF4">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5B1F8D4A">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582</w:t>
            </w:r>
          </w:p>
        </w:tc>
      </w:tr>
      <w:tr w14:paraId="311A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continue"/>
            <w:vAlign w:val="center"/>
          </w:tcPr>
          <w:p w14:paraId="49C109CC">
            <w:pPr>
              <w:spacing w:after="0" w:line="276" w:lineRule="auto"/>
              <w:rPr>
                <w:rFonts w:ascii="Times New Roman" w:hAnsi="Times New Roman" w:cs="Times New Roman"/>
                <w:sz w:val="20"/>
                <w:szCs w:val="20"/>
              </w:rPr>
            </w:pPr>
          </w:p>
        </w:tc>
        <w:tc>
          <w:tcPr>
            <w:tcW w:w="1183" w:type="pct"/>
            <w:vAlign w:val="center"/>
          </w:tcPr>
          <w:p w14:paraId="0DA1B00D">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zrealizowanych wniosków</w:t>
            </w:r>
          </w:p>
        </w:tc>
        <w:tc>
          <w:tcPr>
            <w:tcW w:w="514" w:type="pct"/>
            <w:vAlign w:val="center"/>
          </w:tcPr>
          <w:p w14:paraId="0EEBAD8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026BEBF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0148C5E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5FDD71A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4D5E2E17">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495</w:t>
            </w:r>
          </w:p>
        </w:tc>
      </w:tr>
      <w:tr w14:paraId="5DB4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restart"/>
            <w:vAlign w:val="center"/>
          </w:tcPr>
          <w:p w14:paraId="568086CF">
            <w:pPr>
              <w:spacing w:after="0" w:line="276" w:lineRule="auto"/>
              <w:rPr>
                <w:rFonts w:ascii="Times New Roman" w:hAnsi="Times New Roman" w:cs="Times New Roman"/>
                <w:sz w:val="20"/>
                <w:szCs w:val="20"/>
              </w:rPr>
            </w:pPr>
            <w:r>
              <w:rPr>
                <w:rFonts w:ascii="Times New Roman" w:hAnsi="Times New Roman" w:cs="Times New Roman"/>
                <w:sz w:val="20"/>
                <w:szCs w:val="20"/>
              </w:rPr>
              <w:t>Przedmioty ortopedyczne</w:t>
            </w:r>
          </w:p>
        </w:tc>
        <w:tc>
          <w:tcPr>
            <w:tcW w:w="1183" w:type="pct"/>
            <w:vAlign w:val="center"/>
          </w:tcPr>
          <w:p w14:paraId="1BC0A73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złożonych wniosków</w:t>
            </w:r>
          </w:p>
        </w:tc>
        <w:tc>
          <w:tcPr>
            <w:tcW w:w="514" w:type="pct"/>
            <w:vAlign w:val="center"/>
          </w:tcPr>
          <w:p w14:paraId="48DABD2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460</w:t>
            </w:r>
          </w:p>
        </w:tc>
        <w:tc>
          <w:tcPr>
            <w:tcW w:w="514" w:type="pct"/>
            <w:vAlign w:val="center"/>
          </w:tcPr>
          <w:p w14:paraId="0A98079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486</w:t>
            </w:r>
          </w:p>
        </w:tc>
        <w:tc>
          <w:tcPr>
            <w:tcW w:w="514" w:type="pct"/>
            <w:vAlign w:val="center"/>
          </w:tcPr>
          <w:p w14:paraId="0567239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486</w:t>
            </w:r>
          </w:p>
        </w:tc>
        <w:tc>
          <w:tcPr>
            <w:tcW w:w="514" w:type="pct"/>
            <w:vAlign w:val="center"/>
          </w:tcPr>
          <w:p w14:paraId="60CC15A4">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481</w:t>
            </w:r>
          </w:p>
        </w:tc>
        <w:tc>
          <w:tcPr>
            <w:tcW w:w="514" w:type="pct"/>
            <w:vAlign w:val="center"/>
          </w:tcPr>
          <w:p w14:paraId="1067159D">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505</w:t>
            </w:r>
          </w:p>
        </w:tc>
      </w:tr>
      <w:tr w14:paraId="78BB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continue"/>
            <w:vAlign w:val="center"/>
          </w:tcPr>
          <w:p w14:paraId="0A42C2EE">
            <w:pPr>
              <w:spacing w:after="0" w:line="276" w:lineRule="auto"/>
              <w:rPr>
                <w:rFonts w:ascii="Times New Roman" w:hAnsi="Times New Roman" w:cs="Times New Roman"/>
                <w:sz w:val="20"/>
                <w:szCs w:val="20"/>
              </w:rPr>
            </w:pPr>
          </w:p>
        </w:tc>
        <w:tc>
          <w:tcPr>
            <w:tcW w:w="1183" w:type="pct"/>
            <w:vAlign w:val="center"/>
          </w:tcPr>
          <w:p w14:paraId="3E3CEDF7">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zrealizowanych wniosków</w:t>
            </w:r>
          </w:p>
        </w:tc>
        <w:tc>
          <w:tcPr>
            <w:tcW w:w="514" w:type="pct"/>
            <w:vAlign w:val="center"/>
          </w:tcPr>
          <w:p w14:paraId="4281FDD6">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447</w:t>
            </w:r>
          </w:p>
        </w:tc>
        <w:tc>
          <w:tcPr>
            <w:tcW w:w="514" w:type="pct"/>
            <w:vAlign w:val="center"/>
          </w:tcPr>
          <w:p w14:paraId="0FF3E42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466</w:t>
            </w:r>
          </w:p>
        </w:tc>
        <w:tc>
          <w:tcPr>
            <w:tcW w:w="514" w:type="pct"/>
            <w:vAlign w:val="center"/>
          </w:tcPr>
          <w:p w14:paraId="1A850EE7">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379</w:t>
            </w:r>
          </w:p>
        </w:tc>
        <w:tc>
          <w:tcPr>
            <w:tcW w:w="514" w:type="pct"/>
            <w:vAlign w:val="center"/>
          </w:tcPr>
          <w:p w14:paraId="7D99801E">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433</w:t>
            </w:r>
          </w:p>
        </w:tc>
        <w:tc>
          <w:tcPr>
            <w:tcW w:w="514" w:type="pct"/>
            <w:vAlign w:val="center"/>
          </w:tcPr>
          <w:p w14:paraId="04D4F4B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467</w:t>
            </w:r>
          </w:p>
        </w:tc>
      </w:tr>
      <w:tr w14:paraId="3E87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restart"/>
            <w:vAlign w:val="center"/>
          </w:tcPr>
          <w:p w14:paraId="53B970F1">
            <w:pPr>
              <w:spacing w:after="0" w:line="276" w:lineRule="auto"/>
              <w:rPr>
                <w:rFonts w:ascii="Times New Roman" w:hAnsi="Times New Roman" w:cs="Times New Roman"/>
                <w:sz w:val="20"/>
                <w:szCs w:val="20"/>
              </w:rPr>
            </w:pPr>
            <w:r>
              <w:rPr>
                <w:rFonts w:ascii="Times New Roman" w:hAnsi="Times New Roman" w:cs="Times New Roman"/>
                <w:sz w:val="20"/>
                <w:szCs w:val="20"/>
              </w:rPr>
              <w:t>Turnusy rehabilitacyjne</w:t>
            </w:r>
          </w:p>
        </w:tc>
        <w:tc>
          <w:tcPr>
            <w:tcW w:w="1183" w:type="pct"/>
            <w:vAlign w:val="center"/>
          </w:tcPr>
          <w:p w14:paraId="0C2E9E54">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złożonych wniosków</w:t>
            </w:r>
          </w:p>
        </w:tc>
        <w:tc>
          <w:tcPr>
            <w:tcW w:w="514" w:type="pct"/>
            <w:vAlign w:val="center"/>
          </w:tcPr>
          <w:p w14:paraId="737CA8A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514" w:type="pct"/>
            <w:vAlign w:val="center"/>
          </w:tcPr>
          <w:p w14:paraId="105EC19F">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514" w:type="pct"/>
            <w:vAlign w:val="center"/>
          </w:tcPr>
          <w:p w14:paraId="1E36B805">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514" w:type="pct"/>
            <w:vAlign w:val="center"/>
          </w:tcPr>
          <w:p w14:paraId="343E67B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148</w:t>
            </w:r>
          </w:p>
        </w:tc>
        <w:tc>
          <w:tcPr>
            <w:tcW w:w="514" w:type="pct"/>
            <w:vAlign w:val="center"/>
          </w:tcPr>
          <w:p w14:paraId="591CBCE7">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155</w:t>
            </w:r>
          </w:p>
        </w:tc>
      </w:tr>
      <w:tr w14:paraId="35F9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Merge w:val="continue"/>
            <w:vAlign w:val="center"/>
          </w:tcPr>
          <w:p w14:paraId="1305CEC0">
            <w:pPr>
              <w:spacing w:after="0" w:line="276" w:lineRule="auto"/>
              <w:rPr>
                <w:rFonts w:ascii="Times New Roman" w:hAnsi="Times New Roman" w:cs="Times New Roman"/>
                <w:sz w:val="20"/>
                <w:szCs w:val="20"/>
              </w:rPr>
            </w:pPr>
          </w:p>
        </w:tc>
        <w:tc>
          <w:tcPr>
            <w:tcW w:w="1183" w:type="pct"/>
            <w:vAlign w:val="center"/>
          </w:tcPr>
          <w:p w14:paraId="60D9603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liczba zrealizowanych wniosków</w:t>
            </w:r>
          </w:p>
        </w:tc>
        <w:tc>
          <w:tcPr>
            <w:tcW w:w="514" w:type="pct"/>
            <w:vAlign w:val="center"/>
          </w:tcPr>
          <w:p w14:paraId="0E4DB863">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4" w:type="pct"/>
            <w:vAlign w:val="center"/>
          </w:tcPr>
          <w:p w14:paraId="56A7789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514" w:type="pct"/>
            <w:vAlign w:val="center"/>
          </w:tcPr>
          <w:p w14:paraId="71CA35C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514" w:type="pct"/>
            <w:vAlign w:val="center"/>
          </w:tcPr>
          <w:p w14:paraId="757D4BCF">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514" w:type="pct"/>
            <w:vAlign w:val="center"/>
          </w:tcPr>
          <w:p w14:paraId="62D2399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30</w:t>
            </w:r>
          </w:p>
        </w:tc>
      </w:tr>
    </w:tbl>
    <w:p w14:paraId="0E974766">
      <w:pPr>
        <w:spacing w:line="276" w:lineRule="auto"/>
        <w:jc w:val="center"/>
        <w:rPr>
          <w:rFonts w:ascii="Times New Roman" w:hAnsi="Times New Roman" w:cs="Times New Roman"/>
          <w:i/>
          <w:iCs/>
          <w:sz w:val="20"/>
          <w:szCs w:val="20"/>
        </w:rPr>
      </w:pPr>
      <w:r>
        <w:rPr>
          <w:rFonts w:ascii="Times New Roman" w:hAnsi="Times New Roman" w:cs="Times New Roman"/>
          <w:i/>
          <w:iCs/>
          <w:sz w:val="20"/>
          <w:szCs w:val="20"/>
        </w:rPr>
        <w:t>Źródło: na podstawie danych Powiatowego Zespołu do Spraw Orzekania o Niepełnosprawności w Myślenicach</w:t>
      </w:r>
    </w:p>
    <w:p w14:paraId="3BC27D1A">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 xml:space="preserve">Do grupy osób w niekorzystnej sytuacji zaliczono </w:t>
      </w:r>
      <w:r>
        <w:rPr>
          <w:rFonts w:ascii="Times New Roman" w:hAnsi="Times New Roman" w:cs="Times New Roman"/>
          <w:color w:val="000000" w:themeColor="text1"/>
          <w14:textFill>
            <w14:solidFill>
              <w14:schemeClr w14:val="tx1"/>
            </w14:solidFill>
          </w14:textFill>
        </w:rPr>
        <w:t xml:space="preserve">osoby z niepełnosprawnościami i ich opiekunów – osoby te mierzą się z problem dostępności. Uczestnicy spotkań w trakcie dyskusji zwrócili uwagę na niewystarczająco przystosowane otoczenie do potrzeb osób z niepełnosprawnościami. Spostrzeżenia mieszkańców potwierdzają powyższe dane oraz wyniki badania ankietowego. Podczas dyskusji na temat sytuacji osób zagrożonych wykluczeniem stwierdzono, że wciąż wiele osób z niepełnosprawnościami, szczególnie na terenach wiejskich, ma utrudniony dostęp do podstawowych usług, przez co mają ograniczone szanse na rozwój osobisty i społeczny. Uczestnicy spotkań zdając sobie sprawę, że wsparcie takich osób wymaga wielu nakładów zarówno finansowych jak i osobowych, zadecydowali, iż konieczne jest podjęcie nawet niewielkich działań, które pozwolą na włączenie osób z niepełnosprawnościami i ich opiekunów. </w:t>
      </w:r>
    </w:p>
    <w:p w14:paraId="2BF09C1D">
      <w:pPr>
        <w:pStyle w:val="28"/>
        <w:numPr>
          <w:ilvl w:val="1"/>
          <w:numId w:val="15"/>
        </w:numPr>
        <w:spacing w:before="240"/>
        <w:rPr>
          <w:rFonts w:ascii="Times New Roman" w:hAnsi="Times New Roman" w:cs="Times New Roman"/>
          <w:b/>
          <w:bCs/>
        </w:rPr>
      </w:pPr>
      <w:r>
        <w:rPr>
          <w:rFonts w:ascii="Times New Roman" w:hAnsi="Times New Roman" w:cs="Times New Roman"/>
          <w:b/>
          <w:bCs/>
        </w:rPr>
        <w:t>Finanse samorządowe</w:t>
      </w:r>
    </w:p>
    <w:p w14:paraId="48A1D036">
      <w:pPr>
        <w:spacing w:before="240"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Sytuację finansową samorządów z obszaru LGD „MDiG” obrazują m.in. wskaźniki dochodów ogółem i dochodów własnych gmin w przeliczeniu na 1 mieszkańca. Średnie wartości tych wskaźników dla LGD, województwa małopolskiego i Polski w latach 2016–2021 przedstawiono w tabeli 12.</w:t>
      </w:r>
    </w:p>
    <w:p w14:paraId="5B3BE877">
      <w:pPr>
        <w:spacing w:line="276" w:lineRule="auto"/>
        <w:ind w:firstLine="708"/>
        <w:jc w:val="both"/>
        <w:rPr>
          <w:rFonts w:ascii="Times New Roman" w:hAnsi="Times New Roman" w:cs="Times New Roman"/>
        </w:rPr>
        <w:sectPr>
          <w:pgSz w:w="11906" w:h="16838"/>
          <w:pgMar w:top="851" w:right="851" w:bottom="851" w:left="851" w:header="709" w:footer="709" w:gutter="0"/>
          <w:cols w:space="708" w:num="1"/>
          <w:titlePg/>
          <w:docGrid w:linePitch="360" w:charSpace="0"/>
        </w:sectPr>
      </w:pPr>
      <w:r>
        <w:rPr>
          <w:rFonts w:ascii="Times New Roman" w:hAnsi="Times New Roman" w:cs="Times New Roman"/>
        </w:rPr>
        <w:t>Dochody ogółem w przeliczeniu na 1 mieszkańca dla wszystkich analizowanych podmiotów corocznie rosły, podobna sytuacja dotyczy dochodów własnych gmin w przeliczeniu na 1 mieszkańca. Zdecydowanie najwyższe wartości dochodów ogółem na 1 mieszkańca wśród gmin LGD osiągała Gmina Raciechowice: w 2021 r. wyniosły 7 884 zł. Najwyższe dochody własne na 1 mieszkańca wśród gmin LGD osiągnęła natomiast Gmina Myślenice: w 2021 r. wyniosły 2 681 zł (dane GUS).</w:t>
      </w:r>
    </w:p>
    <w:p w14:paraId="3DBCD8EA">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95" w:name="_Toc136241400"/>
      <w:bookmarkStart w:id="96" w:name="_Toc134966359"/>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12</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t xml:space="preserve"> </w:t>
      </w:r>
      <w:r>
        <w:rPr>
          <w:rFonts w:ascii="Times New Roman" w:hAnsi="Times New Roman" w:cs="Times New Roman"/>
          <w:b/>
          <w:bCs/>
          <w:i w:val="0"/>
          <w:iCs w:val="0"/>
          <w:color w:val="000000" w:themeColor="text1"/>
          <w:sz w:val="20"/>
          <w:szCs w:val="20"/>
          <w14:textFill>
            <w14:solidFill>
              <w14:schemeClr w14:val="tx1"/>
            </w14:solidFill>
          </w14:textFill>
        </w:rPr>
        <w:t>Dochody ogółem i dochody własne na 1 mieszkańca (zł) na obszarze LGD oraz porównanie do województwa i kraju w latach 2016–2021</w:t>
      </w:r>
      <w:bookmarkEnd w:id="95"/>
      <w:bookmarkEnd w:id="96"/>
    </w:p>
    <w:tbl>
      <w:tblPr>
        <w:tblStyle w:val="6"/>
        <w:tblW w:w="0" w:type="auto"/>
        <w:tblInd w:w="0" w:type="dxa"/>
        <w:tblLayout w:type="fixed"/>
        <w:tblCellMar>
          <w:top w:w="0" w:type="dxa"/>
          <w:left w:w="70" w:type="dxa"/>
          <w:bottom w:w="0" w:type="dxa"/>
          <w:right w:w="70" w:type="dxa"/>
        </w:tblCellMar>
      </w:tblPr>
      <w:tblGrid>
        <w:gridCol w:w="2929"/>
        <w:gridCol w:w="601"/>
        <w:gridCol w:w="601"/>
        <w:gridCol w:w="601"/>
        <w:gridCol w:w="601"/>
        <w:gridCol w:w="601"/>
        <w:gridCol w:w="608"/>
        <w:gridCol w:w="590"/>
        <w:gridCol w:w="660"/>
        <w:gridCol w:w="631"/>
        <w:gridCol w:w="590"/>
        <w:gridCol w:w="590"/>
        <w:gridCol w:w="591"/>
      </w:tblGrid>
      <w:tr w14:paraId="3593C003">
        <w:tblPrEx>
          <w:tblCellMar>
            <w:top w:w="0" w:type="dxa"/>
            <w:left w:w="70" w:type="dxa"/>
            <w:bottom w:w="0" w:type="dxa"/>
            <w:right w:w="70" w:type="dxa"/>
          </w:tblCellMar>
        </w:tblPrEx>
        <w:trPr>
          <w:trHeight w:val="340" w:hRule="atLeast"/>
        </w:trPr>
        <w:tc>
          <w:tcPr>
            <w:tcW w:w="29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B921E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3613" w:type="dxa"/>
            <w:gridSpan w:val="6"/>
            <w:tcBorders>
              <w:top w:val="single" w:color="auto" w:sz="4" w:space="0"/>
              <w:left w:val="nil"/>
              <w:bottom w:val="single" w:color="auto" w:sz="4" w:space="0"/>
              <w:right w:val="single" w:color="auto" w:sz="4" w:space="0"/>
            </w:tcBorders>
            <w:shd w:val="clear" w:color="auto" w:fill="auto"/>
            <w:noWrap/>
            <w:vAlign w:val="center"/>
          </w:tcPr>
          <w:p w14:paraId="4257D1B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Dochody ogółem na 1 mieszkańca (zł)</w:t>
            </w:r>
          </w:p>
        </w:tc>
        <w:tc>
          <w:tcPr>
            <w:tcW w:w="3652" w:type="dxa"/>
            <w:gridSpan w:val="6"/>
            <w:tcBorders>
              <w:top w:val="single" w:color="auto" w:sz="4" w:space="0"/>
              <w:left w:val="nil"/>
              <w:bottom w:val="single" w:color="auto" w:sz="4" w:space="0"/>
              <w:right w:val="single" w:color="auto" w:sz="4" w:space="0"/>
            </w:tcBorders>
            <w:shd w:val="clear" w:color="auto" w:fill="auto"/>
            <w:noWrap/>
            <w:vAlign w:val="center"/>
          </w:tcPr>
          <w:p w14:paraId="3E148DE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Dochody własne na 1 mieszkańca (zł)</w:t>
            </w:r>
          </w:p>
        </w:tc>
      </w:tr>
      <w:tr w14:paraId="7F367017">
        <w:tblPrEx>
          <w:tblCellMar>
            <w:top w:w="0" w:type="dxa"/>
            <w:left w:w="70" w:type="dxa"/>
            <w:bottom w:w="0" w:type="dxa"/>
            <w:right w:w="70" w:type="dxa"/>
          </w:tblCellMar>
        </w:tblPrEx>
        <w:trPr>
          <w:trHeight w:val="340" w:hRule="atLeast"/>
        </w:trPr>
        <w:tc>
          <w:tcPr>
            <w:tcW w:w="29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3A13AD">
            <w:pPr>
              <w:spacing w:after="0" w:line="240" w:lineRule="auto"/>
              <w:rPr>
                <w:rFonts w:ascii="Times New Roman" w:hAnsi="Times New Roman" w:eastAsia="Times New Roman" w:cs="Times New Roman"/>
                <w:b/>
                <w:bCs/>
                <w:color w:val="000000"/>
                <w:sz w:val="20"/>
                <w:szCs w:val="20"/>
                <w:lang w:eastAsia="pl-PL"/>
              </w:rPr>
            </w:pPr>
          </w:p>
        </w:tc>
        <w:tc>
          <w:tcPr>
            <w:tcW w:w="601" w:type="dxa"/>
            <w:tcBorders>
              <w:top w:val="nil"/>
              <w:left w:val="nil"/>
              <w:bottom w:val="single" w:color="auto" w:sz="4" w:space="0"/>
              <w:right w:val="single" w:color="auto" w:sz="4" w:space="0"/>
            </w:tcBorders>
            <w:shd w:val="clear" w:color="auto" w:fill="auto"/>
            <w:noWrap/>
            <w:vAlign w:val="center"/>
          </w:tcPr>
          <w:p w14:paraId="4F118C7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601" w:type="dxa"/>
            <w:tcBorders>
              <w:top w:val="nil"/>
              <w:left w:val="nil"/>
              <w:bottom w:val="single" w:color="auto" w:sz="4" w:space="0"/>
              <w:right w:val="single" w:color="auto" w:sz="4" w:space="0"/>
            </w:tcBorders>
            <w:shd w:val="clear" w:color="auto" w:fill="auto"/>
            <w:noWrap/>
            <w:vAlign w:val="center"/>
          </w:tcPr>
          <w:p w14:paraId="6F47A3E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601" w:type="dxa"/>
            <w:tcBorders>
              <w:top w:val="nil"/>
              <w:left w:val="nil"/>
              <w:bottom w:val="single" w:color="auto" w:sz="4" w:space="0"/>
              <w:right w:val="single" w:color="auto" w:sz="4" w:space="0"/>
            </w:tcBorders>
            <w:shd w:val="clear" w:color="auto" w:fill="auto"/>
            <w:noWrap/>
            <w:vAlign w:val="center"/>
          </w:tcPr>
          <w:p w14:paraId="2A67ACE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601" w:type="dxa"/>
            <w:tcBorders>
              <w:top w:val="nil"/>
              <w:left w:val="nil"/>
              <w:bottom w:val="single" w:color="auto" w:sz="4" w:space="0"/>
              <w:right w:val="single" w:color="auto" w:sz="4" w:space="0"/>
            </w:tcBorders>
            <w:shd w:val="clear" w:color="auto" w:fill="auto"/>
            <w:noWrap/>
            <w:vAlign w:val="center"/>
          </w:tcPr>
          <w:p w14:paraId="66603D8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601" w:type="dxa"/>
            <w:tcBorders>
              <w:top w:val="nil"/>
              <w:left w:val="nil"/>
              <w:bottom w:val="single" w:color="auto" w:sz="4" w:space="0"/>
              <w:right w:val="single" w:color="auto" w:sz="4" w:space="0"/>
            </w:tcBorders>
            <w:shd w:val="clear" w:color="auto" w:fill="auto"/>
            <w:noWrap/>
            <w:vAlign w:val="center"/>
          </w:tcPr>
          <w:p w14:paraId="152565A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608" w:type="dxa"/>
            <w:tcBorders>
              <w:top w:val="nil"/>
              <w:left w:val="nil"/>
              <w:bottom w:val="single" w:color="auto" w:sz="4" w:space="0"/>
              <w:right w:val="single" w:color="auto" w:sz="4" w:space="0"/>
            </w:tcBorders>
            <w:shd w:val="clear" w:color="auto" w:fill="auto"/>
            <w:noWrap/>
            <w:vAlign w:val="center"/>
          </w:tcPr>
          <w:p w14:paraId="56BA341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590" w:type="dxa"/>
            <w:tcBorders>
              <w:top w:val="nil"/>
              <w:left w:val="nil"/>
              <w:bottom w:val="single" w:color="auto" w:sz="4" w:space="0"/>
              <w:right w:val="single" w:color="auto" w:sz="4" w:space="0"/>
            </w:tcBorders>
            <w:shd w:val="clear" w:color="auto" w:fill="auto"/>
            <w:noWrap/>
            <w:vAlign w:val="center"/>
          </w:tcPr>
          <w:p w14:paraId="406DA14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660" w:type="dxa"/>
            <w:tcBorders>
              <w:top w:val="nil"/>
              <w:left w:val="nil"/>
              <w:bottom w:val="single" w:color="auto" w:sz="4" w:space="0"/>
              <w:right w:val="single" w:color="auto" w:sz="4" w:space="0"/>
            </w:tcBorders>
            <w:shd w:val="clear" w:color="auto" w:fill="auto"/>
            <w:noWrap/>
            <w:vAlign w:val="center"/>
          </w:tcPr>
          <w:p w14:paraId="48D05CA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631" w:type="dxa"/>
            <w:tcBorders>
              <w:top w:val="nil"/>
              <w:left w:val="nil"/>
              <w:bottom w:val="single" w:color="auto" w:sz="4" w:space="0"/>
              <w:right w:val="single" w:color="auto" w:sz="4" w:space="0"/>
            </w:tcBorders>
            <w:shd w:val="clear" w:color="auto" w:fill="auto"/>
            <w:noWrap/>
            <w:vAlign w:val="center"/>
          </w:tcPr>
          <w:p w14:paraId="7C807B2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590" w:type="dxa"/>
            <w:tcBorders>
              <w:top w:val="nil"/>
              <w:left w:val="nil"/>
              <w:bottom w:val="single" w:color="auto" w:sz="4" w:space="0"/>
              <w:right w:val="single" w:color="auto" w:sz="4" w:space="0"/>
            </w:tcBorders>
            <w:shd w:val="clear" w:color="auto" w:fill="auto"/>
            <w:noWrap/>
            <w:vAlign w:val="center"/>
          </w:tcPr>
          <w:p w14:paraId="6800FE8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590" w:type="dxa"/>
            <w:tcBorders>
              <w:top w:val="nil"/>
              <w:left w:val="nil"/>
              <w:bottom w:val="single" w:color="auto" w:sz="4" w:space="0"/>
              <w:right w:val="single" w:color="auto" w:sz="4" w:space="0"/>
            </w:tcBorders>
            <w:shd w:val="clear" w:color="auto" w:fill="auto"/>
            <w:noWrap/>
            <w:vAlign w:val="center"/>
          </w:tcPr>
          <w:p w14:paraId="0932456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591" w:type="dxa"/>
            <w:tcBorders>
              <w:top w:val="nil"/>
              <w:left w:val="nil"/>
              <w:bottom w:val="single" w:color="auto" w:sz="4" w:space="0"/>
              <w:right w:val="single" w:color="auto" w:sz="4" w:space="0"/>
            </w:tcBorders>
            <w:shd w:val="clear" w:color="auto" w:fill="auto"/>
            <w:noWrap/>
            <w:vAlign w:val="center"/>
          </w:tcPr>
          <w:p w14:paraId="689D8CF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r>
      <w:tr w14:paraId="5EEED6C8">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66772CA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601" w:type="dxa"/>
            <w:tcBorders>
              <w:top w:val="nil"/>
              <w:left w:val="nil"/>
              <w:bottom w:val="single" w:color="auto" w:sz="4" w:space="0"/>
              <w:right w:val="single" w:color="auto" w:sz="4" w:space="0"/>
            </w:tcBorders>
            <w:shd w:val="clear" w:color="auto" w:fill="auto"/>
            <w:noWrap/>
            <w:vAlign w:val="center"/>
          </w:tcPr>
          <w:p w14:paraId="04F9A85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3 750</w:t>
            </w:r>
          </w:p>
        </w:tc>
        <w:tc>
          <w:tcPr>
            <w:tcW w:w="601" w:type="dxa"/>
            <w:tcBorders>
              <w:top w:val="nil"/>
              <w:left w:val="nil"/>
              <w:bottom w:val="single" w:color="auto" w:sz="4" w:space="0"/>
              <w:right w:val="single" w:color="auto" w:sz="4" w:space="0"/>
            </w:tcBorders>
            <w:shd w:val="clear" w:color="auto" w:fill="auto"/>
            <w:noWrap/>
            <w:vAlign w:val="center"/>
          </w:tcPr>
          <w:p w14:paraId="78BAD92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4 115</w:t>
            </w:r>
          </w:p>
        </w:tc>
        <w:tc>
          <w:tcPr>
            <w:tcW w:w="601" w:type="dxa"/>
            <w:tcBorders>
              <w:top w:val="nil"/>
              <w:left w:val="nil"/>
              <w:bottom w:val="single" w:color="auto" w:sz="4" w:space="0"/>
              <w:right w:val="single" w:color="auto" w:sz="4" w:space="0"/>
            </w:tcBorders>
            <w:shd w:val="clear" w:color="auto" w:fill="auto"/>
            <w:noWrap/>
            <w:vAlign w:val="center"/>
          </w:tcPr>
          <w:p w14:paraId="3328BF8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4 316</w:t>
            </w:r>
          </w:p>
        </w:tc>
        <w:tc>
          <w:tcPr>
            <w:tcW w:w="601" w:type="dxa"/>
            <w:tcBorders>
              <w:top w:val="nil"/>
              <w:left w:val="nil"/>
              <w:bottom w:val="single" w:color="auto" w:sz="4" w:space="0"/>
              <w:right w:val="single" w:color="auto" w:sz="4" w:space="0"/>
            </w:tcBorders>
            <w:shd w:val="clear" w:color="auto" w:fill="auto"/>
            <w:noWrap/>
            <w:vAlign w:val="center"/>
          </w:tcPr>
          <w:p w14:paraId="3D4941B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4 871</w:t>
            </w:r>
          </w:p>
        </w:tc>
        <w:tc>
          <w:tcPr>
            <w:tcW w:w="601" w:type="dxa"/>
            <w:tcBorders>
              <w:top w:val="nil"/>
              <w:left w:val="nil"/>
              <w:bottom w:val="single" w:color="auto" w:sz="4" w:space="0"/>
              <w:right w:val="single" w:color="auto" w:sz="4" w:space="0"/>
            </w:tcBorders>
            <w:shd w:val="clear" w:color="auto" w:fill="auto"/>
            <w:noWrap/>
            <w:vAlign w:val="center"/>
          </w:tcPr>
          <w:p w14:paraId="3E6BCE5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5 206</w:t>
            </w:r>
          </w:p>
        </w:tc>
        <w:tc>
          <w:tcPr>
            <w:tcW w:w="608" w:type="dxa"/>
            <w:tcBorders>
              <w:top w:val="nil"/>
              <w:left w:val="nil"/>
              <w:bottom w:val="single" w:color="auto" w:sz="4" w:space="0"/>
              <w:right w:val="single" w:color="auto" w:sz="4" w:space="0"/>
            </w:tcBorders>
            <w:shd w:val="clear" w:color="auto" w:fill="auto"/>
            <w:noWrap/>
            <w:vAlign w:val="center"/>
          </w:tcPr>
          <w:p w14:paraId="48D8DCC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5 889</w:t>
            </w:r>
          </w:p>
        </w:tc>
        <w:tc>
          <w:tcPr>
            <w:tcW w:w="590" w:type="dxa"/>
            <w:tcBorders>
              <w:top w:val="single" w:color="auto" w:sz="4" w:space="0"/>
              <w:left w:val="single" w:color="auto" w:sz="8" w:space="0"/>
              <w:bottom w:val="single" w:color="auto" w:sz="4" w:space="0"/>
              <w:right w:val="single" w:color="auto" w:sz="4" w:space="0"/>
            </w:tcBorders>
            <w:shd w:val="clear" w:color="auto" w:fill="auto"/>
            <w:noWrap/>
            <w:vAlign w:val="center"/>
          </w:tcPr>
          <w:p w14:paraId="429A254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732</w:t>
            </w:r>
          </w:p>
        </w:tc>
        <w:tc>
          <w:tcPr>
            <w:tcW w:w="660" w:type="dxa"/>
            <w:tcBorders>
              <w:top w:val="single" w:color="auto" w:sz="4" w:space="0"/>
              <w:left w:val="nil"/>
              <w:bottom w:val="single" w:color="auto" w:sz="4" w:space="0"/>
              <w:right w:val="single" w:color="auto" w:sz="4" w:space="0"/>
            </w:tcBorders>
            <w:shd w:val="clear" w:color="auto" w:fill="auto"/>
            <w:noWrap/>
            <w:vAlign w:val="center"/>
          </w:tcPr>
          <w:p w14:paraId="2E94884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846</w:t>
            </w:r>
          </w:p>
        </w:tc>
        <w:tc>
          <w:tcPr>
            <w:tcW w:w="631" w:type="dxa"/>
            <w:tcBorders>
              <w:top w:val="single" w:color="auto" w:sz="4" w:space="0"/>
              <w:left w:val="nil"/>
              <w:bottom w:val="single" w:color="auto" w:sz="4" w:space="0"/>
              <w:right w:val="single" w:color="auto" w:sz="4" w:space="0"/>
            </w:tcBorders>
            <w:shd w:val="clear" w:color="auto" w:fill="auto"/>
            <w:noWrap/>
            <w:vAlign w:val="center"/>
          </w:tcPr>
          <w:p w14:paraId="133CFF3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851</w:t>
            </w:r>
          </w:p>
        </w:tc>
        <w:tc>
          <w:tcPr>
            <w:tcW w:w="590" w:type="dxa"/>
            <w:tcBorders>
              <w:top w:val="single" w:color="auto" w:sz="4" w:space="0"/>
              <w:left w:val="nil"/>
              <w:bottom w:val="single" w:color="auto" w:sz="4" w:space="0"/>
              <w:right w:val="single" w:color="auto" w:sz="4" w:space="0"/>
            </w:tcBorders>
            <w:shd w:val="clear" w:color="auto" w:fill="auto"/>
            <w:noWrap/>
            <w:vAlign w:val="center"/>
          </w:tcPr>
          <w:p w14:paraId="26167D6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1 004</w:t>
            </w:r>
          </w:p>
        </w:tc>
        <w:tc>
          <w:tcPr>
            <w:tcW w:w="590" w:type="dxa"/>
            <w:tcBorders>
              <w:top w:val="single" w:color="auto" w:sz="4" w:space="0"/>
              <w:left w:val="nil"/>
              <w:bottom w:val="single" w:color="auto" w:sz="4" w:space="0"/>
              <w:right w:val="single" w:color="auto" w:sz="4" w:space="0"/>
            </w:tcBorders>
            <w:shd w:val="clear" w:color="auto" w:fill="auto"/>
            <w:noWrap/>
            <w:vAlign w:val="center"/>
          </w:tcPr>
          <w:p w14:paraId="47D67FC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1 091</w:t>
            </w:r>
          </w:p>
        </w:tc>
        <w:tc>
          <w:tcPr>
            <w:tcW w:w="591" w:type="dxa"/>
            <w:tcBorders>
              <w:top w:val="single" w:color="auto" w:sz="4" w:space="0"/>
              <w:left w:val="nil"/>
              <w:bottom w:val="single" w:color="auto" w:sz="4" w:space="0"/>
              <w:right w:val="single" w:color="auto" w:sz="8" w:space="0"/>
            </w:tcBorders>
            <w:shd w:val="clear" w:color="auto" w:fill="auto"/>
            <w:noWrap/>
            <w:vAlign w:val="center"/>
          </w:tcPr>
          <w:p w14:paraId="0AF11CE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1 176</w:t>
            </w:r>
          </w:p>
        </w:tc>
      </w:tr>
      <w:tr w14:paraId="6D6EB6D1">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0BB2A315">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601" w:type="dxa"/>
            <w:tcBorders>
              <w:top w:val="nil"/>
              <w:left w:val="nil"/>
              <w:bottom w:val="single" w:color="auto" w:sz="4" w:space="0"/>
              <w:right w:val="single" w:color="auto" w:sz="4" w:space="0"/>
            </w:tcBorders>
            <w:shd w:val="clear" w:color="auto" w:fill="auto"/>
            <w:noWrap/>
            <w:vAlign w:val="center"/>
          </w:tcPr>
          <w:p w14:paraId="5F2709B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4 272</w:t>
            </w:r>
          </w:p>
        </w:tc>
        <w:tc>
          <w:tcPr>
            <w:tcW w:w="601" w:type="dxa"/>
            <w:tcBorders>
              <w:top w:val="nil"/>
              <w:left w:val="nil"/>
              <w:bottom w:val="single" w:color="auto" w:sz="4" w:space="0"/>
              <w:right w:val="single" w:color="auto" w:sz="4" w:space="0"/>
            </w:tcBorders>
            <w:shd w:val="clear" w:color="auto" w:fill="auto"/>
            <w:noWrap/>
            <w:vAlign w:val="center"/>
          </w:tcPr>
          <w:p w14:paraId="77AD587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4 288</w:t>
            </w:r>
          </w:p>
        </w:tc>
        <w:tc>
          <w:tcPr>
            <w:tcW w:w="601" w:type="dxa"/>
            <w:tcBorders>
              <w:top w:val="nil"/>
              <w:left w:val="nil"/>
              <w:bottom w:val="single" w:color="auto" w:sz="4" w:space="0"/>
              <w:right w:val="single" w:color="auto" w:sz="4" w:space="0"/>
            </w:tcBorders>
            <w:shd w:val="clear" w:color="auto" w:fill="auto"/>
            <w:noWrap/>
            <w:vAlign w:val="center"/>
          </w:tcPr>
          <w:p w14:paraId="5027F85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4 332</w:t>
            </w:r>
          </w:p>
        </w:tc>
        <w:tc>
          <w:tcPr>
            <w:tcW w:w="601" w:type="dxa"/>
            <w:tcBorders>
              <w:top w:val="nil"/>
              <w:left w:val="nil"/>
              <w:bottom w:val="single" w:color="auto" w:sz="4" w:space="0"/>
              <w:right w:val="single" w:color="auto" w:sz="4" w:space="0"/>
            </w:tcBorders>
            <w:shd w:val="clear" w:color="auto" w:fill="auto"/>
            <w:noWrap/>
            <w:vAlign w:val="center"/>
          </w:tcPr>
          <w:p w14:paraId="287002E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5 090</w:t>
            </w:r>
          </w:p>
        </w:tc>
        <w:tc>
          <w:tcPr>
            <w:tcW w:w="601" w:type="dxa"/>
            <w:tcBorders>
              <w:top w:val="nil"/>
              <w:left w:val="nil"/>
              <w:bottom w:val="single" w:color="auto" w:sz="4" w:space="0"/>
              <w:right w:val="single" w:color="auto" w:sz="4" w:space="0"/>
            </w:tcBorders>
            <w:shd w:val="clear" w:color="auto" w:fill="auto"/>
            <w:noWrap/>
            <w:vAlign w:val="center"/>
          </w:tcPr>
          <w:p w14:paraId="6C2BCF6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5 900</w:t>
            </w:r>
          </w:p>
        </w:tc>
        <w:tc>
          <w:tcPr>
            <w:tcW w:w="608" w:type="dxa"/>
            <w:tcBorders>
              <w:top w:val="nil"/>
              <w:left w:val="nil"/>
              <w:bottom w:val="single" w:color="auto" w:sz="4" w:space="0"/>
              <w:right w:val="single" w:color="auto" w:sz="4" w:space="0"/>
            </w:tcBorders>
            <w:shd w:val="clear" w:color="auto" w:fill="auto"/>
            <w:noWrap/>
            <w:vAlign w:val="center"/>
          </w:tcPr>
          <w:p w14:paraId="67BF7AF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6 145</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37DCBDD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2 274</w:t>
            </w:r>
          </w:p>
        </w:tc>
        <w:tc>
          <w:tcPr>
            <w:tcW w:w="660" w:type="dxa"/>
            <w:tcBorders>
              <w:top w:val="nil"/>
              <w:left w:val="nil"/>
              <w:bottom w:val="single" w:color="auto" w:sz="4" w:space="0"/>
              <w:right w:val="single" w:color="auto" w:sz="4" w:space="0"/>
            </w:tcBorders>
            <w:shd w:val="clear" w:color="auto" w:fill="auto"/>
            <w:noWrap/>
            <w:vAlign w:val="center"/>
          </w:tcPr>
          <w:p w14:paraId="2A6B4A0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2 105</w:t>
            </w:r>
          </w:p>
        </w:tc>
        <w:tc>
          <w:tcPr>
            <w:tcW w:w="631" w:type="dxa"/>
            <w:tcBorders>
              <w:top w:val="nil"/>
              <w:left w:val="nil"/>
              <w:bottom w:val="single" w:color="auto" w:sz="4" w:space="0"/>
              <w:right w:val="single" w:color="auto" w:sz="4" w:space="0"/>
            </w:tcBorders>
            <w:shd w:val="clear" w:color="auto" w:fill="auto"/>
            <w:noWrap/>
            <w:vAlign w:val="center"/>
          </w:tcPr>
          <w:p w14:paraId="7103CA7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2 142</w:t>
            </w:r>
          </w:p>
        </w:tc>
        <w:tc>
          <w:tcPr>
            <w:tcW w:w="590" w:type="dxa"/>
            <w:tcBorders>
              <w:top w:val="nil"/>
              <w:left w:val="nil"/>
              <w:bottom w:val="single" w:color="auto" w:sz="4" w:space="0"/>
              <w:right w:val="single" w:color="auto" w:sz="4" w:space="0"/>
            </w:tcBorders>
            <w:shd w:val="clear" w:color="auto" w:fill="auto"/>
            <w:noWrap/>
            <w:vAlign w:val="center"/>
          </w:tcPr>
          <w:p w14:paraId="397BA5A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2 395</w:t>
            </w:r>
          </w:p>
        </w:tc>
        <w:tc>
          <w:tcPr>
            <w:tcW w:w="590" w:type="dxa"/>
            <w:tcBorders>
              <w:top w:val="nil"/>
              <w:left w:val="nil"/>
              <w:bottom w:val="single" w:color="auto" w:sz="4" w:space="0"/>
              <w:right w:val="single" w:color="auto" w:sz="4" w:space="0"/>
            </w:tcBorders>
            <w:shd w:val="clear" w:color="auto" w:fill="auto"/>
            <w:noWrap/>
            <w:vAlign w:val="center"/>
          </w:tcPr>
          <w:p w14:paraId="578ED0E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2 963</w:t>
            </w:r>
          </w:p>
        </w:tc>
        <w:tc>
          <w:tcPr>
            <w:tcW w:w="591" w:type="dxa"/>
            <w:tcBorders>
              <w:top w:val="nil"/>
              <w:left w:val="nil"/>
              <w:bottom w:val="single" w:color="auto" w:sz="4" w:space="0"/>
              <w:right w:val="single" w:color="auto" w:sz="8" w:space="0"/>
            </w:tcBorders>
            <w:shd w:val="clear" w:color="auto" w:fill="auto"/>
            <w:noWrap/>
            <w:vAlign w:val="center"/>
          </w:tcPr>
          <w:p w14:paraId="1CF13AE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2 681</w:t>
            </w:r>
          </w:p>
        </w:tc>
      </w:tr>
      <w:tr w14:paraId="5F0EC80F">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4B68618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601" w:type="dxa"/>
            <w:tcBorders>
              <w:top w:val="nil"/>
              <w:left w:val="nil"/>
              <w:bottom w:val="single" w:color="auto" w:sz="4" w:space="0"/>
              <w:right w:val="single" w:color="auto" w:sz="4" w:space="0"/>
            </w:tcBorders>
            <w:shd w:val="clear" w:color="auto" w:fill="auto"/>
            <w:noWrap/>
            <w:vAlign w:val="center"/>
          </w:tcPr>
          <w:p w14:paraId="7E71ECE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3 753</w:t>
            </w:r>
          </w:p>
        </w:tc>
        <w:tc>
          <w:tcPr>
            <w:tcW w:w="601" w:type="dxa"/>
            <w:tcBorders>
              <w:top w:val="nil"/>
              <w:left w:val="nil"/>
              <w:bottom w:val="single" w:color="auto" w:sz="4" w:space="0"/>
              <w:right w:val="single" w:color="auto" w:sz="4" w:space="0"/>
            </w:tcBorders>
            <w:shd w:val="clear" w:color="auto" w:fill="auto"/>
            <w:noWrap/>
            <w:vAlign w:val="center"/>
          </w:tcPr>
          <w:p w14:paraId="73994B1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4 137</w:t>
            </w:r>
          </w:p>
        </w:tc>
        <w:tc>
          <w:tcPr>
            <w:tcW w:w="601" w:type="dxa"/>
            <w:tcBorders>
              <w:top w:val="nil"/>
              <w:left w:val="nil"/>
              <w:bottom w:val="single" w:color="auto" w:sz="4" w:space="0"/>
              <w:right w:val="single" w:color="auto" w:sz="4" w:space="0"/>
            </w:tcBorders>
            <w:shd w:val="clear" w:color="auto" w:fill="auto"/>
            <w:noWrap/>
            <w:vAlign w:val="center"/>
          </w:tcPr>
          <w:p w14:paraId="5AE31CD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4 463</w:t>
            </w:r>
          </w:p>
        </w:tc>
        <w:tc>
          <w:tcPr>
            <w:tcW w:w="601" w:type="dxa"/>
            <w:tcBorders>
              <w:top w:val="nil"/>
              <w:left w:val="nil"/>
              <w:bottom w:val="single" w:color="auto" w:sz="4" w:space="0"/>
              <w:right w:val="single" w:color="auto" w:sz="4" w:space="0"/>
            </w:tcBorders>
            <w:shd w:val="clear" w:color="auto" w:fill="auto"/>
            <w:noWrap/>
            <w:vAlign w:val="center"/>
          </w:tcPr>
          <w:p w14:paraId="55D6D38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4 635</w:t>
            </w:r>
          </w:p>
        </w:tc>
        <w:tc>
          <w:tcPr>
            <w:tcW w:w="601" w:type="dxa"/>
            <w:tcBorders>
              <w:top w:val="nil"/>
              <w:left w:val="nil"/>
              <w:bottom w:val="single" w:color="auto" w:sz="4" w:space="0"/>
              <w:right w:val="single" w:color="auto" w:sz="4" w:space="0"/>
            </w:tcBorders>
            <w:shd w:val="clear" w:color="auto" w:fill="auto"/>
            <w:noWrap/>
            <w:vAlign w:val="center"/>
          </w:tcPr>
          <w:p w14:paraId="2D7CBC7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5 557</w:t>
            </w:r>
          </w:p>
        </w:tc>
        <w:tc>
          <w:tcPr>
            <w:tcW w:w="608" w:type="dxa"/>
            <w:tcBorders>
              <w:top w:val="nil"/>
              <w:left w:val="nil"/>
              <w:bottom w:val="single" w:color="auto" w:sz="4" w:space="0"/>
              <w:right w:val="single" w:color="auto" w:sz="4" w:space="0"/>
            </w:tcBorders>
            <w:shd w:val="clear" w:color="auto" w:fill="auto"/>
            <w:noWrap/>
            <w:vAlign w:val="center"/>
          </w:tcPr>
          <w:p w14:paraId="255677A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6 538</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0138D60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881</w:t>
            </w:r>
          </w:p>
        </w:tc>
        <w:tc>
          <w:tcPr>
            <w:tcW w:w="660" w:type="dxa"/>
            <w:tcBorders>
              <w:top w:val="nil"/>
              <w:left w:val="nil"/>
              <w:bottom w:val="single" w:color="auto" w:sz="4" w:space="0"/>
              <w:right w:val="single" w:color="auto" w:sz="4" w:space="0"/>
            </w:tcBorders>
            <w:shd w:val="clear" w:color="auto" w:fill="auto"/>
            <w:noWrap/>
            <w:vAlign w:val="center"/>
          </w:tcPr>
          <w:p w14:paraId="7C7873C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975</w:t>
            </w:r>
          </w:p>
        </w:tc>
        <w:tc>
          <w:tcPr>
            <w:tcW w:w="631" w:type="dxa"/>
            <w:tcBorders>
              <w:top w:val="nil"/>
              <w:left w:val="nil"/>
              <w:bottom w:val="single" w:color="auto" w:sz="4" w:space="0"/>
              <w:right w:val="single" w:color="auto" w:sz="4" w:space="0"/>
            </w:tcBorders>
            <w:shd w:val="clear" w:color="auto" w:fill="auto"/>
            <w:noWrap/>
            <w:vAlign w:val="center"/>
          </w:tcPr>
          <w:p w14:paraId="33FEAF4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1 138</w:t>
            </w:r>
          </w:p>
        </w:tc>
        <w:tc>
          <w:tcPr>
            <w:tcW w:w="590" w:type="dxa"/>
            <w:tcBorders>
              <w:top w:val="nil"/>
              <w:left w:val="nil"/>
              <w:bottom w:val="single" w:color="auto" w:sz="4" w:space="0"/>
              <w:right w:val="single" w:color="auto" w:sz="4" w:space="0"/>
            </w:tcBorders>
            <w:shd w:val="clear" w:color="auto" w:fill="auto"/>
            <w:noWrap/>
            <w:vAlign w:val="center"/>
          </w:tcPr>
          <w:p w14:paraId="4C97F4B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1 274</w:t>
            </w:r>
          </w:p>
        </w:tc>
        <w:tc>
          <w:tcPr>
            <w:tcW w:w="590" w:type="dxa"/>
            <w:tcBorders>
              <w:top w:val="nil"/>
              <w:left w:val="nil"/>
              <w:bottom w:val="single" w:color="auto" w:sz="4" w:space="0"/>
              <w:right w:val="single" w:color="auto" w:sz="4" w:space="0"/>
            </w:tcBorders>
            <w:shd w:val="clear" w:color="auto" w:fill="auto"/>
            <w:noWrap/>
            <w:vAlign w:val="center"/>
          </w:tcPr>
          <w:p w14:paraId="7C93DED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1 979</w:t>
            </w:r>
          </w:p>
        </w:tc>
        <w:tc>
          <w:tcPr>
            <w:tcW w:w="591" w:type="dxa"/>
            <w:tcBorders>
              <w:top w:val="nil"/>
              <w:left w:val="nil"/>
              <w:bottom w:val="single" w:color="auto" w:sz="4" w:space="0"/>
              <w:right w:val="single" w:color="auto" w:sz="8" w:space="0"/>
            </w:tcBorders>
            <w:shd w:val="clear" w:color="auto" w:fill="auto"/>
            <w:noWrap/>
            <w:vAlign w:val="center"/>
          </w:tcPr>
          <w:p w14:paraId="4FD9513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1 672</w:t>
            </w:r>
          </w:p>
        </w:tc>
      </w:tr>
      <w:tr w14:paraId="6D704B2C">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551DD00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601" w:type="dxa"/>
            <w:tcBorders>
              <w:top w:val="nil"/>
              <w:left w:val="nil"/>
              <w:bottom w:val="single" w:color="auto" w:sz="4" w:space="0"/>
              <w:right w:val="single" w:color="auto" w:sz="4" w:space="0"/>
            </w:tcBorders>
            <w:shd w:val="clear" w:color="auto" w:fill="auto"/>
            <w:noWrap/>
            <w:vAlign w:val="center"/>
          </w:tcPr>
          <w:p w14:paraId="73C34C1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4 907</w:t>
            </w:r>
          </w:p>
        </w:tc>
        <w:tc>
          <w:tcPr>
            <w:tcW w:w="601" w:type="dxa"/>
            <w:tcBorders>
              <w:top w:val="nil"/>
              <w:left w:val="nil"/>
              <w:bottom w:val="single" w:color="auto" w:sz="4" w:space="0"/>
              <w:right w:val="single" w:color="auto" w:sz="4" w:space="0"/>
            </w:tcBorders>
            <w:shd w:val="clear" w:color="auto" w:fill="auto"/>
            <w:noWrap/>
            <w:vAlign w:val="center"/>
          </w:tcPr>
          <w:p w14:paraId="264A6E7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5 464</w:t>
            </w:r>
          </w:p>
        </w:tc>
        <w:tc>
          <w:tcPr>
            <w:tcW w:w="601" w:type="dxa"/>
            <w:tcBorders>
              <w:top w:val="nil"/>
              <w:left w:val="nil"/>
              <w:bottom w:val="single" w:color="auto" w:sz="4" w:space="0"/>
              <w:right w:val="single" w:color="auto" w:sz="4" w:space="0"/>
            </w:tcBorders>
            <w:shd w:val="clear" w:color="auto" w:fill="auto"/>
            <w:noWrap/>
            <w:vAlign w:val="center"/>
          </w:tcPr>
          <w:p w14:paraId="107B8A2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5 329</w:t>
            </w:r>
          </w:p>
        </w:tc>
        <w:tc>
          <w:tcPr>
            <w:tcW w:w="601" w:type="dxa"/>
            <w:tcBorders>
              <w:top w:val="nil"/>
              <w:left w:val="nil"/>
              <w:bottom w:val="single" w:color="auto" w:sz="4" w:space="0"/>
              <w:right w:val="single" w:color="auto" w:sz="4" w:space="0"/>
            </w:tcBorders>
            <w:shd w:val="clear" w:color="auto" w:fill="auto"/>
            <w:noWrap/>
            <w:vAlign w:val="center"/>
          </w:tcPr>
          <w:p w14:paraId="6E6F5D8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5 747</w:t>
            </w:r>
          </w:p>
        </w:tc>
        <w:tc>
          <w:tcPr>
            <w:tcW w:w="601" w:type="dxa"/>
            <w:tcBorders>
              <w:top w:val="nil"/>
              <w:left w:val="nil"/>
              <w:bottom w:val="single" w:color="auto" w:sz="4" w:space="0"/>
              <w:right w:val="single" w:color="auto" w:sz="4" w:space="0"/>
            </w:tcBorders>
            <w:shd w:val="clear" w:color="auto" w:fill="auto"/>
            <w:noWrap/>
            <w:vAlign w:val="center"/>
          </w:tcPr>
          <w:p w14:paraId="41648ED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6 279</w:t>
            </w:r>
          </w:p>
        </w:tc>
        <w:tc>
          <w:tcPr>
            <w:tcW w:w="608" w:type="dxa"/>
            <w:tcBorders>
              <w:top w:val="nil"/>
              <w:left w:val="nil"/>
              <w:bottom w:val="single" w:color="auto" w:sz="4" w:space="0"/>
              <w:right w:val="single" w:color="auto" w:sz="4" w:space="0"/>
            </w:tcBorders>
            <w:shd w:val="clear" w:color="auto" w:fill="auto"/>
            <w:noWrap/>
            <w:vAlign w:val="center"/>
          </w:tcPr>
          <w:p w14:paraId="49C9876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7 884</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535B7EE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947</w:t>
            </w:r>
          </w:p>
        </w:tc>
        <w:tc>
          <w:tcPr>
            <w:tcW w:w="660" w:type="dxa"/>
            <w:tcBorders>
              <w:top w:val="nil"/>
              <w:left w:val="nil"/>
              <w:bottom w:val="single" w:color="auto" w:sz="4" w:space="0"/>
              <w:right w:val="single" w:color="auto" w:sz="4" w:space="0"/>
            </w:tcBorders>
            <w:shd w:val="clear" w:color="auto" w:fill="auto"/>
            <w:noWrap/>
            <w:vAlign w:val="center"/>
          </w:tcPr>
          <w:p w14:paraId="782189D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1 217</w:t>
            </w:r>
          </w:p>
        </w:tc>
        <w:tc>
          <w:tcPr>
            <w:tcW w:w="631" w:type="dxa"/>
            <w:tcBorders>
              <w:top w:val="nil"/>
              <w:left w:val="nil"/>
              <w:bottom w:val="single" w:color="auto" w:sz="4" w:space="0"/>
              <w:right w:val="single" w:color="auto" w:sz="4" w:space="0"/>
            </w:tcBorders>
            <w:shd w:val="clear" w:color="auto" w:fill="auto"/>
            <w:noWrap/>
            <w:vAlign w:val="center"/>
          </w:tcPr>
          <w:p w14:paraId="39B1CFF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1 145</w:t>
            </w:r>
          </w:p>
        </w:tc>
        <w:tc>
          <w:tcPr>
            <w:tcW w:w="590" w:type="dxa"/>
            <w:tcBorders>
              <w:top w:val="nil"/>
              <w:left w:val="nil"/>
              <w:bottom w:val="single" w:color="auto" w:sz="4" w:space="0"/>
              <w:right w:val="single" w:color="auto" w:sz="4" w:space="0"/>
            </w:tcBorders>
            <w:shd w:val="clear" w:color="auto" w:fill="auto"/>
            <w:noWrap/>
            <w:vAlign w:val="center"/>
          </w:tcPr>
          <w:p w14:paraId="75847FC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1 363</w:t>
            </w:r>
          </w:p>
        </w:tc>
        <w:tc>
          <w:tcPr>
            <w:tcW w:w="590" w:type="dxa"/>
            <w:tcBorders>
              <w:top w:val="nil"/>
              <w:left w:val="nil"/>
              <w:bottom w:val="single" w:color="auto" w:sz="4" w:space="0"/>
              <w:right w:val="single" w:color="auto" w:sz="4" w:space="0"/>
            </w:tcBorders>
            <w:shd w:val="clear" w:color="auto" w:fill="auto"/>
            <w:noWrap/>
            <w:vAlign w:val="center"/>
          </w:tcPr>
          <w:p w14:paraId="772642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1 450</w:t>
            </w:r>
          </w:p>
        </w:tc>
        <w:tc>
          <w:tcPr>
            <w:tcW w:w="591" w:type="dxa"/>
            <w:tcBorders>
              <w:top w:val="nil"/>
              <w:left w:val="nil"/>
              <w:bottom w:val="single" w:color="auto" w:sz="4" w:space="0"/>
              <w:right w:val="single" w:color="auto" w:sz="8" w:space="0"/>
            </w:tcBorders>
            <w:shd w:val="clear" w:color="auto" w:fill="auto"/>
            <w:noWrap/>
            <w:vAlign w:val="center"/>
          </w:tcPr>
          <w:p w14:paraId="11DD2F6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1 856</w:t>
            </w:r>
          </w:p>
        </w:tc>
      </w:tr>
      <w:tr w14:paraId="424F6121">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0800BF23">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601" w:type="dxa"/>
            <w:tcBorders>
              <w:top w:val="nil"/>
              <w:left w:val="nil"/>
              <w:bottom w:val="single" w:color="auto" w:sz="4" w:space="0"/>
              <w:right w:val="single" w:color="auto" w:sz="4" w:space="0"/>
            </w:tcBorders>
            <w:shd w:val="clear" w:color="auto" w:fill="auto"/>
            <w:noWrap/>
            <w:vAlign w:val="center"/>
          </w:tcPr>
          <w:p w14:paraId="1FB167C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3 713</w:t>
            </w:r>
          </w:p>
        </w:tc>
        <w:tc>
          <w:tcPr>
            <w:tcW w:w="601" w:type="dxa"/>
            <w:tcBorders>
              <w:top w:val="nil"/>
              <w:left w:val="nil"/>
              <w:bottom w:val="single" w:color="auto" w:sz="4" w:space="0"/>
              <w:right w:val="single" w:color="auto" w:sz="4" w:space="0"/>
            </w:tcBorders>
            <w:shd w:val="clear" w:color="auto" w:fill="auto"/>
            <w:noWrap/>
            <w:vAlign w:val="center"/>
          </w:tcPr>
          <w:p w14:paraId="73E6EA6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3 806</w:t>
            </w:r>
          </w:p>
        </w:tc>
        <w:tc>
          <w:tcPr>
            <w:tcW w:w="601" w:type="dxa"/>
            <w:tcBorders>
              <w:top w:val="nil"/>
              <w:left w:val="nil"/>
              <w:bottom w:val="single" w:color="auto" w:sz="4" w:space="0"/>
              <w:right w:val="single" w:color="auto" w:sz="4" w:space="0"/>
            </w:tcBorders>
            <w:shd w:val="clear" w:color="auto" w:fill="auto"/>
            <w:noWrap/>
            <w:vAlign w:val="center"/>
          </w:tcPr>
          <w:p w14:paraId="7CBB323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4 007</w:t>
            </w:r>
          </w:p>
        </w:tc>
        <w:tc>
          <w:tcPr>
            <w:tcW w:w="601" w:type="dxa"/>
            <w:tcBorders>
              <w:top w:val="nil"/>
              <w:left w:val="nil"/>
              <w:bottom w:val="single" w:color="auto" w:sz="4" w:space="0"/>
              <w:right w:val="single" w:color="auto" w:sz="4" w:space="0"/>
            </w:tcBorders>
            <w:shd w:val="clear" w:color="auto" w:fill="auto"/>
            <w:noWrap/>
            <w:vAlign w:val="center"/>
          </w:tcPr>
          <w:p w14:paraId="3482DFE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4 369</w:t>
            </w:r>
          </w:p>
        </w:tc>
        <w:tc>
          <w:tcPr>
            <w:tcW w:w="601" w:type="dxa"/>
            <w:tcBorders>
              <w:top w:val="nil"/>
              <w:left w:val="nil"/>
              <w:bottom w:val="single" w:color="auto" w:sz="4" w:space="0"/>
              <w:right w:val="single" w:color="auto" w:sz="4" w:space="0"/>
            </w:tcBorders>
            <w:shd w:val="clear" w:color="auto" w:fill="auto"/>
            <w:noWrap/>
            <w:vAlign w:val="center"/>
          </w:tcPr>
          <w:p w14:paraId="1BD5162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4 936</w:t>
            </w:r>
          </w:p>
        </w:tc>
        <w:tc>
          <w:tcPr>
            <w:tcW w:w="608" w:type="dxa"/>
            <w:tcBorders>
              <w:top w:val="nil"/>
              <w:left w:val="nil"/>
              <w:bottom w:val="single" w:color="auto" w:sz="4" w:space="0"/>
              <w:right w:val="single" w:color="auto" w:sz="4" w:space="0"/>
            </w:tcBorders>
            <w:shd w:val="clear" w:color="auto" w:fill="auto"/>
            <w:noWrap/>
            <w:vAlign w:val="center"/>
          </w:tcPr>
          <w:p w14:paraId="58BFE9E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5 601</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557E0A6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1 095</w:t>
            </w:r>
          </w:p>
        </w:tc>
        <w:tc>
          <w:tcPr>
            <w:tcW w:w="660" w:type="dxa"/>
            <w:tcBorders>
              <w:top w:val="nil"/>
              <w:left w:val="nil"/>
              <w:bottom w:val="single" w:color="auto" w:sz="4" w:space="0"/>
              <w:right w:val="single" w:color="auto" w:sz="4" w:space="0"/>
            </w:tcBorders>
            <w:shd w:val="clear" w:color="auto" w:fill="auto"/>
            <w:noWrap/>
            <w:vAlign w:val="center"/>
          </w:tcPr>
          <w:p w14:paraId="5F62F5E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1 182</w:t>
            </w:r>
          </w:p>
        </w:tc>
        <w:tc>
          <w:tcPr>
            <w:tcW w:w="631" w:type="dxa"/>
            <w:tcBorders>
              <w:top w:val="nil"/>
              <w:left w:val="nil"/>
              <w:bottom w:val="single" w:color="auto" w:sz="4" w:space="0"/>
              <w:right w:val="single" w:color="auto" w:sz="4" w:space="0"/>
            </w:tcBorders>
            <w:shd w:val="clear" w:color="auto" w:fill="auto"/>
            <w:noWrap/>
            <w:vAlign w:val="center"/>
          </w:tcPr>
          <w:p w14:paraId="7281686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1 354</w:t>
            </w:r>
          </w:p>
        </w:tc>
        <w:tc>
          <w:tcPr>
            <w:tcW w:w="590" w:type="dxa"/>
            <w:tcBorders>
              <w:top w:val="nil"/>
              <w:left w:val="nil"/>
              <w:bottom w:val="single" w:color="auto" w:sz="4" w:space="0"/>
              <w:right w:val="single" w:color="auto" w:sz="4" w:space="0"/>
            </w:tcBorders>
            <w:shd w:val="clear" w:color="auto" w:fill="auto"/>
            <w:noWrap/>
            <w:vAlign w:val="center"/>
          </w:tcPr>
          <w:p w14:paraId="698E1E9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1 480</w:t>
            </w:r>
          </w:p>
        </w:tc>
        <w:tc>
          <w:tcPr>
            <w:tcW w:w="590" w:type="dxa"/>
            <w:tcBorders>
              <w:top w:val="nil"/>
              <w:left w:val="nil"/>
              <w:bottom w:val="single" w:color="auto" w:sz="4" w:space="0"/>
              <w:right w:val="single" w:color="auto" w:sz="4" w:space="0"/>
            </w:tcBorders>
            <w:shd w:val="clear" w:color="auto" w:fill="auto"/>
            <w:noWrap/>
            <w:vAlign w:val="center"/>
          </w:tcPr>
          <w:p w14:paraId="0C37658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1 705</w:t>
            </w:r>
          </w:p>
        </w:tc>
        <w:tc>
          <w:tcPr>
            <w:tcW w:w="591" w:type="dxa"/>
            <w:tcBorders>
              <w:top w:val="nil"/>
              <w:left w:val="nil"/>
              <w:bottom w:val="single" w:color="auto" w:sz="4" w:space="0"/>
              <w:right w:val="single" w:color="auto" w:sz="8" w:space="0"/>
            </w:tcBorders>
            <w:shd w:val="clear" w:color="auto" w:fill="auto"/>
            <w:noWrap/>
            <w:vAlign w:val="center"/>
          </w:tcPr>
          <w:p w14:paraId="443F0FD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1 761</w:t>
            </w:r>
          </w:p>
        </w:tc>
      </w:tr>
      <w:tr w14:paraId="3D6C3AB9">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7A4E0767">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601" w:type="dxa"/>
            <w:tcBorders>
              <w:top w:val="nil"/>
              <w:left w:val="nil"/>
              <w:bottom w:val="single" w:color="auto" w:sz="4" w:space="0"/>
              <w:right w:val="single" w:color="auto" w:sz="4" w:space="0"/>
            </w:tcBorders>
            <w:shd w:val="clear" w:color="auto" w:fill="auto"/>
            <w:noWrap/>
            <w:vAlign w:val="center"/>
          </w:tcPr>
          <w:p w14:paraId="1E7EE12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3 804</w:t>
            </w:r>
          </w:p>
        </w:tc>
        <w:tc>
          <w:tcPr>
            <w:tcW w:w="601" w:type="dxa"/>
            <w:tcBorders>
              <w:top w:val="nil"/>
              <w:left w:val="nil"/>
              <w:bottom w:val="single" w:color="auto" w:sz="4" w:space="0"/>
              <w:right w:val="single" w:color="auto" w:sz="4" w:space="0"/>
            </w:tcBorders>
            <w:shd w:val="clear" w:color="auto" w:fill="auto"/>
            <w:noWrap/>
            <w:vAlign w:val="center"/>
          </w:tcPr>
          <w:p w14:paraId="049023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4 274</w:t>
            </w:r>
          </w:p>
        </w:tc>
        <w:tc>
          <w:tcPr>
            <w:tcW w:w="601" w:type="dxa"/>
            <w:tcBorders>
              <w:top w:val="nil"/>
              <w:left w:val="nil"/>
              <w:bottom w:val="single" w:color="auto" w:sz="4" w:space="0"/>
              <w:right w:val="single" w:color="auto" w:sz="4" w:space="0"/>
            </w:tcBorders>
            <w:shd w:val="clear" w:color="auto" w:fill="auto"/>
            <w:noWrap/>
            <w:vAlign w:val="center"/>
          </w:tcPr>
          <w:p w14:paraId="28ADF3C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4 487</w:t>
            </w:r>
          </w:p>
        </w:tc>
        <w:tc>
          <w:tcPr>
            <w:tcW w:w="601" w:type="dxa"/>
            <w:tcBorders>
              <w:top w:val="nil"/>
              <w:left w:val="nil"/>
              <w:bottom w:val="single" w:color="auto" w:sz="4" w:space="0"/>
              <w:right w:val="single" w:color="auto" w:sz="4" w:space="0"/>
            </w:tcBorders>
            <w:shd w:val="clear" w:color="auto" w:fill="auto"/>
            <w:noWrap/>
            <w:vAlign w:val="center"/>
          </w:tcPr>
          <w:p w14:paraId="346D3DA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4 799</w:t>
            </w:r>
          </w:p>
        </w:tc>
        <w:tc>
          <w:tcPr>
            <w:tcW w:w="601" w:type="dxa"/>
            <w:tcBorders>
              <w:top w:val="nil"/>
              <w:left w:val="nil"/>
              <w:bottom w:val="single" w:color="auto" w:sz="4" w:space="0"/>
              <w:right w:val="single" w:color="auto" w:sz="4" w:space="0"/>
            </w:tcBorders>
            <w:shd w:val="clear" w:color="auto" w:fill="auto"/>
            <w:noWrap/>
            <w:vAlign w:val="center"/>
          </w:tcPr>
          <w:p w14:paraId="5DE32A4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5 820</w:t>
            </w:r>
          </w:p>
        </w:tc>
        <w:tc>
          <w:tcPr>
            <w:tcW w:w="608" w:type="dxa"/>
            <w:tcBorders>
              <w:top w:val="nil"/>
              <w:left w:val="nil"/>
              <w:bottom w:val="single" w:color="auto" w:sz="4" w:space="0"/>
              <w:right w:val="single" w:color="auto" w:sz="4" w:space="0"/>
            </w:tcBorders>
            <w:shd w:val="clear" w:color="auto" w:fill="auto"/>
            <w:noWrap/>
            <w:vAlign w:val="center"/>
          </w:tcPr>
          <w:p w14:paraId="6ED8B96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6 743</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0B4CC02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692</w:t>
            </w:r>
          </w:p>
        </w:tc>
        <w:tc>
          <w:tcPr>
            <w:tcW w:w="660" w:type="dxa"/>
            <w:tcBorders>
              <w:top w:val="nil"/>
              <w:left w:val="nil"/>
              <w:bottom w:val="single" w:color="auto" w:sz="4" w:space="0"/>
              <w:right w:val="single" w:color="auto" w:sz="4" w:space="0"/>
            </w:tcBorders>
            <w:shd w:val="clear" w:color="auto" w:fill="auto"/>
            <w:noWrap/>
            <w:vAlign w:val="center"/>
          </w:tcPr>
          <w:p w14:paraId="1A74E3E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729</w:t>
            </w:r>
          </w:p>
        </w:tc>
        <w:tc>
          <w:tcPr>
            <w:tcW w:w="631" w:type="dxa"/>
            <w:tcBorders>
              <w:top w:val="nil"/>
              <w:left w:val="nil"/>
              <w:bottom w:val="single" w:color="auto" w:sz="4" w:space="0"/>
              <w:right w:val="single" w:color="auto" w:sz="4" w:space="0"/>
            </w:tcBorders>
            <w:shd w:val="clear" w:color="auto" w:fill="auto"/>
            <w:noWrap/>
            <w:vAlign w:val="center"/>
          </w:tcPr>
          <w:p w14:paraId="1157C3D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836</w:t>
            </w:r>
          </w:p>
        </w:tc>
        <w:tc>
          <w:tcPr>
            <w:tcW w:w="590" w:type="dxa"/>
            <w:tcBorders>
              <w:top w:val="nil"/>
              <w:left w:val="nil"/>
              <w:bottom w:val="single" w:color="auto" w:sz="4" w:space="0"/>
              <w:right w:val="single" w:color="auto" w:sz="4" w:space="0"/>
            </w:tcBorders>
            <w:shd w:val="clear" w:color="auto" w:fill="auto"/>
            <w:noWrap/>
            <w:vAlign w:val="center"/>
          </w:tcPr>
          <w:p w14:paraId="6F00444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922</w:t>
            </w:r>
          </w:p>
        </w:tc>
        <w:tc>
          <w:tcPr>
            <w:tcW w:w="590" w:type="dxa"/>
            <w:tcBorders>
              <w:top w:val="nil"/>
              <w:left w:val="nil"/>
              <w:bottom w:val="single" w:color="auto" w:sz="4" w:space="0"/>
              <w:right w:val="single" w:color="auto" w:sz="4" w:space="0"/>
            </w:tcBorders>
            <w:shd w:val="clear" w:color="auto" w:fill="auto"/>
            <w:noWrap/>
            <w:vAlign w:val="center"/>
          </w:tcPr>
          <w:p w14:paraId="784739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1 588</w:t>
            </w:r>
          </w:p>
        </w:tc>
        <w:tc>
          <w:tcPr>
            <w:tcW w:w="591" w:type="dxa"/>
            <w:tcBorders>
              <w:top w:val="nil"/>
              <w:left w:val="nil"/>
              <w:bottom w:val="single" w:color="auto" w:sz="4" w:space="0"/>
              <w:right w:val="single" w:color="auto" w:sz="8" w:space="0"/>
            </w:tcBorders>
            <w:shd w:val="clear" w:color="auto" w:fill="auto"/>
            <w:noWrap/>
            <w:vAlign w:val="center"/>
          </w:tcPr>
          <w:p w14:paraId="5F82F13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1 351</w:t>
            </w:r>
          </w:p>
        </w:tc>
      </w:tr>
      <w:tr w14:paraId="5812C82E">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7C159515">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601" w:type="dxa"/>
            <w:tcBorders>
              <w:top w:val="nil"/>
              <w:left w:val="nil"/>
              <w:bottom w:val="single" w:color="auto" w:sz="4" w:space="0"/>
              <w:right w:val="single" w:color="auto" w:sz="4" w:space="0"/>
            </w:tcBorders>
            <w:shd w:val="clear" w:color="auto" w:fill="auto"/>
            <w:noWrap/>
            <w:vAlign w:val="center"/>
          </w:tcPr>
          <w:p w14:paraId="63054A9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4 103</w:t>
            </w:r>
          </w:p>
        </w:tc>
        <w:tc>
          <w:tcPr>
            <w:tcW w:w="601" w:type="dxa"/>
            <w:tcBorders>
              <w:top w:val="nil"/>
              <w:left w:val="nil"/>
              <w:bottom w:val="single" w:color="auto" w:sz="4" w:space="0"/>
              <w:right w:val="single" w:color="auto" w:sz="4" w:space="0"/>
            </w:tcBorders>
            <w:shd w:val="clear" w:color="auto" w:fill="auto"/>
            <w:noWrap/>
            <w:vAlign w:val="center"/>
          </w:tcPr>
          <w:p w14:paraId="5D0AE4A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4 448</w:t>
            </w:r>
          </w:p>
        </w:tc>
        <w:tc>
          <w:tcPr>
            <w:tcW w:w="601" w:type="dxa"/>
            <w:tcBorders>
              <w:top w:val="nil"/>
              <w:left w:val="nil"/>
              <w:bottom w:val="single" w:color="auto" w:sz="4" w:space="0"/>
              <w:right w:val="single" w:color="auto" w:sz="4" w:space="0"/>
            </w:tcBorders>
            <w:shd w:val="clear" w:color="auto" w:fill="auto"/>
            <w:noWrap/>
            <w:vAlign w:val="center"/>
          </w:tcPr>
          <w:p w14:paraId="05F2F98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4 775</w:t>
            </w:r>
          </w:p>
        </w:tc>
        <w:tc>
          <w:tcPr>
            <w:tcW w:w="601" w:type="dxa"/>
            <w:tcBorders>
              <w:top w:val="nil"/>
              <w:left w:val="nil"/>
              <w:bottom w:val="single" w:color="auto" w:sz="4" w:space="0"/>
              <w:right w:val="single" w:color="auto" w:sz="4" w:space="0"/>
            </w:tcBorders>
            <w:shd w:val="clear" w:color="auto" w:fill="auto"/>
            <w:noWrap/>
            <w:vAlign w:val="center"/>
          </w:tcPr>
          <w:p w14:paraId="555B19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5 794</w:t>
            </w:r>
          </w:p>
        </w:tc>
        <w:tc>
          <w:tcPr>
            <w:tcW w:w="601" w:type="dxa"/>
            <w:tcBorders>
              <w:top w:val="nil"/>
              <w:left w:val="nil"/>
              <w:bottom w:val="single" w:color="auto" w:sz="4" w:space="0"/>
              <w:right w:val="single" w:color="auto" w:sz="4" w:space="0"/>
            </w:tcBorders>
            <w:shd w:val="clear" w:color="auto" w:fill="auto"/>
            <w:noWrap/>
            <w:vAlign w:val="center"/>
          </w:tcPr>
          <w:p w14:paraId="22F9363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6 433</w:t>
            </w:r>
          </w:p>
        </w:tc>
        <w:tc>
          <w:tcPr>
            <w:tcW w:w="608" w:type="dxa"/>
            <w:tcBorders>
              <w:top w:val="nil"/>
              <w:left w:val="nil"/>
              <w:bottom w:val="single" w:color="auto" w:sz="4" w:space="0"/>
              <w:right w:val="single" w:color="auto" w:sz="4" w:space="0"/>
            </w:tcBorders>
            <w:shd w:val="clear" w:color="auto" w:fill="auto"/>
            <w:noWrap/>
            <w:vAlign w:val="center"/>
          </w:tcPr>
          <w:p w14:paraId="4DA2DCE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7 452</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7C00CDA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1 000</w:t>
            </w:r>
          </w:p>
        </w:tc>
        <w:tc>
          <w:tcPr>
            <w:tcW w:w="660" w:type="dxa"/>
            <w:tcBorders>
              <w:top w:val="nil"/>
              <w:left w:val="nil"/>
              <w:bottom w:val="single" w:color="auto" w:sz="4" w:space="0"/>
              <w:right w:val="single" w:color="auto" w:sz="4" w:space="0"/>
            </w:tcBorders>
            <w:shd w:val="clear" w:color="auto" w:fill="auto"/>
            <w:noWrap/>
            <w:vAlign w:val="center"/>
          </w:tcPr>
          <w:p w14:paraId="45DF3E3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1 049</w:t>
            </w:r>
          </w:p>
        </w:tc>
        <w:tc>
          <w:tcPr>
            <w:tcW w:w="631" w:type="dxa"/>
            <w:tcBorders>
              <w:top w:val="nil"/>
              <w:left w:val="nil"/>
              <w:bottom w:val="single" w:color="auto" w:sz="4" w:space="0"/>
              <w:right w:val="single" w:color="auto" w:sz="4" w:space="0"/>
            </w:tcBorders>
            <w:shd w:val="clear" w:color="auto" w:fill="auto"/>
            <w:noWrap/>
            <w:vAlign w:val="center"/>
          </w:tcPr>
          <w:p w14:paraId="2061974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1 221</w:t>
            </w:r>
          </w:p>
        </w:tc>
        <w:tc>
          <w:tcPr>
            <w:tcW w:w="590" w:type="dxa"/>
            <w:tcBorders>
              <w:top w:val="nil"/>
              <w:left w:val="nil"/>
              <w:bottom w:val="single" w:color="auto" w:sz="4" w:space="0"/>
              <w:right w:val="single" w:color="auto" w:sz="4" w:space="0"/>
            </w:tcBorders>
            <w:shd w:val="clear" w:color="auto" w:fill="auto"/>
            <w:noWrap/>
            <w:vAlign w:val="center"/>
          </w:tcPr>
          <w:p w14:paraId="5AF5181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1 357</w:t>
            </w:r>
          </w:p>
        </w:tc>
        <w:tc>
          <w:tcPr>
            <w:tcW w:w="590" w:type="dxa"/>
            <w:tcBorders>
              <w:top w:val="nil"/>
              <w:left w:val="nil"/>
              <w:bottom w:val="single" w:color="auto" w:sz="4" w:space="0"/>
              <w:right w:val="single" w:color="auto" w:sz="4" w:space="0"/>
            </w:tcBorders>
            <w:shd w:val="clear" w:color="auto" w:fill="auto"/>
            <w:noWrap/>
            <w:vAlign w:val="center"/>
          </w:tcPr>
          <w:p w14:paraId="07AB1FE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1 680</w:t>
            </w:r>
          </w:p>
        </w:tc>
        <w:tc>
          <w:tcPr>
            <w:tcW w:w="591" w:type="dxa"/>
            <w:tcBorders>
              <w:top w:val="nil"/>
              <w:left w:val="nil"/>
              <w:bottom w:val="single" w:color="auto" w:sz="4" w:space="0"/>
              <w:right w:val="single" w:color="auto" w:sz="8" w:space="0"/>
            </w:tcBorders>
            <w:shd w:val="clear" w:color="auto" w:fill="auto"/>
            <w:noWrap/>
            <w:vAlign w:val="center"/>
          </w:tcPr>
          <w:p w14:paraId="4AF29A3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1 661</w:t>
            </w:r>
          </w:p>
        </w:tc>
      </w:tr>
      <w:tr w14:paraId="1C8EE710">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63968040">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601" w:type="dxa"/>
            <w:tcBorders>
              <w:top w:val="nil"/>
              <w:left w:val="nil"/>
              <w:bottom w:val="single" w:color="auto" w:sz="4" w:space="0"/>
              <w:right w:val="single" w:color="auto" w:sz="4" w:space="0"/>
            </w:tcBorders>
            <w:shd w:val="clear" w:color="auto" w:fill="auto"/>
            <w:noWrap/>
            <w:vAlign w:val="center"/>
          </w:tcPr>
          <w:p w14:paraId="1FC2F48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4 071</w:t>
            </w:r>
          </w:p>
        </w:tc>
        <w:tc>
          <w:tcPr>
            <w:tcW w:w="601" w:type="dxa"/>
            <w:tcBorders>
              <w:top w:val="nil"/>
              <w:left w:val="nil"/>
              <w:bottom w:val="single" w:color="auto" w:sz="4" w:space="0"/>
              <w:right w:val="single" w:color="auto" w:sz="4" w:space="0"/>
            </w:tcBorders>
            <w:shd w:val="clear" w:color="auto" w:fill="auto"/>
            <w:noWrap/>
            <w:vAlign w:val="center"/>
          </w:tcPr>
          <w:p w14:paraId="152C0B1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4 268</w:t>
            </w:r>
          </w:p>
        </w:tc>
        <w:tc>
          <w:tcPr>
            <w:tcW w:w="601" w:type="dxa"/>
            <w:tcBorders>
              <w:top w:val="nil"/>
              <w:left w:val="nil"/>
              <w:bottom w:val="single" w:color="auto" w:sz="4" w:space="0"/>
              <w:right w:val="single" w:color="auto" w:sz="4" w:space="0"/>
            </w:tcBorders>
            <w:shd w:val="clear" w:color="auto" w:fill="auto"/>
            <w:noWrap/>
            <w:vAlign w:val="center"/>
          </w:tcPr>
          <w:p w14:paraId="55B1D9E7">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4 404</w:t>
            </w:r>
          </w:p>
        </w:tc>
        <w:tc>
          <w:tcPr>
            <w:tcW w:w="601" w:type="dxa"/>
            <w:tcBorders>
              <w:top w:val="nil"/>
              <w:left w:val="nil"/>
              <w:bottom w:val="single" w:color="auto" w:sz="4" w:space="0"/>
              <w:right w:val="single" w:color="auto" w:sz="4" w:space="0"/>
            </w:tcBorders>
            <w:shd w:val="clear" w:color="auto" w:fill="auto"/>
            <w:noWrap/>
            <w:vAlign w:val="center"/>
          </w:tcPr>
          <w:p w14:paraId="2301526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4 982</w:t>
            </w:r>
          </w:p>
        </w:tc>
        <w:tc>
          <w:tcPr>
            <w:tcW w:w="601" w:type="dxa"/>
            <w:tcBorders>
              <w:top w:val="nil"/>
              <w:left w:val="nil"/>
              <w:bottom w:val="single" w:color="auto" w:sz="4" w:space="0"/>
              <w:right w:val="single" w:color="auto" w:sz="4" w:space="0"/>
            </w:tcBorders>
            <w:shd w:val="clear" w:color="auto" w:fill="auto"/>
            <w:noWrap/>
            <w:vAlign w:val="center"/>
          </w:tcPr>
          <w:p w14:paraId="04C2167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5 711</w:t>
            </w:r>
          </w:p>
        </w:tc>
        <w:tc>
          <w:tcPr>
            <w:tcW w:w="608" w:type="dxa"/>
            <w:tcBorders>
              <w:top w:val="nil"/>
              <w:left w:val="nil"/>
              <w:bottom w:val="single" w:color="auto" w:sz="4" w:space="0"/>
              <w:right w:val="single" w:color="auto" w:sz="4" w:space="0"/>
            </w:tcBorders>
            <w:shd w:val="clear" w:color="auto" w:fill="auto"/>
            <w:noWrap/>
            <w:vAlign w:val="center"/>
          </w:tcPr>
          <w:p w14:paraId="24E410F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6 334</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5C6CCA9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sz w:val="20"/>
                <w:szCs w:val="20"/>
              </w:rPr>
              <w:t>1 493</w:t>
            </w:r>
          </w:p>
        </w:tc>
        <w:tc>
          <w:tcPr>
            <w:tcW w:w="660" w:type="dxa"/>
            <w:tcBorders>
              <w:top w:val="nil"/>
              <w:left w:val="nil"/>
              <w:bottom w:val="single" w:color="auto" w:sz="4" w:space="0"/>
              <w:right w:val="single" w:color="auto" w:sz="4" w:space="0"/>
            </w:tcBorders>
            <w:shd w:val="clear" w:color="auto" w:fill="auto"/>
            <w:noWrap/>
            <w:vAlign w:val="center"/>
          </w:tcPr>
          <w:p w14:paraId="54A51FC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sz w:val="20"/>
                <w:szCs w:val="20"/>
              </w:rPr>
              <w:t>1 478</w:t>
            </w:r>
          </w:p>
        </w:tc>
        <w:tc>
          <w:tcPr>
            <w:tcW w:w="631" w:type="dxa"/>
            <w:tcBorders>
              <w:top w:val="nil"/>
              <w:left w:val="nil"/>
              <w:bottom w:val="single" w:color="auto" w:sz="4" w:space="0"/>
              <w:right w:val="single" w:color="auto" w:sz="4" w:space="0"/>
            </w:tcBorders>
            <w:shd w:val="clear" w:color="auto" w:fill="auto"/>
            <w:noWrap/>
            <w:vAlign w:val="center"/>
          </w:tcPr>
          <w:p w14:paraId="5DC0169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sz w:val="20"/>
                <w:szCs w:val="20"/>
              </w:rPr>
              <w:t>1 554</w:t>
            </w:r>
          </w:p>
        </w:tc>
        <w:tc>
          <w:tcPr>
            <w:tcW w:w="590" w:type="dxa"/>
            <w:tcBorders>
              <w:top w:val="nil"/>
              <w:left w:val="nil"/>
              <w:bottom w:val="single" w:color="auto" w:sz="4" w:space="0"/>
              <w:right w:val="single" w:color="auto" w:sz="4" w:space="0"/>
            </w:tcBorders>
            <w:shd w:val="clear" w:color="auto" w:fill="auto"/>
            <w:noWrap/>
            <w:vAlign w:val="center"/>
          </w:tcPr>
          <w:p w14:paraId="2D2F72C7">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sz w:val="20"/>
                <w:szCs w:val="20"/>
              </w:rPr>
              <w:t>1 741</w:t>
            </w:r>
          </w:p>
        </w:tc>
        <w:tc>
          <w:tcPr>
            <w:tcW w:w="590" w:type="dxa"/>
            <w:tcBorders>
              <w:top w:val="nil"/>
              <w:left w:val="nil"/>
              <w:bottom w:val="single" w:color="auto" w:sz="4" w:space="0"/>
              <w:right w:val="single" w:color="auto" w:sz="4" w:space="0"/>
            </w:tcBorders>
            <w:shd w:val="clear" w:color="auto" w:fill="auto"/>
            <w:noWrap/>
            <w:vAlign w:val="center"/>
          </w:tcPr>
          <w:p w14:paraId="1053008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sz w:val="20"/>
                <w:szCs w:val="20"/>
              </w:rPr>
              <w:t>2 192</w:t>
            </w:r>
          </w:p>
        </w:tc>
        <w:tc>
          <w:tcPr>
            <w:tcW w:w="591" w:type="dxa"/>
            <w:tcBorders>
              <w:top w:val="nil"/>
              <w:left w:val="nil"/>
              <w:bottom w:val="single" w:color="auto" w:sz="4" w:space="0"/>
              <w:right w:val="single" w:color="auto" w:sz="8" w:space="0"/>
            </w:tcBorders>
            <w:shd w:val="clear" w:color="auto" w:fill="auto"/>
            <w:noWrap/>
            <w:vAlign w:val="center"/>
          </w:tcPr>
          <w:p w14:paraId="5B490D4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cs="Times New Roman"/>
                <w:b/>
                <w:bCs/>
                <w:color w:val="000000"/>
                <w:sz w:val="20"/>
                <w:szCs w:val="20"/>
              </w:rPr>
              <w:t>2 058</w:t>
            </w:r>
          </w:p>
        </w:tc>
      </w:tr>
      <w:tr w14:paraId="6A8AA92A">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3142FFD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601" w:type="dxa"/>
            <w:tcBorders>
              <w:top w:val="nil"/>
              <w:left w:val="nil"/>
              <w:bottom w:val="single" w:color="auto" w:sz="4" w:space="0"/>
              <w:right w:val="single" w:color="auto" w:sz="4" w:space="0"/>
            </w:tcBorders>
            <w:shd w:val="clear" w:color="auto" w:fill="auto"/>
            <w:noWrap/>
            <w:vAlign w:val="center"/>
          </w:tcPr>
          <w:p w14:paraId="725EC42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4 455</w:t>
            </w:r>
          </w:p>
        </w:tc>
        <w:tc>
          <w:tcPr>
            <w:tcW w:w="601" w:type="dxa"/>
            <w:tcBorders>
              <w:top w:val="nil"/>
              <w:left w:val="nil"/>
              <w:bottom w:val="single" w:color="auto" w:sz="4" w:space="0"/>
              <w:right w:val="single" w:color="auto" w:sz="4" w:space="0"/>
            </w:tcBorders>
            <w:shd w:val="clear" w:color="auto" w:fill="auto"/>
            <w:noWrap/>
            <w:vAlign w:val="center"/>
          </w:tcPr>
          <w:p w14:paraId="3899256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4 800</w:t>
            </w:r>
          </w:p>
        </w:tc>
        <w:tc>
          <w:tcPr>
            <w:tcW w:w="601" w:type="dxa"/>
            <w:tcBorders>
              <w:top w:val="nil"/>
              <w:left w:val="nil"/>
              <w:bottom w:val="single" w:color="auto" w:sz="4" w:space="0"/>
              <w:right w:val="single" w:color="auto" w:sz="4" w:space="0"/>
            </w:tcBorders>
            <w:shd w:val="clear" w:color="auto" w:fill="auto"/>
            <w:noWrap/>
            <w:vAlign w:val="center"/>
          </w:tcPr>
          <w:p w14:paraId="663DA53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5 204</w:t>
            </w:r>
          </w:p>
        </w:tc>
        <w:tc>
          <w:tcPr>
            <w:tcW w:w="601" w:type="dxa"/>
            <w:tcBorders>
              <w:top w:val="nil"/>
              <w:left w:val="nil"/>
              <w:bottom w:val="single" w:color="auto" w:sz="4" w:space="0"/>
              <w:right w:val="single" w:color="auto" w:sz="4" w:space="0"/>
            </w:tcBorders>
            <w:shd w:val="clear" w:color="auto" w:fill="auto"/>
            <w:noWrap/>
            <w:vAlign w:val="center"/>
          </w:tcPr>
          <w:p w14:paraId="65F8B21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5 830</w:t>
            </w:r>
          </w:p>
        </w:tc>
        <w:tc>
          <w:tcPr>
            <w:tcW w:w="601" w:type="dxa"/>
            <w:tcBorders>
              <w:top w:val="nil"/>
              <w:left w:val="nil"/>
              <w:bottom w:val="single" w:color="auto" w:sz="4" w:space="0"/>
              <w:right w:val="single" w:color="auto" w:sz="4" w:space="0"/>
            </w:tcBorders>
            <w:shd w:val="clear" w:color="auto" w:fill="auto"/>
            <w:noWrap/>
            <w:vAlign w:val="center"/>
          </w:tcPr>
          <w:p w14:paraId="10D4ADD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6 356</w:t>
            </w:r>
          </w:p>
        </w:tc>
        <w:tc>
          <w:tcPr>
            <w:tcW w:w="608" w:type="dxa"/>
            <w:tcBorders>
              <w:top w:val="nil"/>
              <w:left w:val="nil"/>
              <w:bottom w:val="single" w:color="auto" w:sz="4" w:space="0"/>
              <w:right w:val="single" w:color="auto" w:sz="4" w:space="0"/>
            </w:tcBorders>
            <w:shd w:val="clear" w:color="auto" w:fill="auto"/>
            <w:noWrap/>
            <w:vAlign w:val="center"/>
          </w:tcPr>
          <w:p w14:paraId="4A1CEAC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7 186</w:t>
            </w:r>
          </w:p>
        </w:tc>
        <w:tc>
          <w:tcPr>
            <w:tcW w:w="590" w:type="dxa"/>
            <w:tcBorders>
              <w:top w:val="nil"/>
              <w:left w:val="single" w:color="auto" w:sz="8" w:space="0"/>
              <w:bottom w:val="single" w:color="auto" w:sz="4" w:space="0"/>
              <w:right w:val="single" w:color="auto" w:sz="4" w:space="0"/>
            </w:tcBorders>
            <w:shd w:val="clear" w:color="auto" w:fill="auto"/>
            <w:noWrap/>
            <w:vAlign w:val="center"/>
          </w:tcPr>
          <w:p w14:paraId="526731C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2 126</w:t>
            </w:r>
          </w:p>
        </w:tc>
        <w:tc>
          <w:tcPr>
            <w:tcW w:w="660" w:type="dxa"/>
            <w:tcBorders>
              <w:top w:val="nil"/>
              <w:left w:val="nil"/>
              <w:bottom w:val="single" w:color="auto" w:sz="4" w:space="0"/>
              <w:right w:val="single" w:color="auto" w:sz="4" w:space="0"/>
            </w:tcBorders>
            <w:shd w:val="clear" w:color="auto" w:fill="auto"/>
            <w:noWrap/>
            <w:vAlign w:val="center"/>
          </w:tcPr>
          <w:p w14:paraId="5BEC76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2 277</w:t>
            </w:r>
          </w:p>
        </w:tc>
        <w:tc>
          <w:tcPr>
            <w:tcW w:w="631" w:type="dxa"/>
            <w:tcBorders>
              <w:top w:val="nil"/>
              <w:left w:val="nil"/>
              <w:bottom w:val="single" w:color="auto" w:sz="4" w:space="0"/>
              <w:right w:val="single" w:color="auto" w:sz="4" w:space="0"/>
            </w:tcBorders>
            <w:shd w:val="clear" w:color="auto" w:fill="auto"/>
            <w:noWrap/>
            <w:vAlign w:val="center"/>
          </w:tcPr>
          <w:p w14:paraId="1992BD1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2 482</w:t>
            </w:r>
          </w:p>
        </w:tc>
        <w:tc>
          <w:tcPr>
            <w:tcW w:w="590" w:type="dxa"/>
            <w:tcBorders>
              <w:top w:val="nil"/>
              <w:left w:val="nil"/>
              <w:bottom w:val="single" w:color="auto" w:sz="4" w:space="0"/>
              <w:right w:val="single" w:color="auto" w:sz="4" w:space="0"/>
            </w:tcBorders>
            <w:shd w:val="clear" w:color="auto" w:fill="auto"/>
            <w:noWrap/>
            <w:vAlign w:val="center"/>
          </w:tcPr>
          <w:p w14:paraId="2D6C21A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2 708</w:t>
            </w:r>
          </w:p>
        </w:tc>
        <w:tc>
          <w:tcPr>
            <w:tcW w:w="590" w:type="dxa"/>
            <w:tcBorders>
              <w:top w:val="nil"/>
              <w:left w:val="nil"/>
              <w:bottom w:val="single" w:color="auto" w:sz="4" w:space="0"/>
              <w:right w:val="single" w:color="auto" w:sz="4" w:space="0"/>
            </w:tcBorders>
            <w:shd w:val="clear" w:color="auto" w:fill="auto"/>
            <w:noWrap/>
            <w:vAlign w:val="center"/>
          </w:tcPr>
          <w:p w14:paraId="28549DE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2 954</w:t>
            </w:r>
          </w:p>
        </w:tc>
        <w:tc>
          <w:tcPr>
            <w:tcW w:w="591" w:type="dxa"/>
            <w:tcBorders>
              <w:top w:val="nil"/>
              <w:left w:val="nil"/>
              <w:bottom w:val="single" w:color="auto" w:sz="4" w:space="0"/>
              <w:right w:val="single" w:color="auto" w:sz="8" w:space="0"/>
            </w:tcBorders>
            <w:shd w:val="clear" w:color="auto" w:fill="auto"/>
            <w:noWrap/>
            <w:vAlign w:val="center"/>
          </w:tcPr>
          <w:p w14:paraId="513B49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3 265</w:t>
            </w:r>
          </w:p>
        </w:tc>
      </w:tr>
      <w:tr w14:paraId="145E7D34">
        <w:tblPrEx>
          <w:tblCellMar>
            <w:top w:w="0" w:type="dxa"/>
            <w:left w:w="70" w:type="dxa"/>
            <w:bottom w:w="0" w:type="dxa"/>
            <w:right w:w="70" w:type="dxa"/>
          </w:tblCellMar>
        </w:tblPrEx>
        <w:trPr>
          <w:trHeight w:val="340" w:hRule="atLeast"/>
        </w:trPr>
        <w:tc>
          <w:tcPr>
            <w:tcW w:w="2929" w:type="dxa"/>
            <w:tcBorders>
              <w:top w:val="nil"/>
              <w:left w:val="single" w:color="auto" w:sz="4" w:space="0"/>
              <w:bottom w:val="single" w:color="auto" w:sz="4" w:space="0"/>
              <w:right w:val="single" w:color="auto" w:sz="4" w:space="0"/>
            </w:tcBorders>
            <w:shd w:val="clear" w:color="auto" w:fill="auto"/>
            <w:noWrap/>
            <w:vAlign w:val="center"/>
          </w:tcPr>
          <w:p w14:paraId="6488A7D7">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601" w:type="dxa"/>
            <w:tcBorders>
              <w:top w:val="nil"/>
              <w:left w:val="nil"/>
              <w:bottom w:val="single" w:color="auto" w:sz="4" w:space="0"/>
              <w:right w:val="single" w:color="auto" w:sz="4" w:space="0"/>
            </w:tcBorders>
            <w:shd w:val="clear" w:color="auto" w:fill="auto"/>
            <w:noWrap/>
            <w:vAlign w:val="center"/>
          </w:tcPr>
          <w:p w14:paraId="699BDF6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4 585</w:t>
            </w:r>
          </w:p>
        </w:tc>
        <w:tc>
          <w:tcPr>
            <w:tcW w:w="601" w:type="dxa"/>
            <w:tcBorders>
              <w:top w:val="nil"/>
              <w:left w:val="nil"/>
              <w:bottom w:val="single" w:color="auto" w:sz="4" w:space="0"/>
              <w:right w:val="single" w:color="auto" w:sz="4" w:space="0"/>
            </w:tcBorders>
            <w:shd w:val="clear" w:color="auto" w:fill="auto"/>
            <w:noWrap/>
            <w:vAlign w:val="center"/>
          </w:tcPr>
          <w:p w14:paraId="1BD6A61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4 936</w:t>
            </w:r>
          </w:p>
        </w:tc>
        <w:tc>
          <w:tcPr>
            <w:tcW w:w="601" w:type="dxa"/>
            <w:tcBorders>
              <w:top w:val="nil"/>
              <w:left w:val="nil"/>
              <w:bottom w:val="single" w:color="auto" w:sz="4" w:space="0"/>
              <w:right w:val="single" w:color="auto" w:sz="4" w:space="0"/>
            </w:tcBorders>
            <w:shd w:val="clear" w:color="auto" w:fill="auto"/>
            <w:noWrap/>
            <w:vAlign w:val="center"/>
          </w:tcPr>
          <w:p w14:paraId="14AED69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5 387</w:t>
            </w:r>
          </w:p>
        </w:tc>
        <w:tc>
          <w:tcPr>
            <w:tcW w:w="601" w:type="dxa"/>
            <w:tcBorders>
              <w:top w:val="nil"/>
              <w:left w:val="nil"/>
              <w:bottom w:val="single" w:color="auto" w:sz="4" w:space="0"/>
              <w:right w:val="single" w:color="auto" w:sz="4" w:space="0"/>
            </w:tcBorders>
            <w:shd w:val="clear" w:color="auto" w:fill="auto"/>
            <w:noWrap/>
            <w:vAlign w:val="center"/>
          </w:tcPr>
          <w:p w14:paraId="126B199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5 968</w:t>
            </w:r>
          </w:p>
        </w:tc>
        <w:tc>
          <w:tcPr>
            <w:tcW w:w="601" w:type="dxa"/>
            <w:tcBorders>
              <w:top w:val="nil"/>
              <w:left w:val="nil"/>
              <w:bottom w:val="single" w:color="auto" w:sz="4" w:space="0"/>
              <w:right w:val="single" w:color="auto" w:sz="4" w:space="0"/>
            </w:tcBorders>
            <w:shd w:val="clear" w:color="auto" w:fill="auto"/>
            <w:noWrap/>
            <w:vAlign w:val="center"/>
          </w:tcPr>
          <w:p w14:paraId="31C1EC0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6 548</w:t>
            </w:r>
          </w:p>
        </w:tc>
        <w:tc>
          <w:tcPr>
            <w:tcW w:w="608" w:type="dxa"/>
            <w:tcBorders>
              <w:top w:val="nil"/>
              <w:left w:val="nil"/>
              <w:bottom w:val="single" w:color="auto" w:sz="4" w:space="0"/>
              <w:right w:val="single" w:color="auto" w:sz="4" w:space="0"/>
            </w:tcBorders>
            <w:shd w:val="clear" w:color="auto" w:fill="auto"/>
            <w:noWrap/>
            <w:vAlign w:val="center"/>
          </w:tcPr>
          <w:p w14:paraId="7787D20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7 242</w:t>
            </w:r>
          </w:p>
        </w:tc>
        <w:tc>
          <w:tcPr>
            <w:tcW w:w="590" w:type="dxa"/>
            <w:tcBorders>
              <w:top w:val="nil"/>
              <w:left w:val="single" w:color="auto" w:sz="8" w:space="0"/>
              <w:bottom w:val="single" w:color="auto" w:sz="8" w:space="0"/>
              <w:right w:val="single" w:color="auto" w:sz="4" w:space="0"/>
            </w:tcBorders>
            <w:shd w:val="clear" w:color="auto" w:fill="auto"/>
            <w:noWrap/>
            <w:vAlign w:val="center"/>
          </w:tcPr>
          <w:p w14:paraId="309062E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2 368</w:t>
            </w:r>
          </w:p>
        </w:tc>
        <w:tc>
          <w:tcPr>
            <w:tcW w:w="660" w:type="dxa"/>
            <w:tcBorders>
              <w:top w:val="nil"/>
              <w:left w:val="nil"/>
              <w:bottom w:val="single" w:color="auto" w:sz="8" w:space="0"/>
              <w:right w:val="single" w:color="auto" w:sz="4" w:space="0"/>
            </w:tcBorders>
            <w:shd w:val="clear" w:color="auto" w:fill="auto"/>
            <w:noWrap/>
            <w:vAlign w:val="center"/>
          </w:tcPr>
          <w:p w14:paraId="2E3013F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2 508</w:t>
            </w:r>
          </w:p>
        </w:tc>
        <w:tc>
          <w:tcPr>
            <w:tcW w:w="631" w:type="dxa"/>
            <w:tcBorders>
              <w:top w:val="nil"/>
              <w:left w:val="nil"/>
              <w:bottom w:val="single" w:color="auto" w:sz="8" w:space="0"/>
              <w:right w:val="single" w:color="auto" w:sz="4" w:space="0"/>
            </w:tcBorders>
            <w:shd w:val="clear" w:color="auto" w:fill="auto"/>
            <w:noWrap/>
            <w:vAlign w:val="center"/>
          </w:tcPr>
          <w:p w14:paraId="057A937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2 732</w:t>
            </w:r>
          </w:p>
        </w:tc>
        <w:tc>
          <w:tcPr>
            <w:tcW w:w="590" w:type="dxa"/>
            <w:tcBorders>
              <w:top w:val="nil"/>
              <w:left w:val="nil"/>
              <w:bottom w:val="single" w:color="auto" w:sz="8" w:space="0"/>
              <w:right w:val="single" w:color="auto" w:sz="4" w:space="0"/>
            </w:tcBorders>
            <w:shd w:val="clear" w:color="auto" w:fill="auto"/>
            <w:noWrap/>
            <w:vAlign w:val="center"/>
          </w:tcPr>
          <w:p w14:paraId="4A791B6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2 958</w:t>
            </w:r>
          </w:p>
        </w:tc>
        <w:tc>
          <w:tcPr>
            <w:tcW w:w="590" w:type="dxa"/>
            <w:tcBorders>
              <w:top w:val="nil"/>
              <w:left w:val="nil"/>
              <w:bottom w:val="single" w:color="auto" w:sz="8" w:space="0"/>
              <w:right w:val="single" w:color="auto" w:sz="4" w:space="0"/>
            </w:tcBorders>
            <w:shd w:val="clear" w:color="auto" w:fill="auto"/>
            <w:noWrap/>
            <w:vAlign w:val="center"/>
          </w:tcPr>
          <w:p w14:paraId="231DBF2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3 195</w:t>
            </w:r>
          </w:p>
        </w:tc>
        <w:tc>
          <w:tcPr>
            <w:tcW w:w="591" w:type="dxa"/>
            <w:tcBorders>
              <w:top w:val="nil"/>
              <w:left w:val="nil"/>
              <w:bottom w:val="single" w:color="auto" w:sz="8" w:space="0"/>
              <w:right w:val="single" w:color="auto" w:sz="8" w:space="0"/>
            </w:tcBorders>
            <w:shd w:val="clear" w:color="auto" w:fill="auto"/>
            <w:noWrap/>
            <w:vAlign w:val="center"/>
          </w:tcPr>
          <w:p w14:paraId="4739EDA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cs="Times New Roman"/>
                <w:color w:val="000000"/>
                <w:sz w:val="20"/>
                <w:szCs w:val="20"/>
              </w:rPr>
              <w:t>3 487</w:t>
            </w:r>
          </w:p>
        </w:tc>
      </w:tr>
    </w:tbl>
    <w:p w14:paraId="0AA0CBC1">
      <w:pPr>
        <w:jc w:val="center"/>
      </w:pPr>
      <w:r>
        <w:rPr>
          <w:rFonts w:ascii="Times New Roman" w:hAnsi="Times New Roman" w:cs="Times New Roman"/>
          <w:i/>
          <w:iCs/>
          <w:sz w:val="20"/>
          <w:szCs w:val="20"/>
        </w:rPr>
        <w:t>Źródło: opracowanie własne na podstawie danych GUS</w:t>
      </w:r>
    </w:p>
    <w:p w14:paraId="55B572D2">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color w:val="000000" w:themeColor="text1"/>
          <w14:textFill>
            <w14:solidFill>
              <w14:schemeClr w14:val="tx1"/>
            </w14:solidFill>
          </w14:textFill>
        </w:rPr>
        <w:t>Źródłami dochodów własnych jednostek samorządu terytorialnego (JST) są m.in.: wpływy z podatków, opłat, dochody z majątku JST, odsetki od nieterminowo przekazywanych należności stanowiących dochody JST, odsetki od środków finansowych gromadzonych na rachunkach bankowych, o ile odrębne przepisy nie stanowią inaczej i inne. W rozumieniu ustawy dochodami własnymi JST są również udziały we wpływach z podatku dochodowego od osób fizycznych (PIT) oraz z podatku dochodowego od osób prawnych (CIT)</w:t>
      </w:r>
      <w:r>
        <w:rPr>
          <w:rStyle w:val="17"/>
          <w:rFonts w:ascii="Times New Roman" w:hAnsi="Times New Roman" w:cs="Times New Roman"/>
          <w:color w:val="000000" w:themeColor="text1"/>
          <w14:textFill>
            <w14:solidFill>
              <w14:schemeClr w14:val="tx1"/>
            </w14:solidFill>
          </w14:textFill>
        </w:rPr>
        <w:footnoteReference w:id="11"/>
      </w:r>
      <w:r>
        <w:rPr>
          <w:rFonts w:ascii="Times New Roman" w:hAnsi="Times New Roman" w:cs="Times New Roman"/>
          <w:color w:val="000000" w:themeColor="text1"/>
          <w14:textFill>
            <w14:solidFill>
              <w14:schemeClr w14:val="tx1"/>
            </w14:solidFill>
          </w14:textFill>
        </w:rPr>
        <w:t xml:space="preserve">. Wpływy z podatku dochodowego od osób fizycznych w przeliczeniu na 1 mieszkańca na obszarze LGD z roku na rok ulegały zwiększaniu, jednak nawet w 2021 r., kiedy osiągnęły wartość najwyższą, były znacznie niższe od średniej wojewódzkiej i średniej krajowej. Wewnątrz LGD najwyższą wartość osiągnęła Gmina Myślenice (1 159 zł), a najniższą Gmina Tokarnia (499 zł). Wskaźnik </w:t>
      </w:r>
      <w:r>
        <w:rPr>
          <w:rFonts w:ascii="Times New Roman" w:hAnsi="Times New Roman" w:cs="Times New Roman"/>
          <w:i/>
          <w:iCs/>
          <w:color w:val="000000" w:themeColor="text1"/>
          <w14:textFill>
            <w14:solidFill>
              <w14:schemeClr w14:val="tx1"/>
            </w14:solidFill>
          </w14:textFill>
        </w:rPr>
        <w:t>udział w podatkach stanowiących dochody budżetu państwa – podatek dochodowy od osób prawnych w przeliczeniu na 1 mieszkańca</w:t>
      </w:r>
      <w:r>
        <w:rPr>
          <w:rFonts w:ascii="Times New Roman" w:hAnsi="Times New Roman" w:cs="Times New Roman"/>
          <w:color w:val="000000" w:themeColor="text1"/>
          <w14:textFill>
            <w14:solidFill>
              <w14:schemeClr w14:val="tx1"/>
            </w14:solidFill>
          </w14:textFill>
        </w:rPr>
        <w:t xml:space="preserve"> LGD w 2021 r. był o wiele niższy niż średnio w województwie, najwyższą wartością wśród gmin LGD wyróżniała się Gmina Myślenice (51 zł), najniższą zaś Gmina Lubień (3 zł)</w:t>
      </w:r>
      <w:r>
        <w:rPr>
          <w:rStyle w:val="17"/>
          <w:rFonts w:ascii="Times New Roman" w:hAnsi="Times New Roman" w:cs="Times New Roman"/>
          <w:color w:val="000000" w:themeColor="text1"/>
          <w14:textFill>
            <w14:solidFill>
              <w14:schemeClr w14:val="tx1"/>
            </w14:solidFill>
          </w14:textFill>
        </w:rPr>
        <w:footnoteReference w:id="12"/>
      </w:r>
      <w:r>
        <w:rPr>
          <w:rFonts w:ascii="Times New Roman" w:hAnsi="Times New Roman" w:cs="Times New Roman"/>
          <w:color w:val="000000" w:themeColor="text1"/>
          <w14:textFill>
            <w14:solidFill>
              <w14:schemeClr w14:val="tx1"/>
            </w14:solidFill>
          </w14:textFill>
        </w:rPr>
        <w:t xml:space="preserve">. </w:t>
      </w:r>
    </w:p>
    <w:p w14:paraId="2D02B59C">
      <w:pPr>
        <w:spacing w:after="0" w:line="276" w:lineRule="auto"/>
        <w:ind w:firstLine="708"/>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W 2021 r. średnia wartość wydatków ogółem na obszarze LGD wyniosła 5 582 zł i była niższa niż średnia krajowa (6 857 zł) i wojewódzka (6 885 zł). Średnie wydatki bieżące samorządów z obszaru LGD w przeliczeniu na 1 mieszkańca systematycznie wzrastają, jednak w 2021 r. wynosiły 5 041 zł i były niższe niż średnia w województwie (5 789 zł) i niższe niż średnio w Polsce (5 859 zł). Wewnątrz LGD największe wydatki bieżące na 1 mieszkańca ponosi Gmina Raciechowice (5 798 zł), natomiast najniższe Gmina Sułkowice (4 543 zł)</w:t>
      </w:r>
      <w:r>
        <w:rPr>
          <w:rStyle w:val="17"/>
          <w:rFonts w:ascii="Times New Roman" w:hAnsi="Times New Roman" w:cs="Times New Roman"/>
          <w:color w:val="000000" w:themeColor="text1"/>
          <w14:textFill>
            <w14:solidFill>
              <w14:schemeClr w14:val="tx1"/>
            </w14:solidFill>
          </w14:textFill>
        </w:rPr>
        <w:footnoteReference w:id="13"/>
      </w:r>
      <w:r>
        <w:rPr>
          <w:rFonts w:ascii="Times New Roman" w:hAnsi="Times New Roman" w:cs="Times New Roman"/>
          <w:color w:val="000000" w:themeColor="text1"/>
          <w14:textFill>
            <w14:solidFill>
              <w14:schemeClr w14:val="tx1"/>
            </w14:solidFill>
          </w14:textFill>
        </w:rPr>
        <w:t>.</w:t>
      </w:r>
    </w:p>
    <w:p w14:paraId="3772BEFC">
      <w:pPr>
        <w:spacing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ab/>
      </w:r>
      <w:r>
        <w:rPr>
          <w:rFonts w:ascii="Times New Roman" w:hAnsi="Times New Roman" w:eastAsia="SimSun" w:cs="Times New Roman"/>
          <w:color w:val="000000"/>
          <w:szCs w:val="20"/>
          <w:lang w:eastAsia="ar-SA"/>
        </w:rPr>
        <w:t>W kontekście analizy stanu finansów publicznych ważny jest także tzw. wskaźnik G, czyli wskaźnik dochodów podatkowych w przeliczeniu na 1 mieszkańca dla poszczególnych gmin. Wskaźnik ten stanowi podstawę do wyliczenia rocznych kwot części wyrównawczej subwencji ogólnej i wpłat na dany rok.</w:t>
      </w:r>
      <w:r>
        <w:rPr>
          <w:rFonts w:ascii="Times New Roman" w:hAnsi="Times New Roman" w:cs="Times New Roman"/>
          <w:color w:val="000000" w:themeColor="text1"/>
          <w14:textFill>
            <w14:solidFill>
              <w14:schemeClr w14:val="tx1"/>
            </w14:solidFill>
          </w14:textFill>
        </w:rPr>
        <w:t xml:space="preserve"> W tabeli 13 przedstawiono wartość wskaźnika G dla każdej z gmin LGD i średnio dla LGD w latach 2020–2022. </w:t>
      </w:r>
    </w:p>
    <w:p w14:paraId="398FA34C">
      <w:pPr>
        <w:spacing w:line="276"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Dochód podatkowy na obszarze LSR obliczony jako wskaźnik </w:t>
      </w:r>
      <w:r>
        <w:rPr>
          <w:rFonts w:ascii="Times New Roman" w:hAnsi="Times New Roman" w:cs="Times New Roman"/>
          <w:b/>
          <w:bCs/>
          <w:i/>
          <w:iCs/>
          <w:color w:val="000000" w:themeColor="text1"/>
          <w14:textFill>
            <w14:solidFill>
              <w14:schemeClr w14:val="tx1"/>
            </w14:solidFill>
          </w14:textFill>
        </w:rPr>
        <w:t xml:space="preserve">średnia arytmetyczna wskaźnika G gmin objętych obszarem LSR, według stanu na koniec 2020 r. </w:t>
      </w:r>
      <w:r>
        <w:rPr>
          <w:rFonts w:ascii="Times New Roman" w:hAnsi="Times New Roman" w:cs="Times New Roman"/>
          <w:b/>
          <w:bCs/>
          <w:color w:val="000000" w:themeColor="text1"/>
          <w14:textFill>
            <w14:solidFill>
              <w14:schemeClr w14:val="tx1"/>
            </w14:solidFill>
          </w14:textFill>
        </w:rPr>
        <w:t>ze wzoru:</w:t>
      </w:r>
    </w:p>
    <w:p w14:paraId="4DAE39B3">
      <w:pPr>
        <w:spacing w:line="276" w:lineRule="auto"/>
        <w:jc w:val="center"/>
        <w:rPr>
          <w:rFonts w:ascii="Times New Roman" w:hAnsi="Times New Roman" w:cs="Times New Roman" w:eastAsiaTheme="minorEastAsia"/>
          <w:b/>
          <w:bCs/>
          <w:color w:val="000000" w:themeColor="text1"/>
          <w14:textFill>
            <w14:solidFill>
              <w14:schemeClr w14:val="tx1"/>
            </w14:solidFill>
          </w14:textFill>
        </w:rPr>
        <w:sectPr>
          <w:pgSz w:w="11906" w:h="16838"/>
          <w:pgMar w:top="851" w:right="851" w:bottom="851" w:left="851" w:header="709" w:footer="709" w:gutter="0"/>
          <w:cols w:space="708" w:num="1"/>
          <w:titlePg/>
          <w:docGrid w:linePitch="360" w:charSpace="0"/>
        </w:sectPr>
      </w:pPr>
      <m:oMath>
        <m:r>
          <m:rPr>
            <m:sty m:val="bi"/>
          </m:rPr>
          <w:rPr>
            <w:rFonts w:ascii="Cambria Math" w:hAnsi="Cambria Math" w:cs="Times New Roman"/>
            <w:color w:val="000000" w:themeColor="text1"/>
            <w14:textFill>
              <w14:solidFill>
                <w14:schemeClr w14:val="tx1"/>
              </w14:solidFill>
            </w14:textFill>
          </w:rPr>
          <m:t xml:space="preserve"> </m:t>
        </m:r>
        <m:f>
          <m:fPr>
            <m:ctrlPr>
              <w:rPr>
                <w:rFonts w:ascii="Cambria Math" w:hAnsi="Cambria Math" w:cs="Times New Roman"/>
                <w:b/>
                <w:bCs/>
                <w:i/>
                <w:color w:val="000000" w:themeColor="text1"/>
                <w14:textFill>
                  <w14:solidFill>
                    <w14:schemeClr w14:val="tx1"/>
                  </w14:solidFill>
                </w14:textFill>
              </w:rPr>
            </m:ctrlPr>
          </m:fPr>
          <m:num>
            <m:r>
              <m:rPr>
                <m:sty m:val="bi"/>
              </m:rPr>
              <w:rPr>
                <w:rFonts w:ascii="Cambria Math" w:hAnsi="Cambria Math" w:cs="Times New Roman"/>
                <w:color w:val="000000" w:themeColor="text1"/>
                <w14:textFill>
                  <w14:solidFill>
                    <w14:schemeClr w14:val="tx1"/>
                  </w14:solidFill>
                </w14:textFill>
              </w:rPr>
              <m:t>3750</m:t>
            </m:r>
            <m:ctrlPr>
              <w:rPr>
                <w:rFonts w:ascii="Cambria Math" w:hAnsi="Cambria Math" w:cs="Times New Roman"/>
                <w:b/>
                <w:bCs/>
                <w:i/>
                <w:color w:val="000000" w:themeColor="text1"/>
                <w14:textFill>
                  <w14:solidFill>
                    <w14:schemeClr w14:val="tx1"/>
                  </w14:solidFill>
                </w14:textFill>
              </w:rPr>
            </m:ctrlPr>
          </m:num>
          <m:den>
            <m:r>
              <m:rPr>
                <m:sty m:val="bi"/>
              </m:rPr>
              <w:rPr>
                <w:rFonts w:ascii="Cambria Math" w:hAnsi="Cambria Math" w:cs="Times New Roman"/>
                <w:color w:val="000000" w:themeColor="text1"/>
                <w14:textFill>
                  <w14:solidFill>
                    <w14:schemeClr w14:val="tx1"/>
                  </w14:solidFill>
                </w14:textFill>
              </w:rPr>
              <m:t>średnia wartość wskaźnika G gmin objętych LSR</m:t>
            </m:r>
            <m:ctrlPr>
              <w:rPr>
                <w:rFonts w:ascii="Cambria Math" w:hAnsi="Cambria Math" w:cs="Times New Roman"/>
                <w:b/>
                <w:bCs/>
                <w:i/>
                <w:color w:val="000000" w:themeColor="text1"/>
                <w14:textFill>
                  <w14:solidFill>
                    <w14:schemeClr w14:val="tx1"/>
                  </w14:solidFill>
                </w14:textFill>
              </w:rPr>
            </m:ctrlPr>
          </m:den>
        </m:f>
      </m:oMath>
      <w:r>
        <w:rPr>
          <w:rFonts w:ascii="Times New Roman" w:hAnsi="Times New Roman" w:cs="Times New Roman" w:eastAsiaTheme="minorEastAsia"/>
          <w:b/>
          <w:bCs/>
          <w:color w:val="000000" w:themeColor="text1"/>
          <w14:textFill>
            <w14:solidFill>
              <w14:schemeClr w14:val="tx1"/>
            </w14:solidFill>
          </w14:textFill>
        </w:rPr>
        <w:t xml:space="preserve"> wynosi 3,43</w:t>
      </w:r>
    </w:p>
    <w:p w14:paraId="235BFA8A">
      <w:pPr>
        <w:pStyle w:val="9"/>
        <w:spacing w:after="0"/>
        <w:jc w:val="center"/>
        <w:rPr>
          <w:rFonts w:ascii="Times New Roman" w:hAnsi="Times New Roman" w:cs="Times New Roman"/>
          <w:color w:val="000000" w:themeColor="text1"/>
          <w14:textFill>
            <w14:solidFill>
              <w14:schemeClr w14:val="tx1"/>
            </w14:solidFill>
          </w14:textFill>
        </w:rPr>
      </w:pPr>
      <w:bookmarkStart w:id="97" w:name="_Toc136241401"/>
      <w:bookmarkStart w:id="98" w:name="_Toc134966360"/>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13</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Wskaźnik G (zł) dla poszczególnych gmin LGD oraz średnia wartość obszaru LGD w latach 2020–2022</w:t>
      </w:r>
      <w:bookmarkEnd w:id="97"/>
      <w:bookmarkEnd w:id="98"/>
    </w:p>
    <w:tbl>
      <w:tblPr>
        <w:tblStyle w:val="6"/>
        <w:tblW w:w="5000" w:type="pct"/>
        <w:tblInd w:w="0" w:type="dxa"/>
        <w:tblLayout w:type="autofit"/>
        <w:tblCellMar>
          <w:top w:w="0" w:type="dxa"/>
          <w:left w:w="70" w:type="dxa"/>
          <w:bottom w:w="0" w:type="dxa"/>
          <w:right w:w="70" w:type="dxa"/>
        </w:tblCellMar>
      </w:tblPr>
      <w:tblGrid>
        <w:gridCol w:w="3269"/>
        <w:gridCol w:w="2358"/>
        <w:gridCol w:w="2358"/>
        <w:gridCol w:w="2359"/>
      </w:tblGrid>
      <w:tr w14:paraId="4E4384B2">
        <w:tblPrEx>
          <w:tblCellMar>
            <w:top w:w="0" w:type="dxa"/>
            <w:left w:w="70" w:type="dxa"/>
            <w:bottom w:w="0" w:type="dxa"/>
            <w:right w:w="70" w:type="dxa"/>
          </w:tblCellMar>
        </w:tblPrEx>
        <w:trPr>
          <w:trHeight w:val="340" w:hRule="atLeast"/>
        </w:trPr>
        <w:tc>
          <w:tcPr>
            <w:tcW w:w="1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B7D4A2">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140" w:type="pct"/>
            <w:tcBorders>
              <w:top w:val="single" w:color="auto" w:sz="4" w:space="0"/>
              <w:left w:val="nil"/>
              <w:bottom w:val="single" w:color="auto" w:sz="4" w:space="0"/>
              <w:right w:val="single" w:color="auto" w:sz="4" w:space="0"/>
            </w:tcBorders>
            <w:shd w:val="clear" w:color="auto" w:fill="auto"/>
            <w:noWrap/>
            <w:vAlign w:val="center"/>
          </w:tcPr>
          <w:p w14:paraId="60650AB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1140" w:type="pct"/>
            <w:tcBorders>
              <w:top w:val="single" w:color="auto" w:sz="4" w:space="0"/>
              <w:left w:val="nil"/>
              <w:bottom w:val="single" w:color="auto" w:sz="4" w:space="0"/>
              <w:right w:val="single" w:color="auto" w:sz="4" w:space="0"/>
            </w:tcBorders>
            <w:shd w:val="clear" w:color="auto" w:fill="auto"/>
            <w:noWrap/>
            <w:vAlign w:val="center"/>
          </w:tcPr>
          <w:p w14:paraId="1F57F8D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1140" w:type="pct"/>
            <w:tcBorders>
              <w:top w:val="single" w:color="auto" w:sz="4" w:space="0"/>
              <w:left w:val="nil"/>
              <w:bottom w:val="single" w:color="auto" w:sz="4" w:space="0"/>
              <w:right w:val="single" w:color="auto" w:sz="4" w:space="0"/>
            </w:tcBorders>
            <w:shd w:val="clear" w:color="auto" w:fill="auto"/>
            <w:noWrap/>
            <w:vAlign w:val="center"/>
          </w:tcPr>
          <w:p w14:paraId="0CF280C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2022</w:t>
            </w:r>
          </w:p>
        </w:tc>
      </w:tr>
      <w:tr w14:paraId="0F39B3E6">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0F468D2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1140" w:type="pct"/>
            <w:tcBorders>
              <w:top w:val="nil"/>
              <w:left w:val="nil"/>
              <w:bottom w:val="single" w:color="auto" w:sz="4" w:space="0"/>
              <w:right w:val="single" w:color="auto" w:sz="4" w:space="0"/>
            </w:tcBorders>
            <w:shd w:val="clear" w:color="auto" w:fill="auto"/>
            <w:noWrap/>
            <w:vAlign w:val="center"/>
          </w:tcPr>
          <w:p w14:paraId="20A2385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782,43</w:t>
            </w:r>
          </w:p>
        </w:tc>
        <w:tc>
          <w:tcPr>
            <w:tcW w:w="1140" w:type="pct"/>
            <w:tcBorders>
              <w:top w:val="nil"/>
              <w:left w:val="nil"/>
              <w:bottom w:val="single" w:color="auto" w:sz="4" w:space="0"/>
              <w:right w:val="single" w:color="auto" w:sz="4" w:space="0"/>
            </w:tcBorders>
            <w:shd w:val="clear" w:color="auto" w:fill="auto"/>
            <w:noWrap/>
            <w:vAlign w:val="center"/>
          </w:tcPr>
          <w:p w14:paraId="0A57F7F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893,54</w:t>
            </w:r>
          </w:p>
        </w:tc>
        <w:tc>
          <w:tcPr>
            <w:tcW w:w="1140" w:type="pct"/>
            <w:tcBorders>
              <w:top w:val="nil"/>
              <w:left w:val="nil"/>
              <w:bottom w:val="single" w:color="auto" w:sz="4" w:space="0"/>
              <w:right w:val="single" w:color="auto" w:sz="4" w:space="0"/>
            </w:tcBorders>
            <w:shd w:val="clear" w:color="auto" w:fill="auto"/>
            <w:noWrap/>
            <w:vAlign w:val="center"/>
          </w:tcPr>
          <w:p w14:paraId="6BCF6A9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905,88</w:t>
            </w:r>
          </w:p>
        </w:tc>
      </w:tr>
      <w:tr w14:paraId="3A59A00B">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33B72E23">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1140" w:type="pct"/>
            <w:tcBorders>
              <w:top w:val="nil"/>
              <w:left w:val="nil"/>
              <w:bottom w:val="single" w:color="auto" w:sz="4" w:space="0"/>
              <w:right w:val="single" w:color="auto" w:sz="4" w:space="0"/>
            </w:tcBorders>
            <w:shd w:val="clear" w:color="auto" w:fill="auto"/>
            <w:noWrap/>
            <w:vAlign w:val="center"/>
          </w:tcPr>
          <w:p w14:paraId="1571B54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1 718,41</w:t>
            </w:r>
          </w:p>
        </w:tc>
        <w:tc>
          <w:tcPr>
            <w:tcW w:w="1140" w:type="pct"/>
            <w:tcBorders>
              <w:top w:val="nil"/>
              <w:left w:val="nil"/>
              <w:bottom w:val="single" w:color="auto" w:sz="4" w:space="0"/>
              <w:right w:val="single" w:color="auto" w:sz="4" w:space="0"/>
            </w:tcBorders>
            <w:shd w:val="clear" w:color="auto" w:fill="auto"/>
            <w:noWrap/>
            <w:vAlign w:val="center"/>
          </w:tcPr>
          <w:p w14:paraId="46453A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1 849,69</w:t>
            </w:r>
          </w:p>
        </w:tc>
        <w:tc>
          <w:tcPr>
            <w:tcW w:w="1140" w:type="pct"/>
            <w:tcBorders>
              <w:top w:val="nil"/>
              <w:left w:val="nil"/>
              <w:bottom w:val="single" w:color="auto" w:sz="4" w:space="0"/>
              <w:right w:val="single" w:color="auto" w:sz="4" w:space="0"/>
            </w:tcBorders>
            <w:shd w:val="clear" w:color="auto" w:fill="auto"/>
            <w:noWrap/>
            <w:vAlign w:val="center"/>
          </w:tcPr>
          <w:p w14:paraId="68EF2B3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1 970,43</w:t>
            </w:r>
          </w:p>
        </w:tc>
      </w:tr>
      <w:tr w14:paraId="5FF8F9DC">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1B5D8F47">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1140" w:type="pct"/>
            <w:tcBorders>
              <w:top w:val="nil"/>
              <w:left w:val="nil"/>
              <w:bottom w:val="single" w:color="auto" w:sz="4" w:space="0"/>
              <w:right w:val="single" w:color="auto" w:sz="4" w:space="0"/>
            </w:tcBorders>
            <w:shd w:val="clear" w:color="auto" w:fill="auto"/>
            <w:noWrap/>
            <w:vAlign w:val="center"/>
          </w:tcPr>
          <w:p w14:paraId="6F4E62F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1 210,85</w:t>
            </w:r>
          </w:p>
        </w:tc>
        <w:tc>
          <w:tcPr>
            <w:tcW w:w="1140" w:type="pct"/>
            <w:tcBorders>
              <w:top w:val="nil"/>
              <w:left w:val="nil"/>
              <w:bottom w:val="single" w:color="auto" w:sz="4" w:space="0"/>
              <w:right w:val="single" w:color="auto" w:sz="4" w:space="0"/>
            </w:tcBorders>
            <w:shd w:val="clear" w:color="auto" w:fill="auto"/>
            <w:noWrap/>
            <w:vAlign w:val="center"/>
          </w:tcPr>
          <w:p w14:paraId="2D38A01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1 202,18</w:t>
            </w:r>
          </w:p>
        </w:tc>
        <w:tc>
          <w:tcPr>
            <w:tcW w:w="1140" w:type="pct"/>
            <w:tcBorders>
              <w:top w:val="nil"/>
              <w:left w:val="nil"/>
              <w:bottom w:val="single" w:color="auto" w:sz="4" w:space="0"/>
              <w:right w:val="single" w:color="auto" w:sz="4" w:space="0"/>
            </w:tcBorders>
            <w:shd w:val="clear" w:color="auto" w:fill="auto"/>
            <w:noWrap/>
            <w:vAlign w:val="center"/>
          </w:tcPr>
          <w:p w14:paraId="70614DF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1 276,81</w:t>
            </w:r>
          </w:p>
        </w:tc>
      </w:tr>
      <w:tr w14:paraId="7B7D6D9E">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6D9653F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1140" w:type="pct"/>
            <w:tcBorders>
              <w:top w:val="nil"/>
              <w:left w:val="nil"/>
              <w:bottom w:val="single" w:color="auto" w:sz="4" w:space="0"/>
              <w:right w:val="single" w:color="auto" w:sz="4" w:space="0"/>
            </w:tcBorders>
            <w:shd w:val="clear" w:color="auto" w:fill="auto"/>
            <w:noWrap/>
            <w:vAlign w:val="center"/>
          </w:tcPr>
          <w:p w14:paraId="3B1F61C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1 017,42</w:t>
            </w:r>
          </w:p>
        </w:tc>
        <w:tc>
          <w:tcPr>
            <w:tcW w:w="1140" w:type="pct"/>
            <w:tcBorders>
              <w:top w:val="nil"/>
              <w:left w:val="nil"/>
              <w:bottom w:val="single" w:color="auto" w:sz="4" w:space="0"/>
              <w:right w:val="single" w:color="auto" w:sz="4" w:space="0"/>
            </w:tcBorders>
            <w:shd w:val="clear" w:color="auto" w:fill="auto"/>
            <w:noWrap/>
            <w:vAlign w:val="center"/>
          </w:tcPr>
          <w:p w14:paraId="3DF5DFE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1 172,33</w:t>
            </w:r>
          </w:p>
        </w:tc>
        <w:tc>
          <w:tcPr>
            <w:tcW w:w="1140" w:type="pct"/>
            <w:tcBorders>
              <w:top w:val="nil"/>
              <w:left w:val="nil"/>
              <w:bottom w:val="single" w:color="auto" w:sz="4" w:space="0"/>
              <w:right w:val="single" w:color="auto" w:sz="4" w:space="0"/>
            </w:tcBorders>
            <w:shd w:val="clear" w:color="auto" w:fill="auto"/>
            <w:noWrap/>
            <w:vAlign w:val="center"/>
          </w:tcPr>
          <w:p w14:paraId="1C9AD8D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1 113,19</w:t>
            </w:r>
          </w:p>
        </w:tc>
      </w:tr>
      <w:tr w14:paraId="2F5F977C">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15E34B7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1140" w:type="pct"/>
            <w:tcBorders>
              <w:top w:val="nil"/>
              <w:left w:val="nil"/>
              <w:bottom w:val="single" w:color="auto" w:sz="4" w:space="0"/>
              <w:right w:val="single" w:color="auto" w:sz="4" w:space="0"/>
            </w:tcBorders>
            <w:shd w:val="clear" w:color="auto" w:fill="auto"/>
            <w:noWrap/>
            <w:vAlign w:val="center"/>
          </w:tcPr>
          <w:p w14:paraId="4BD32B3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1 134,36</w:t>
            </w:r>
          </w:p>
        </w:tc>
        <w:tc>
          <w:tcPr>
            <w:tcW w:w="1140" w:type="pct"/>
            <w:tcBorders>
              <w:top w:val="nil"/>
              <w:left w:val="nil"/>
              <w:bottom w:val="single" w:color="auto" w:sz="4" w:space="0"/>
              <w:right w:val="single" w:color="auto" w:sz="4" w:space="0"/>
            </w:tcBorders>
            <w:shd w:val="clear" w:color="auto" w:fill="auto"/>
            <w:noWrap/>
            <w:vAlign w:val="center"/>
          </w:tcPr>
          <w:p w14:paraId="7F2D90A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1 232,57</w:t>
            </w:r>
          </w:p>
        </w:tc>
        <w:tc>
          <w:tcPr>
            <w:tcW w:w="1140" w:type="pct"/>
            <w:tcBorders>
              <w:top w:val="nil"/>
              <w:left w:val="nil"/>
              <w:bottom w:val="single" w:color="auto" w:sz="4" w:space="0"/>
              <w:right w:val="single" w:color="auto" w:sz="4" w:space="0"/>
            </w:tcBorders>
            <w:shd w:val="clear" w:color="auto" w:fill="auto"/>
            <w:noWrap/>
            <w:vAlign w:val="center"/>
          </w:tcPr>
          <w:p w14:paraId="121449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1 243,73</w:t>
            </w:r>
          </w:p>
        </w:tc>
      </w:tr>
      <w:tr w14:paraId="7B0FA7DD">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0143465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1140" w:type="pct"/>
            <w:tcBorders>
              <w:top w:val="nil"/>
              <w:left w:val="nil"/>
              <w:bottom w:val="single" w:color="auto" w:sz="4" w:space="0"/>
              <w:right w:val="single" w:color="auto" w:sz="4" w:space="0"/>
            </w:tcBorders>
            <w:shd w:val="clear" w:color="auto" w:fill="auto"/>
            <w:noWrap/>
            <w:vAlign w:val="center"/>
          </w:tcPr>
          <w:p w14:paraId="0CEF413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836,72</w:t>
            </w:r>
          </w:p>
        </w:tc>
        <w:tc>
          <w:tcPr>
            <w:tcW w:w="1140" w:type="pct"/>
            <w:tcBorders>
              <w:top w:val="nil"/>
              <w:left w:val="nil"/>
              <w:bottom w:val="single" w:color="auto" w:sz="4" w:space="0"/>
              <w:right w:val="single" w:color="auto" w:sz="4" w:space="0"/>
            </w:tcBorders>
            <w:shd w:val="clear" w:color="auto" w:fill="auto"/>
            <w:noWrap/>
            <w:vAlign w:val="center"/>
          </w:tcPr>
          <w:p w14:paraId="51A5B63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912,12</w:t>
            </w:r>
          </w:p>
        </w:tc>
        <w:tc>
          <w:tcPr>
            <w:tcW w:w="1140" w:type="pct"/>
            <w:tcBorders>
              <w:top w:val="nil"/>
              <w:left w:val="nil"/>
              <w:bottom w:val="single" w:color="auto" w:sz="4" w:space="0"/>
              <w:right w:val="single" w:color="auto" w:sz="4" w:space="0"/>
            </w:tcBorders>
            <w:shd w:val="clear" w:color="auto" w:fill="auto"/>
            <w:noWrap/>
            <w:vAlign w:val="center"/>
          </w:tcPr>
          <w:p w14:paraId="5D4D570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839,28</w:t>
            </w:r>
          </w:p>
        </w:tc>
      </w:tr>
      <w:tr w14:paraId="40EF4F9D">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22A7B5B5">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1140" w:type="pct"/>
            <w:tcBorders>
              <w:top w:val="nil"/>
              <w:left w:val="nil"/>
              <w:bottom w:val="single" w:color="auto" w:sz="4" w:space="0"/>
              <w:right w:val="single" w:color="auto" w:sz="4" w:space="0"/>
            </w:tcBorders>
            <w:shd w:val="clear" w:color="auto" w:fill="auto"/>
            <w:noWrap/>
            <w:vAlign w:val="center"/>
          </w:tcPr>
          <w:p w14:paraId="16F2B44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958,47</w:t>
            </w:r>
          </w:p>
        </w:tc>
        <w:tc>
          <w:tcPr>
            <w:tcW w:w="1140" w:type="pct"/>
            <w:tcBorders>
              <w:top w:val="nil"/>
              <w:left w:val="nil"/>
              <w:bottom w:val="single" w:color="auto" w:sz="4" w:space="0"/>
              <w:right w:val="single" w:color="auto" w:sz="4" w:space="0"/>
            </w:tcBorders>
            <w:shd w:val="clear" w:color="auto" w:fill="auto"/>
            <w:noWrap/>
            <w:vAlign w:val="center"/>
          </w:tcPr>
          <w:p w14:paraId="77FBB5C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1 148,07</w:t>
            </w:r>
          </w:p>
        </w:tc>
        <w:tc>
          <w:tcPr>
            <w:tcW w:w="1140" w:type="pct"/>
            <w:tcBorders>
              <w:top w:val="nil"/>
              <w:left w:val="nil"/>
              <w:bottom w:val="single" w:color="auto" w:sz="4" w:space="0"/>
              <w:right w:val="single" w:color="auto" w:sz="4" w:space="0"/>
            </w:tcBorders>
            <w:shd w:val="clear" w:color="auto" w:fill="auto"/>
            <w:noWrap/>
            <w:vAlign w:val="center"/>
          </w:tcPr>
          <w:p w14:paraId="0E78876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1 133,47</w:t>
            </w:r>
          </w:p>
        </w:tc>
      </w:tr>
      <w:tr w14:paraId="3AEAF9A6">
        <w:tblPrEx>
          <w:tblCellMar>
            <w:top w:w="0" w:type="dxa"/>
            <w:left w:w="70" w:type="dxa"/>
            <w:bottom w:w="0" w:type="dxa"/>
            <w:right w:w="70" w:type="dxa"/>
          </w:tblCellMar>
        </w:tblPrEx>
        <w:trPr>
          <w:trHeight w:val="340" w:hRule="atLeast"/>
        </w:trPr>
        <w:tc>
          <w:tcPr>
            <w:tcW w:w="1580" w:type="pct"/>
            <w:tcBorders>
              <w:top w:val="nil"/>
              <w:left w:val="single" w:color="auto" w:sz="4" w:space="0"/>
              <w:bottom w:val="single" w:color="auto" w:sz="4" w:space="0"/>
              <w:right w:val="single" w:color="auto" w:sz="4" w:space="0"/>
            </w:tcBorders>
            <w:shd w:val="clear" w:color="auto" w:fill="auto"/>
            <w:noWrap/>
            <w:vAlign w:val="center"/>
          </w:tcPr>
          <w:p w14:paraId="37CE01AB">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1140" w:type="pct"/>
            <w:tcBorders>
              <w:top w:val="nil"/>
              <w:left w:val="nil"/>
              <w:bottom w:val="single" w:color="auto" w:sz="4" w:space="0"/>
              <w:right w:val="single" w:color="auto" w:sz="4" w:space="0"/>
            </w:tcBorders>
            <w:shd w:val="clear" w:color="auto" w:fill="auto"/>
            <w:noWrap/>
            <w:vAlign w:val="center"/>
          </w:tcPr>
          <w:p w14:paraId="7522C97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1 094,09</w:t>
            </w:r>
          </w:p>
        </w:tc>
        <w:tc>
          <w:tcPr>
            <w:tcW w:w="1140" w:type="pct"/>
            <w:tcBorders>
              <w:top w:val="nil"/>
              <w:left w:val="nil"/>
              <w:bottom w:val="single" w:color="auto" w:sz="4" w:space="0"/>
              <w:right w:val="single" w:color="auto" w:sz="4" w:space="0"/>
            </w:tcBorders>
            <w:shd w:val="clear" w:color="auto" w:fill="auto"/>
            <w:noWrap/>
            <w:vAlign w:val="center"/>
          </w:tcPr>
          <w:p w14:paraId="5298045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1 201,50</w:t>
            </w:r>
          </w:p>
        </w:tc>
        <w:tc>
          <w:tcPr>
            <w:tcW w:w="1140" w:type="pct"/>
            <w:tcBorders>
              <w:top w:val="nil"/>
              <w:left w:val="nil"/>
              <w:bottom w:val="single" w:color="auto" w:sz="4" w:space="0"/>
              <w:right w:val="single" w:color="auto" w:sz="4" w:space="0"/>
            </w:tcBorders>
            <w:shd w:val="clear" w:color="auto" w:fill="auto"/>
            <w:noWrap/>
            <w:vAlign w:val="center"/>
          </w:tcPr>
          <w:p w14:paraId="2CEA7DD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1 211,83</w:t>
            </w:r>
          </w:p>
        </w:tc>
      </w:tr>
    </w:tbl>
    <w:p w14:paraId="11A33417">
      <w:pPr>
        <w:spacing w:line="276"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Ministerstwa Finansów</w:t>
      </w:r>
    </w:p>
    <w:p w14:paraId="4CA3B498">
      <w:pPr>
        <w:pStyle w:val="28"/>
        <w:numPr>
          <w:ilvl w:val="1"/>
          <w:numId w:val="15"/>
        </w:numPr>
        <w:spacing w:before="240"/>
        <w:rPr>
          <w:rFonts w:ascii="Times New Roman" w:hAnsi="Times New Roman" w:cs="Times New Roman"/>
          <w:b/>
          <w:bCs/>
        </w:rPr>
      </w:pPr>
      <w:r>
        <w:rPr>
          <w:rFonts w:ascii="Times New Roman" w:hAnsi="Times New Roman" w:cs="Times New Roman"/>
          <w:b/>
          <w:bCs/>
        </w:rPr>
        <w:t>Walory przyrodnicze i krajobrazowe</w:t>
      </w:r>
    </w:p>
    <w:p w14:paraId="3368A2FC">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Pod względem fizycznogeograficznym analizowany obszar położony jest w megaregionie Region Karpacki, prowincji Karpaty Zachodnie z Podkarpaciem Zachodnim i Północnym, pomiędzy podprowincjami Zewnętrzne Karpaty Zachodnie i Podkarpacie Północne, w makroregionach Pogórze Zachodniobeskidzkie i Beskidy Zachodnie, w mezoregionach Pogórze Wielickie, Beskid Wyspowy, Beskid Średni, Beskid Makowski</w:t>
      </w:r>
      <w:r>
        <w:rPr>
          <w:rStyle w:val="17"/>
          <w:rFonts w:ascii="Times New Roman" w:hAnsi="Times New Roman" w:cs="Times New Roman"/>
          <w:color w:val="000000" w:themeColor="text1"/>
          <w14:textFill>
            <w14:solidFill>
              <w14:schemeClr w14:val="tx1"/>
            </w14:solidFill>
          </w14:textFill>
        </w:rPr>
        <w:footnoteReference w:id="14"/>
      </w:r>
      <w:r>
        <w:rPr>
          <w:rFonts w:ascii="Times New Roman" w:hAnsi="Times New Roman" w:cs="Times New Roman"/>
          <w:color w:val="000000" w:themeColor="text1"/>
          <w14:textFill>
            <w14:solidFill>
              <w14:schemeClr w14:val="tx1"/>
            </w14:solidFill>
          </w14:textFill>
        </w:rPr>
        <w:t xml:space="preserve">. </w:t>
      </w:r>
    </w:p>
    <w:p w14:paraId="50417DFB">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Gmina Lubień leży na granicy Beskidu Wyspowego i Beskidu Średniego, podobnie jak Gmina Pcim, przy czym gmina ta położona jest w przeważającej części na Beskidzie Średnim, a w niewielkim fragmencie na Beskidzie Wyspowym. Gmina Myślenice otoczona jest przez wzniesienia Pogórza Wielickiego, które łagodnieją ku dolinie Raby. Natomiast od południa na terenie gminy występuje pasmo Beskidu Makowskiego. Gmina Sułkowice położona jest w przeważającej części na Pogórzu Wielickim, natomiast jej południowa część znajduje się w Beskidzie Makowskim. Na styku Beskidu Makowskiego oraz Beskidu Wyspowego położona jest Gmina Tokarnia. Gmina Wiśniowa w całości leży na terenie Pogórza Wielickiego, na terenie którego rozciąga się również Gmina Raciechowice, przy czym część tej gminy obejmuje również obszar Beskidu Wyspowego. Obszar odznacza się dużą spójnością przyrodniczą, która wynika ze zbliżonych bądź tożsamych uwarunkowań poszczególnych elementów środowiska.</w:t>
      </w:r>
    </w:p>
    <w:p w14:paraId="7B8AD741">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Główną rzeką obszaru jest Raba, której dorzecze zajmuje centralną i południową część powiatu myślenickiego. Dorzecze Raby stanowią liczne potoki, które spływają ze zboczy górskich i wiją się malowniczo między górami. Do najważniejszych dopływów Raby zalicza się rzeki: Lubieńska. Krzczonówka, Trzebunka, Krzyworzeka i Stradomka. Przez tereny pogórskie przepływają rzeki Harbutówka i Głogoczówka, które należą do dorzeczy Skawinki</w:t>
      </w:r>
      <w:r>
        <w:rPr>
          <w:rStyle w:val="17"/>
          <w:rFonts w:ascii="Times New Roman" w:hAnsi="Times New Roman" w:cs="Times New Roman"/>
          <w:color w:val="000000" w:themeColor="text1"/>
          <w14:textFill>
            <w14:solidFill>
              <w14:schemeClr w14:val="tx1"/>
            </w14:solidFill>
          </w14:textFill>
        </w:rPr>
        <w:footnoteReference w:id="15"/>
      </w:r>
      <w:r>
        <w:rPr>
          <w:rFonts w:ascii="Times New Roman" w:hAnsi="Times New Roman" w:cs="Times New Roman"/>
          <w:color w:val="000000" w:themeColor="text1"/>
          <w14:textFill>
            <w14:solidFill>
              <w14:schemeClr w14:val="tx1"/>
            </w14:solidFill>
          </w14:textFill>
        </w:rPr>
        <w:t xml:space="preserve">. </w:t>
      </w:r>
    </w:p>
    <w:p w14:paraId="1870C6FC">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Beskid Makowski zbudowany jest z fliszu karpackiego, czyli kompleksu skał składających się z piaskowców magurskich, łupków, zlepieńców, iłów i margli, wytworzonych w morzu, jakie pokrywało w jurze teren dzisiejszych Karpat. Podobną budowę posiada również Beskid Wyspowy, którego charakterystyczną cechą są wyspowo wznoszące się szczyty ze sfalowanego łagodnymi wzniesieniami krajobrazu. Mają one strome i spadziste stoki, lecz zewnętrzna część z reguły jest płaska i wylesiona. Góry te przeważnie nie łączą się w długie pasma, lecz tworzą szereg wysp otoczonych głębokimi i szerokimi dolinami. Doliny rzeczne, które oddzielają poszczególne szczyty górskie, od dawnych czasów wykorzystywane były jako trakty komunikacyjne. Gleby na obszarze LGD to głównie gleby brunatne kwaśne i wyługowane z niewielką domieszką gleb torfowych oraz mady w dolinach rzecznych. Jednak pod względem przydatności do rolnictwa są to gleby średniej jakości, a w częściach górskich słabe lub wręcz nieprzydatne do uprawy. Ze względu na spore nachylenie zboczy, gleby są narażone na erozję. Zróżnicowana rzeźba terenu wpływa na klimat w Beskidzie Makowskim i Beskidzie Wyspowym. Średnia temperatura wynosi od 5°C do 8°C. Wiosna trwa długo, jest chłodna i deszczowa, a niskie temperatury występują aż do początków maja. Lato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Beskidzie Makowskim bywa trochę cieplejsze niż w Beskidzie Wyspowym, lecz trwa tyle samo. Jesień jest długa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i przeważnie sucha. Notowane są częste wahania temperatury</w:t>
      </w:r>
      <w:r>
        <w:rPr>
          <w:rStyle w:val="17"/>
          <w:rFonts w:ascii="Times New Roman" w:hAnsi="Times New Roman" w:cs="Times New Roman"/>
          <w:color w:val="000000" w:themeColor="text1"/>
          <w14:textFill>
            <w14:solidFill>
              <w14:schemeClr w14:val="tx1"/>
            </w14:solidFill>
          </w14:textFill>
        </w:rPr>
        <w:footnoteReference w:id="16"/>
      </w:r>
      <w:r>
        <w:rPr>
          <w:rFonts w:ascii="Times New Roman" w:hAnsi="Times New Roman" w:cs="Times New Roman"/>
          <w:color w:val="000000" w:themeColor="text1"/>
          <w14:textFill>
            <w14:solidFill>
              <w14:schemeClr w14:val="tx1"/>
            </w14:solidFill>
          </w14:textFill>
        </w:rPr>
        <w:t>. </w:t>
      </w:r>
    </w:p>
    <w:p w14:paraId="398E7A74">
      <w:p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 xml:space="preserve">Na terenie gmin obszaru występuje klimat typu górskiego i podgórskiego. Najistotniejszy wpływ na kształtowanie się pogody mają wilgotne masy powietrza polarno-morskiego. </w:t>
      </w:r>
      <w:r>
        <w:rPr>
          <w:rFonts w:ascii="Times New Roman" w:hAnsi="Times New Roman" w:cs="Times New Roman"/>
        </w:rPr>
        <w:t xml:space="preserve">Do najbardziej deszczowych miesięcy zalicza się czerwiec, lipiec i sierpień, zaś najniższe opady występują w styczniu i lutym. Największe nasłonecznienie notuje się w lipcu, najmniejsze – w grudniu i styczniu. </w:t>
      </w:r>
    </w:p>
    <w:p w14:paraId="29FC83DE">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Przez Gminę Myślenice przebiega droga E 77, o znaczeniu międzynarodowym, odcinek przebiegający przez teren gminy potocznie nazwany jest „Zakopianką” (trasa S7). Prowadzi z Krakowa do przejść granicznych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Chyżnem i Łysej Polanie. W odległości 35 km od centrum Myślenic znajduje się polski port lotniczy im. Jana Pawła II w Balicach.  </w:t>
      </w:r>
    </w:p>
    <w:p w14:paraId="575B9950">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Zgodnie z danymi Centralnego Rejestru Form Ochrony Przyrody prowadzonego przez Generalną Dyrekcję Ochrony Środowiska, na obszarze objętym LGD Między Dalinem i Gościbią znajdują się następujące formy ochrony przyrody i krajobrazu</w:t>
      </w:r>
      <w:r>
        <w:rPr>
          <w:rStyle w:val="17"/>
          <w:rFonts w:ascii="Times New Roman" w:hAnsi="Times New Roman" w:cs="Times New Roman"/>
          <w:color w:val="000000" w:themeColor="text1"/>
          <w14:textFill>
            <w14:solidFill>
              <w14:schemeClr w14:val="tx1"/>
            </w14:solidFill>
          </w14:textFill>
        </w:rPr>
        <w:footnoteReference w:id="17"/>
      </w:r>
      <w:r>
        <w:rPr>
          <w:rFonts w:ascii="Times New Roman" w:hAnsi="Times New Roman" w:cs="Times New Roman"/>
          <w:color w:val="000000" w:themeColor="text1"/>
          <w14:textFill>
            <w14:solidFill>
              <w14:schemeClr w14:val="tx1"/>
            </w14:solidFill>
          </w14:textFill>
        </w:rPr>
        <w:t>:</w:t>
      </w:r>
    </w:p>
    <w:p w14:paraId="70157EB5">
      <w:pPr>
        <w:pStyle w:val="28"/>
        <w:numPr>
          <w:ilvl w:val="0"/>
          <w:numId w:val="16"/>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Południowomałopolski Obszar Chronionego Krajobrazu (gminy: Lubień, Tokarnia),</w:t>
      </w:r>
    </w:p>
    <w:p w14:paraId="03AACE22">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rezerwat przyrody „Zamczysko nad Rabą” (Gmina Myślenice),</w:t>
      </w:r>
    </w:p>
    <w:p w14:paraId="4AB2A2E0">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rezerwat przyrody „Las Gościbia” (Gmina Sułkowice),</w:t>
      </w:r>
    </w:p>
    <w:p w14:paraId="421F51E1">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rezerwat przyrody „Luboń Wielki” (Gmina Lubień), </w:t>
      </w:r>
    </w:p>
    <w:p w14:paraId="4694EACC">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obszar Natura 2000 Luboń Wielki (Gmina Lubień),</w:t>
      </w:r>
    </w:p>
    <w:p w14:paraId="5A006794">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obszar Natura 2000 Raba z Mszanką (gminy: Lubień, Pcim),</w:t>
      </w:r>
    </w:p>
    <w:p w14:paraId="5C927FF1">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obszar Natura 2000 Ostoje Nietoperzy Beskidu Wyspowego (gminy: Raciechowice, Wiśniowa),</w:t>
      </w:r>
    </w:p>
    <w:p w14:paraId="7B431EF5">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obszar Natura 2000 Kościół w Węglówce (Gmina Wiśniowa),</w:t>
      </w:r>
    </w:p>
    <w:p w14:paraId="5907981C">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stanowisko dokumentacyjne – Odsłonięcie geologiczne (Gmina Sułkowice),</w:t>
      </w:r>
    </w:p>
    <w:p w14:paraId="136354CC">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81 pomników przyrody (22 – Gmina Myślenice, 11 – Gmina Sułkowice, 7 – Gmina Lubień, 6 – Gmina Pcim, 14 – Gmina Raciechowice, 13 – Gmina Tokarnia, 8 – Gmina Wiśniowa),</w:t>
      </w:r>
    </w:p>
    <w:p w14:paraId="64B8DBCA">
      <w:pPr>
        <w:pStyle w:val="28"/>
        <w:numPr>
          <w:ilvl w:val="0"/>
          <w:numId w:val="17"/>
        </w:numPr>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 użytki ekologiczne (2 – Gmina Myślenice, 1 – Gmina Wiśniowa).</w:t>
      </w:r>
    </w:p>
    <w:p w14:paraId="22D4D1BD">
      <w:pPr>
        <w:spacing w:before="240" w:line="276" w:lineRule="auto"/>
        <w:ind w:firstLine="708"/>
        <w:jc w:val="both"/>
        <w:rPr>
          <w:rFonts w:ascii="Times New Roman" w:hAnsi="Times New Roman" w:cs="Times New Roman"/>
          <w:color w:val="000000" w:themeColor="text1"/>
          <w14:textFill>
            <w14:solidFill>
              <w14:schemeClr w14:val="tx1"/>
            </w14:solidFill>
          </w14:textFill>
        </w:rPr>
      </w:pPr>
      <w:bookmarkStart w:id="99" w:name="_Hlk113832714"/>
      <w:r>
        <w:rPr>
          <w:rFonts w:ascii="Times New Roman" w:hAnsi="Times New Roman" w:cs="Times New Roman"/>
          <w:color w:val="000000" w:themeColor="text1"/>
          <w14:textFill>
            <w14:solidFill>
              <w14:schemeClr w14:val="tx1"/>
            </w14:solidFill>
          </w14:textFill>
        </w:rPr>
        <w:t>Przez teren LGD Między Dalinem i Gościbią przebiegają także korytarze ekologiczne – Beskidy Zachodnie 1 oraz Beskidy Zachodnie 2. Korytarze ekologiczne to obszary umożliwiające migrację roślin, zwierząt lub grzybów. Korytarze te są ważnym elementem sieci Natura 2000, gdyż umożliwiają przemieszczanie się organizmów między siedliskami</w:t>
      </w:r>
      <w:bookmarkEnd w:id="99"/>
      <w:bookmarkStart w:id="100" w:name="_Hlk113832783"/>
      <w:r>
        <w:rPr>
          <w:rFonts w:ascii="Times New Roman" w:hAnsi="Times New Roman" w:cs="Times New Roman"/>
          <w:color w:val="000000" w:themeColor="text1"/>
          <w14:textFill>
            <w14:solidFill>
              <w14:schemeClr w14:val="tx1"/>
            </w14:solidFill>
          </w14:textFill>
        </w:rPr>
        <w:t xml:space="preserve">. </w:t>
      </w:r>
      <w:bookmarkEnd w:id="100"/>
    </w:p>
    <w:p w14:paraId="0DAE25A4">
      <w:pPr>
        <w:spacing w:line="276" w:lineRule="auto"/>
        <w:ind w:firstLine="708"/>
        <w:jc w:val="both"/>
        <w:rPr>
          <w:rFonts w:ascii="Times New Roman" w:hAnsi="Times New Roman" w:cs="Times New Roman"/>
          <w:color w:val="000000" w:themeColor="text1"/>
          <w14:textFill>
            <w14:solidFill>
              <w14:schemeClr w14:val="tx1"/>
            </w14:solidFill>
          </w14:textFill>
        </w:rPr>
      </w:pPr>
      <w:bookmarkStart w:id="101" w:name="_Hlk113833439"/>
      <w:r>
        <w:rPr>
          <w:rFonts w:ascii="Times New Roman" w:hAnsi="Times New Roman" w:cs="Times New Roman"/>
          <w:color w:val="000000" w:themeColor="text1"/>
          <w14:textFill>
            <w14:solidFill>
              <w14:schemeClr w14:val="tx1"/>
            </w14:solidFill>
          </w14:textFill>
        </w:rPr>
        <w:t xml:space="preserve">Poziom pokrycia obszaru LGD lasami to 38,2%, a więc więcej niż średnio w województwie (28,6%), a także więcej niż średnia w kraju (29,6%). Wśród gmin LGD największy udział lasów w powierzchni ogółem występuje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gminach Pcim i Tokarnia – odpowiednio 49,1% i 47,0%, a więc znacznie więcej niż średnio na obszarze LGD,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w województwie i kraju</w:t>
      </w:r>
      <w:r>
        <w:rPr>
          <w:rFonts w:ascii="Times New Roman" w:hAnsi="Times New Roman" w:cs="Times New Roman"/>
          <w:color w:val="000000" w:themeColor="text1"/>
          <w:vertAlign w:val="superscript"/>
          <w14:textFill>
            <w14:solidFill>
              <w14:schemeClr w14:val="tx1"/>
            </w14:solidFill>
          </w14:textFill>
        </w:rPr>
        <w:footnoteReference w:id="18"/>
      </w:r>
      <w:r>
        <w:rPr>
          <w:rFonts w:ascii="Times New Roman" w:hAnsi="Times New Roman" w:cs="Times New Roman"/>
          <w:color w:val="000000" w:themeColor="text1"/>
          <w14:textFill>
            <w14:solidFill>
              <w14:schemeClr w14:val="tx1"/>
            </w14:solidFill>
          </w14:textFill>
        </w:rPr>
        <w:t xml:space="preserve">. </w:t>
      </w:r>
      <w:bookmarkEnd w:id="101"/>
    </w:p>
    <w:p w14:paraId="6B84349C">
      <w:pPr>
        <w:spacing w:after="0" w:line="276" w:lineRule="auto"/>
        <w:ind w:firstLine="708"/>
        <w:jc w:val="center"/>
        <w:rPr>
          <w:rFonts w:ascii="Times New Roman" w:hAnsi="Times New Roman" w:cs="Times New Roman"/>
        </w:rPr>
      </w:pPr>
      <w:r>
        <w:rPr>
          <w:rFonts w:ascii="Times New Roman" w:hAnsi="Times New Roman" w:cs="Times New Roman"/>
          <w:b/>
          <w:bCs/>
        </w:rPr>
        <w:t xml:space="preserve">Łącznie na terenie 100% (7 z 7) gmin obszaru LGD występują formy ochrony przyrody takie jak obszary Natura 2000, obszary chronionego krajobrazu, rezerwaty przyrody, wobec czego wskaźnik </w:t>
      </w:r>
      <w:r>
        <w:rPr>
          <w:rFonts w:ascii="Times New Roman" w:hAnsi="Times New Roman" w:cs="Times New Roman"/>
          <w:b/>
          <w:bCs/>
          <w:i/>
          <w:iCs/>
        </w:rPr>
        <w:t xml:space="preserve">formy ochrony przyrody na obszarze LSR </w:t>
      </w:r>
      <w:r>
        <w:rPr>
          <w:rFonts w:ascii="Times New Roman" w:hAnsi="Times New Roman" w:cs="Times New Roman"/>
          <w:b/>
          <w:bCs/>
        </w:rPr>
        <w:t>osiąga wartość 4</w:t>
      </w:r>
      <w:r>
        <w:rPr>
          <w:rFonts w:ascii="Times New Roman" w:hAnsi="Times New Roman" w:cs="Times New Roman"/>
          <w:vertAlign w:val="superscript"/>
        </w:rPr>
        <w:footnoteReference w:id="19"/>
      </w:r>
      <w:r>
        <w:rPr>
          <w:rFonts w:ascii="Times New Roman" w:hAnsi="Times New Roman" w:cs="Times New Roman"/>
        </w:rPr>
        <w:t>.</w:t>
      </w:r>
    </w:p>
    <w:p w14:paraId="4F8E77BD">
      <w:pPr>
        <w:spacing w:before="240" w:after="0" w:line="276" w:lineRule="auto"/>
        <w:ind w:firstLine="708"/>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 xml:space="preserve">Rozpatrując kwestię środowiska naturalnego, warto zwrócić uwagę na jakość powietrza. Diagnoza w zakresie przekroczenia standardów jakości powietrza przeprowadzona została na podstawie raportów corocznie opracowywanych przez Główny Inspektorat Ochrony Środowiska, Regionalny Wydział Monitoringu Środowiska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Krakowie, dotyczących oceny jakości powietrza w województwie małopolskim. W opracowaniu pn. </w:t>
      </w:r>
      <w:r>
        <w:rPr>
          <w:rFonts w:ascii="Times New Roman" w:hAnsi="Times New Roman" w:cs="Times New Roman"/>
          <w:i/>
          <w:iCs/>
          <w:color w:val="000000" w:themeColor="text1"/>
          <w14:textFill>
            <w14:solidFill>
              <w14:schemeClr w14:val="tx1"/>
            </w14:solidFill>
          </w14:textFill>
        </w:rPr>
        <w:t>Roczna ocena jakości powietrza w województwie małopolskim – raport wojewódzki za rok 2021</w:t>
      </w:r>
      <w:r>
        <w:rPr>
          <w:rFonts w:ascii="Times New Roman" w:hAnsi="Times New Roman" w:cs="Times New Roman"/>
          <w:color w:val="000000" w:themeColor="text1"/>
          <w14:textFill>
            <w14:solidFill>
              <w14:schemeClr w14:val="tx1"/>
            </w14:solidFill>
          </w14:textFill>
        </w:rPr>
        <w:t xml:space="preserve"> oceny jakości powietrza wykonywane są w odniesieniu do obszaru strefy. </w:t>
      </w:r>
      <w:r>
        <w:rPr>
          <w:rFonts w:ascii="Times New Roman" w:hAnsi="Times New Roman" w:cs="Times New Roman"/>
        </w:rPr>
        <w:t xml:space="preserve">W województwie małopolskim wydzielono trzy strefy: Aglomerację Krakowską, Strefę Tarnów – czyli miasto o liczbie mieszkańców powyżej 100 tys. oraz strefę małopolską, czyli pozostały obszar województwa. Gminy obszaru LGD zaliczono do strefy małopolskiej. </w:t>
      </w:r>
    </w:p>
    <w:p w14:paraId="27947C2E">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Na obszarze gmin LGD w 2021 r. wystąpiły przekroczenia: poziomu dopuszczalnego pyłu zawieszonego PM10 (cały obszar poza gminą Tokarnia), poziomu dopuszczalnego pyłu zawieszonego PM2,5 dla I fazy (Gmina Myślenice) oraz dla II fazy (cały obszar poza gminami Tokarnia i Wiśniowa), poziomu docelowego B(a)P w pyle zawieszonym PM10 (cały obszar) oraz poziomu celu długoterminowego O</w:t>
      </w:r>
      <w:r>
        <w:rPr>
          <w:rFonts w:ascii="Times New Roman" w:hAnsi="Times New Roman" w:cs="Times New Roman"/>
          <w:vertAlign w:val="subscript"/>
        </w:rPr>
        <w:t xml:space="preserve">3 </w:t>
      </w:r>
      <w:r>
        <w:rPr>
          <w:rFonts w:ascii="Times New Roman" w:hAnsi="Times New Roman" w:cs="Times New Roman"/>
        </w:rPr>
        <w:t>– pod kątem ochrony roślin (cały obszar) i pod kątem ochrony zdrowia (cały obszar)</w:t>
      </w:r>
      <w:r>
        <w:rPr>
          <w:rFonts w:ascii="Times New Roman" w:hAnsi="Times New Roman" w:cs="Times New Roman"/>
          <w:color w:val="000000" w:themeColor="text1"/>
          <w14:textFill>
            <w14:solidFill>
              <w14:schemeClr w14:val="tx1"/>
            </w14:solidFill>
          </w14:textFill>
        </w:rPr>
        <w:t>.</w:t>
      </w:r>
    </w:p>
    <w:p w14:paraId="42218A6E">
      <w:pPr>
        <w:spacing w:after="0" w:line="276" w:lineRule="auto"/>
        <w:ind w:firstLine="709"/>
        <w:jc w:val="both"/>
        <w:rPr>
          <w:rFonts w:ascii="Times New Roman" w:hAnsi="Times New Roman"/>
          <w:szCs w:val="20"/>
        </w:rPr>
      </w:pPr>
      <w:r>
        <w:rPr>
          <w:rFonts w:ascii="Times New Roman" w:hAnsi="Times New Roman"/>
          <w:szCs w:val="20"/>
        </w:rPr>
        <w:t>Średni udział wydatków na gospodarkę komunalną i ochronę środowiska w wydatkach ogółem jednostek samorządu terytorialnego wchodzących w skład LGD w latach 2016–2021 wyniósł 7,5%. Wynik ten był niższy od średniej dla Polski (8,1%) oraz niższy od wyniku województwa małopolskiego (9,5%). Wewnątrz obszaru najwyższy udział wydatków na gospodarkę komunalną i ochronę środowiska w wydatkach ogółem występuje w Gminie Myślenice – 9,7%, natomiast najniższy w Gminie Wiśniowa – 4,3%</w:t>
      </w:r>
      <w:r>
        <w:rPr>
          <w:rFonts w:ascii="Times New Roman" w:hAnsi="Times New Roman"/>
          <w:szCs w:val="20"/>
          <w:vertAlign w:val="superscript"/>
        </w:rPr>
        <w:footnoteReference w:id="20"/>
      </w:r>
      <w:r>
        <w:rPr>
          <w:rFonts w:ascii="Times New Roman" w:hAnsi="Times New Roman"/>
          <w:szCs w:val="20"/>
        </w:rPr>
        <w:t>.</w:t>
      </w:r>
    </w:p>
    <w:p w14:paraId="47BE0DF6">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 xml:space="preserve">W trakcie spotkań warsztatowych oraz w badaniach ankietowych mieszkańcy wskazywali </w:t>
      </w:r>
      <w:r>
        <w:rPr>
          <w:rFonts w:ascii="Times New Roman" w:hAnsi="Times New Roman" w:cs="Times New Roman"/>
          <w:color w:val="000000" w:themeColor="text1"/>
          <w14:textFill>
            <w14:solidFill>
              <w14:schemeClr w14:val="tx1"/>
            </w14:solidFill>
          </w14:textFill>
        </w:rPr>
        <w:t>głównie walory krajobrazowe jako szansę na rozwój obszaru. Natomiast często jako problem była wymieniana niedostateczna wiedza mieszkańców na temat działań proekologicznych. Zagrożenia można upatrywać w zmianach klimatycznych powodujących ekstremalne zjawiska pogodowe, które prowadzą do powodzi czy suszy oraz w zanieczyszczeniu środowiska naturalnego. Przeszkodą, głównie przy budowaniu nowej infrastruktury turystycznej i rekreacyjnej, mogą być przepisy prawne związane z prawem budowlanym i dokumentami regulującymi ochronę środowiska.</w:t>
      </w:r>
    </w:p>
    <w:p w14:paraId="1A4890E6">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Ogromny wpływ na rozwój obszaru oraz stworzenie miejsca dobrego do życia ma obecność terenów cennych przyrodniczo. Oferta rekreacyjna nadal jest zbyt mało atrakcyjna. Ważne jest przyciągnięcie większej liczby inwestorów oraz spełnienie oczekiwań mieszkańców, a także osób z sąsiednich ośrodków miejskich i gospodarczych, chcących osiedlać się właśnie tutaj, z dala od miejskiego zgiełku. Wpłynie to na zwiększenie spójności i powiązań między obszarem a tymi ośrodkami – mieszkańcy obszaru LGD często wyjeżdżają do tych ośrodków do pracy, a mieszkańcy tych ośrodków będą przyjeżdżać w czasie wolnym do obszaru działania LGD.</w:t>
      </w:r>
    </w:p>
    <w:p w14:paraId="4D93373A">
      <w:pPr>
        <w:pStyle w:val="28"/>
        <w:numPr>
          <w:ilvl w:val="1"/>
          <w:numId w:val="15"/>
        </w:numPr>
        <w:spacing w:before="240"/>
        <w:rPr>
          <w:rFonts w:ascii="Times New Roman" w:hAnsi="Times New Roman" w:cs="Times New Roman"/>
          <w:b/>
          <w:bCs/>
        </w:rPr>
      </w:pPr>
      <w:r>
        <w:rPr>
          <w:rFonts w:ascii="Times New Roman" w:hAnsi="Times New Roman" w:cs="Times New Roman"/>
          <w:b/>
          <w:bCs/>
        </w:rPr>
        <w:t>Przestrzeń, infrastruktura i dostęp do usług</w:t>
      </w:r>
    </w:p>
    <w:p w14:paraId="23BA786D">
      <w:pPr>
        <w:spacing w:after="0" w:line="276" w:lineRule="auto"/>
        <w:ind w:firstLine="708"/>
        <w:jc w:val="both"/>
        <w:rPr>
          <w:rFonts w:ascii="Times New Roman" w:hAnsi="Times New Roman" w:cs="Times New Roman"/>
        </w:rPr>
      </w:pPr>
      <w:r>
        <w:rPr>
          <w:rFonts w:ascii="Times New Roman" w:hAnsi="Times New Roman" w:cs="Times New Roman"/>
        </w:rPr>
        <w:t xml:space="preserve">W kontekście przestrzeni istotny jest poziom wykorzystania instrumentów planowania przestrzeni. Bada się go m.in. poprzez wskaźnik </w:t>
      </w:r>
      <w:r>
        <w:rPr>
          <w:rFonts w:ascii="Times New Roman" w:hAnsi="Times New Roman" w:cs="Times New Roman"/>
          <w:i/>
          <w:iCs/>
        </w:rPr>
        <w:t xml:space="preserve">udział powierzchni gminy objętej obowiązującymi miejscowymi planami zagospodarowania przestrzennego w powierzchni ogółem (%). </w:t>
      </w:r>
      <w:r>
        <w:rPr>
          <w:rFonts w:ascii="Times New Roman" w:hAnsi="Times New Roman" w:cs="Times New Roman"/>
        </w:rPr>
        <w:t>Wysoki stopień pokrycia powierzchni gminy MPZP świadczy o świadomym podejściu lokalnych władz do planowania przestrzeni. Nie w każdej z gmin obszaru LGD Między Dalinem i Gościbią występują tereny objęte miejscowymi planami zagospodarowania przestrzennego – Gmina Raciechowice pod tym względem wyróżnia się brakiem posiadania obowiązujących miejscowych planów zagospodarowania przestrzennego. Natomiast obszar gmin Pcim, Tokarnia, Sułkowice, Wiśniowa w całości został objęty planami zagospodarowania przestrzennego. Równie dobrze kształtuje się sytuacja w Gminie Lubień – wskaźnik wyniósł tam 99,9%, gorzej w Gminie Myślenice – 79,6%, natomiast w porównaniu do średniej kraju (31,7%) oraz województwa (69,1%)</w:t>
      </w:r>
      <w:r>
        <w:rPr>
          <w:rFonts w:ascii="Times New Roman" w:hAnsi="Times New Roman" w:cs="Times New Roman"/>
          <w:vertAlign w:val="superscript"/>
        </w:rPr>
        <w:footnoteReference w:id="21"/>
      </w:r>
      <w:r>
        <w:rPr>
          <w:rFonts w:ascii="Times New Roman" w:hAnsi="Times New Roman" w:cs="Times New Roman"/>
        </w:rPr>
        <w:t xml:space="preserve"> jest to nadal bardzo dobry wynik. </w:t>
      </w:r>
    </w:p>
    <w:p w14:paraId="2CC8B93E">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Jakość i dostęp do infrastruktury to elementy podstawowe takie jak infrastruktura techniczna: wodociągowa, kanalizacyjna, gazowa itp. Na wykresie 12 zobrazowano graficznie </w:t>
      </w:r>
      <w:r>
        <w:rPr>
          <w:rFonts w:ascii="Times New Roman" w:hAnsi="Times New Roman" w:cs="Times New Roman"/>
          <w:i/>
          <w:iCs/>
          <w:color w:val="000000" w:themeColor="text1"/>
          <w14:textFill>
            <w14:solidFill>
              <w14:schemeClr w14:val="tx1"/>
            </w14:solidFill>
          </w14:textFill>
        </w:rPr>
        <w:t xml:space="preserve">udział % korzystających z instalacji w ogóle ludności </w:t>
      </w:r>
      <w:r>
        <w:rPr>
          <w:rFonts w:ascii="Times New Roman" w:hAnsi="Times New Roman" w:cs="Times New Roman"/>
          <w:color w:val="000000" w:themeColor="text1"/>
          <w14:textFill>
            <w14:solidFill>
              <w14:schemeClr w14:val="tx1"/>
            </w14:solidFill>
          </w14:textFill>
        </w:rPr>
        <w:t>średnio na obszarze LGD, województwie małopolskim oraz w Polsce w 2020 r.</w:t>
      </w:r>
    </w:p>
    <w:p w14:paraId="4F7835BE">
      <w:pPr>
        <w:spacing w:after="0" w:line="276" w:lineRule="auto"/>
        <w:ind w:firstLine="708"/>
        <w:jc w:val="both"/>
        <w:rPr>
          <w:rFonts w:ascii="Times New Roman" w:hAnsi="Times New Roman" w:cs="Times New Roman"/>
          <w:color w:val="000000" w:themeColor="text1"/>
          <w14:textFill>
            <w14:solidFill>
              <w14:schemeClr w14:val="tx1"/>
            </w14:solidFill>
          </w14:textFill>
        </w:rPr>
        <w:sectPr>
          <w:pgSz w:w="11906" w:h="16838"/>
          <w:pgMar w:top="851" w:right="851" w:bottom="851" w:left="851" w:header="709" w:footer="709" w:gutter="0"/>
          <w:cols w:space="708" w:num="1"/>
          <w:titlePg/>
          <w:docGrid w:linePitch="360" w:charSpace="0"/>
        </w:sectPr>
      </w:pPr>
      <w:r>
        <w:rPr>
          <w:rFonts w:ascii="Times New Roman" w:hAnsi="Times New Roman" w:cs="Times New Roman"/>
          <w:color w:val="000000" w:themeColor="text1"/>
          <w14:textFill>
            <w14:solidFill>
              <w14:schemeClr w14:val="tx1"/>
            </w14:solidFill>
          </w14:textFill>
        </w:rPr>
        <w:t xml:space="preserve">W 2020 r. z sieci wodociągowej korzystało 41,8% mieszkańców obszaru LGD. Była to wartość znacznie niższa niż średnia dla kraju (92,2%) i województwa (81,9%), przy czym wewnątrz obszaru najniższy odsetek osób korzystających z sieci wodociągowej występował w Gminie Tokarnia i wynosił w 2020 r. 0, ze względu na fakt, że w gminie rozwinięta jest prywatna sieć przesyłowa w tym zakresie. Udział osób korzystających z sieci kanalizacyjnej w 2020 r. wyniósł na obszarze LGD 42,6% i był również niższy niż średnia dla województwa (64,6%) oraz niższy niż średnia dla kraju (71,5%). Najmniej korzystna sytuacja w tym zakresie występowała w Gminie Raciechowice – 13,0%. W zakresie osób korzystających z sieci gazowej ich odsetek na obszarze LGD jest niższy niż średnio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województwie i kraju, w 2020 r. wyniósł 43,7%, przy 64,8% w województwie oraz 54,2% w kraju. </w:t>
      </w:r>
      <w:bookmarkStart w:id="102" w:name="_Toc112838980"/>
      <w:bookmarkStart w:id="103" w:name="_Toc134966324"/>
    </w:p>
    <w:p w14:paraId="3AD27CA7">
      <w:pPr>
        <w:pStyle w:val="9"/>
        <w:spacing w:before="120" w:after="0"/>
        <w:jc w:val="center"/>
        <w:rPr>
          <w:rFonts w:ascii="Times New Roman" w:hAnsi="Times New Roman" w:cs="Times New Roman"/>
          <w:b/>
          <w:bCs/>
          <w:color w:val="000000" w:themeColor="text1"/>
          <w:sz w:val="20"/>
          <w:szCs w:val="20"/>
          <w14:textFill>
            <w14:solidFill>
              <w14:schemeClr w14:val="tx1"/>
            </w14:solidFill>
          </w14:textFill>
        </w:rPr>
      </w:pPr>
      <w:bookmarkStart w:id="104" w:name="_Toc136240716"/>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12</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Udział % korzystających z instalacji w ogóle ludności na obszarze LGD, w województwie i kraju w 2020 r.</w:t>
      </w:r>
      <w:bookmarkEnd w:id="102"/>
      <w:bookmarkEnd w:id="103"/>
      <w:bookmarkEnd w:id="104"/>
    </w:p>
    <w:p w14:paraId="3804F281">
      <w:pPr>
        <w:spacing w:after="0"/>
        <w:jc w:val="center"/>
      </w:pPr>
      <w:r>
        <w:rPr>
          <w:lang w:eastAsia="pl-PL"/>
        </w:rPr>
        <w:drawing>
          <wp:inline distT="0" distB="0" distL="0" distR="0">
            <wp:extent cx="5071745" cy="168592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D7FE8E">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6D03BBA7">
      <w:pPr>
        <w:spacing w:after="0" w:line="276" w:lineRule="auto"/>
        <w:ind w:firstLine="709"/>
        <w:jc w:val="both"/>
        <w:rPr>
          <w:rFonts w:ascii="Times New Roman" w:hAnsi="Times New Roman" w:cs="Times New Roman"/>
        </w:rPr>
      </w:pPr>
      <w:r>
        <w:rPr>
          <w:rFonts w:ascii="Times New Roman" w:hAnsi="Times New Roman" w:eastAsia="Calibri" w:cs="Times New Roman"/>
          <w:color w:val="000000" w:themeColor="text1"/>
          <w14:textFill>
            <w14:solidFill>
              <w14:schemeClr w14:val="tx1"/>
            </w14:solidFill>
          </w14:textFill>
        </w:rPr>
        <w:t xml:space="preserve">Tam, gdzie nie istnieje sieć kanalizacyjna, funkcjonują bezodpływowe szamba lub przydomowe oczyszczalnie ścieków. Te drugie są tańsze w eksploatacji i przede wszystkim zdecydowanie bardziej przyjazne środowisku. Na obszarze LGD w 2021 r. użytkowano łącznie 512 sztuk przydomowych oczyszczalni ścieków, najwięcej z nich – 198 sztuk funkcjonowało na terenie Gminy Lubień, 123 sztuki w Gminie Myślenice, 76 sztuk </w:t>
      </w:r>
      <w:r>
        <w:rPr>
          <w:rFonts w:ascii="Times New Roman" w:hAnsi="Times New Roman" w:eastAsia="Calibri" w:cs="Times New Roman"/>
          <w:color w:val="000000" w:themeColor="text1"/>
          <w14:textFill>
            <w14:solidFill>
              <w14:schemeClr w14:val="tx1"/>
            </w14:solidFill>
          </w14:textFill>
        </w:rPr>
        <w:br w:type="textWrapping"/>
      </w:r>
      <w:r>
        <w:rPr>
          <w:rFonts w:ascii="Times New Roman" w:hAnsi="Times New Roman" w:eastAsia="Calibri" w:cs="Times New Roman"/>
          <w:color w:val="000000" w:themeColor="text1"/>
          <w14:textFill>
            <w14:solidFill>
              <w14:schemeClr w14:val="tx1"/>
            </w14:solidFill>
          </w14:textFill>
        </w:rPr>
        <w:t>w Gminie Tokarnia, 71 sztuk w Gminie Raciechowice, 29 sztuk w Gminie Wiśniowa, 10 sztuk w Gminie Sułkowice oraz 5 sztuk w Gminie Pcim</w:t>
      </w:r>
      <w:r>
        <w:rPr>
          <w:rFonts w:ascii="Times New Roman" w:hAnsi="Times New Roman" w:eastAsia="Calibri" w:cs="Times New Roman"/>
          <w:color w:val="000000" w:themeColor="text1"/>
          <w:vertAlign w:val="superscript"/>
          <w14:textFill>
            <w14:solidFill>
              <w14:schemeClr w14:val="tx1"/>
            </w14:solidFill>
          </w14:textFill>
        </w:rPr>
        <w:footnoteReference w:id="22"/>
      </w:r>
      <w:r>
        <w:rPr>
          <w:rFonts w:ascii="Times New Roman" w:hAnsi="Times New Roman" w:eastAsia="Calibri" w:cs="Times New Roman"/>
          <w:color w:val="000000" w:themeColor="text1"/>
          <w14:textFill>
            <w14:solidFill>
              <w14:schemeClr w14:val="tx1"/>
            </w14:solidFill>
          </w14:textFill>
        </w:rPr>
        <w:t>.</w:t>
      </w:r>
    </w:p>
    <w:p w14:paraId="17DC8EB4">
      <w:pPr>
        <w:spacing w:after="0" w:line="276" w:lineRule="auto"/>
        <w:ind w:firstLine="709"/>
        <w:jc w:val="both"/>
        <w:rPr>
          <w:rFonts w:ascii="Times New Roman" w:hAnsi="Times New Roman" w:eastAsia="Calibri" w:cs="Times New Roman"/>
          <w:color w:val="000000"/>
          <w:szCs w:val="20"/>
        </w:rPr>
      </w:pPr>
      <w:r>
        <w:rPr>
          <w:rFonts w:ascii="Times New Roman" w:hAnsi="Times New Roman" w:eastAsia="Calibri" w:cs="Times New Roman"/>
          <w:color w:val="000000"/>
          <w:szCs w:val="20"/>
        </w:rPr>
        <w:t>O wysokiej jakości usług publicznych świadczy również dostępność do wychowania przedszkolnego na obszarze danej gminy. Celem wychowania przedszkolnego jest wspieranie całościowego rozwoju dziecka, które powinno być realizowane przez proces opieki, wychowania i nauczania. Dostępność wysokiej jakości opieki przedszkolnej na danym terenie jest jednym z czynników umożliwiających aktywność zawodową rodzicom, dlatego ważne jest nie tylko, aby przedszkola istniały, ale żeby funkcjonowały co najmniej przez 8 godzin dziennie. W tabeli 14 przedstawiono wartości wskaźników</w:t>
      </w:r>
      <w:r>
        <w:rPr>
          <w:rFonts w:ascii="Times New Roman" w:hAnsi="Times New Roman" w:eastAsia="Calibri" w:cs="Times New Roman"/>
          <w:i/>
          <w:iCs/>
          <w:color w:val="000000"/>
          <w:szCs w:val="20"/>
        </w:rPr>
        <w:t xml:space="preserve"> udział dzieci objętych wychowaniem przedszkolnym w ogólnej liczbie dzieci w wieku 3–5 lat</w:t>
      </w:r>
      <w:r>
        <w:rPr>
          <w:rFonts w:ascii="Times New Roman" w:hAnsi="Times New Roman" w:eastAsia="Calibri" w:cs="Times New Roman"/>
          <w:color w:val="000000"/>
          <w:szCs w:val="20"/>
        </w:rPr>
        <w:t xml:space="preserve"> oraz </w:t>
      </w:r>
      <w:r>
        <w:rPr>
          <w:rFonts w:ascii="Times New Roman" w:hAnsi="Times New Roman" w:eastAsia="Calibri" w:cs="Times New Roman"/>
          <w:i/>
          <w:iCs/>
          <w:color w:val="000000"/>
          <w:szCs w:val="20"/>
        </w:rPr>
        <w:t xml:space="preserve">liczba dzieci przypadająca na 1 placówkę wychowania przedszkolnego </w:t>
      </w:r>
      <w:r>
        <w:rPr>
          <w:rFonts w:ascii="Times New Roman" w:hAnsi="Times New Roman" w:eastAsia="Calibri" w:cs="Times New Roman"/>
          <w:color w:val="000000"/>
          <w:szCs w:val="20"/>
        </w:rPr>
        <w:t>w latach 2016–2021.</w:t>
      </w:r>
    </w:p>
    <w:p w14:paraId="39EB49DF">
      <w:pPr>
        <w:pStyle w:val="9"/>
        <w:spacing w:before="240"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05" w:name="_Toc112152415"/>
      <w:bookmarkStart w:id="106" w:name="_Toc136241402"/>
      <w:bookmarkStart w:id="107" w:name="_Toc134966361"/>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14</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Udział dzieci objętych wychowaniem przedszkolnym w ogólnej liczbie dzieci w wieku 3–5 lat oraz liczba dzieci przypadająca na 1 placówkę wychowania przedszkolnego w gminach LGD oraz porównanie średniej obszaru LGD do województwa i kraju w latach 2016–202</w:t>
      </w:r>
      <w:bookmarkEnd w:id="105"/>
      <w:r>
        <w:rPr>
          <w:rFonts w:ascii="Times New Roman" w:hAnsi="Times New Roman" w:cs="Times New Roman"/>
          <w:b/>
          <w:bCs/>
          <w:i w:val="0"/>
          <w:iCs w:val="0"/>
          <w:color w:val="000000" w:themeColor="text1"/>
          <w:sz w:val="20"/>
          <w:szCs w:val="20"/>
          <w14:textFill>
            <w14:solidFill>
              <w14:schemeClr w14:val="tx1"/>
            </w14:solidFill>
          </w14:textFill>
        </w:rPr>
        <w:t>1</w:t>
      </w:r>
      <w:bookmarkEnd w:id="106"/>
      <w:bookmarkEnd w:id="107"/>
    </w:p>
    <w:tbl>
      <w:tblPr>
        <w:tblStyle w:val="6"/>
        <w:tblW w:w="5000" w:type="pct"/>
        <w:tblInd w:w="0" w:type="dxa"/>
        <w:tblLayout w:type="autofit"/>
        <w:tblCellMar>
          <w:top w:w="0" w:type="dxa"/>
          <w:left w:w="70" w:type="dxa"/>
          <w:bottom w:w="0" w:type="dxa"/>
          <w:right w:w="70" w:type="dxa"/>
        </w:tblCellMar>
      </w:tblPr>
      <w:tblGrid>
        <w:gridCol w:w="2973"/>
        <w:gridCol w:w="614"/>
        <w:gridCol w:w="614"/>
        <w:gridCol w:w="614"/>
        <w:gridCol w:w="614"/>
        <w:gridCol w:w="614"/>
        <w:gridCol w:w="614"/>
        <w:gridCol w:w="614"/>
        <w:gridCol w:w="615"/>
        <w:gridCol w:w="615"/>
        <w:gridCol w:w="615"/>
        <w:gridCol w:w="615"/>
        <w:gridCol w:w="613"/>
      </w:tblGrid>
      <w:tr w14:paraId="2D5186AB">
        <w:tblPrEx>
          <w:tblCellMar>
            <w:top w:w="0" w:type="dxa"/>
            <w:left w:w="70" w:type="dxa"/>
            <w:bottom w:w="0" w:type="dxa"/>
            <w:right w:w="70" w:type="dxa"/>
          </w:tblCellMar>
        </w:tblPrEx>
        <w:trPr>
          <w:trHeight w:val="340" w:hRule="atLeast"/>
        </w:trPr>
        <w:tc>
          <w:tcPr>
            <w:tcW w:w="143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7DCD7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781" w:type="pct"/>
            <w:gridSpan w:val="6"/>
            <w:tcBorders>
              <w:top w:val="single" w:color="auto" w:sz="4" w:space="0"/>
              <w:left w:val="nil"/>
              <w:bottom w:val="single" w:color="auto" w:sz="4" w:space="0"/>
              <w:right w:val="single" w:color="auto" w:sz="4" w:space="0"/>
            </w:tcBorders>
            <w:shd w:val="clear" w:color="auto" w:fill="auto"/>
            <w:vAlign w:val="center"/>
          </w:tcPr>
          <w:p w14:paraId="7F3F7BA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 xml:space="preserve">Udział % dzieci objętych wychowaniem przedszkolnym w ogólnej liczbie dzieci </w:t>
            </w:r>
            <w:r>
              <w:rPr>
                <w:rFonts w:ascii="Times New Roman" w:hAnsi="Times New Roman" w:eastAsia="Times New Roman" w:cs="Times New Roman"/>
                <w:b/>
                <w:bCs/>
                <w:color w:val="000000"/>
                <w:sz w:val="20"/>
                <w:szCs w:val="20"/>
                <w:lang w:eastAsia="pl-PL"/>
              </w:rPr>
              <w:br w:type="textWrapping"/>
            </w:r>
            <w:r>
              <w:rPr>
                <w:rFonts w:ascii="Times New Roman" w:hAnsi="Times New Roman" w:eastAsia="Times New Roman" w:cs="Times New Roman"/>
                <w:b/>
                <w:bCs/>
                <w:color w:val="000000"/>
                <w:sz w:val="20"/>
                <w:szCs w:val="20"/>
                <w:lang w:eastAsia="pl-PL"/>
              </w:rPr>
              <w:t>w wieku 3–5 lat</w:t>
            </w:r>
          </w:p>
        </w:tc>
        <w:tc>
          <w:tcPr>
            <w:tcW w:w="1782" w:type="pct"/>
            <w:gridSpan w:val="6"/>
            <w:tcBorders>
              <w:top w:val="single" w:color="auto" w:sz="4" w:space="0"/>
              <w:left w:val="nil"/>
              <w:bottom w:val="single" w:color="auto" w:sz="4" w:space="0"/>
              <w:right w:val="single" w:color="auto" w:sz="4" w:space="0"/>
            </w:tcBorders>
            <w:shd w:val="clear" w:color="auto" w:fill="auto"/>
            <w:vAlign w:val="center"/>
          </w:tcPr>
          <w:p w14:paraId="4177D5C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Liczba dzieci przypadająca na 1 placówkę wychowania przedszkolnego</w:t>
            </w:r>
          </w:p>
        </w:tc>
      </w:tr>
      <w:tr w14:paraId="45EA6AD5">
        <w:tblPrEx>
          <w:tblCellMar>
            <w:top w:w="0" w:type="dxa"/>
            <w:left w:w="70" w:type="dxa"/>
            <w:bottom w:w="0" w:type="dxa"/>
            <w:right w:w="70" w:type="dxa"/>
          </w:tblCellMar>
        </w:tblPrEx>
        <w:trPr>
          <w:trHeight w:val="340" w:hRule="atLeast"/>
        </w:trPr>
        <w:tc>
          <w:tcPr>
            <w:tcW w:w="14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A81142">
            <w:pPr>
              <w:spacing w:after="0" w:line="240" w:lineRule="auto"/>
              <w:rPr>
                <w:rFonts w:ascii="Times New Roman" w:hAnsi="Times New Roman" w:eastAsia="Times New Roman" w:cs="Times New Roman"/>
                <w:b/>
                <w:bCs/>
                <w:color w:val="000000"/>
                <w:sz w:val="20"/>
                <w:szCs w:val="20"/>
                <w:lang w:eastAsia="pl-PL"/>
              </w:rPr>
            </w:pPr>
          </w:p>
        </w:tc>
        <w:tc>
          <w:tcPr>
            <w:tcW w:w="297" w:type="pct"/>
            <w:tcBorders>
              <w:top w:val="nil"/>
              <w:left w:val="nil"/>
              <w:bottom w:val="single" w:color="auto" w:sz="4" w:space="0"/>
              <w:right w:val="single" w:color="auto" w:sz="4" w:space="0"/>
            </w:tcBorders>
            <w:shd w:val="clear" w:color="auto" w:fill="auto"/>
            <w:vAlign w:val="center"/>
          </w:tcPr>
          <w:p w14:paraId="69AAE13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297" w:type="pct"/>
            <w:tcBorders>
              <w:top w:val="nil"/>
              <w:left w:val="nil"/>
              <w:bottom w:val="single" w:color="auto" w:sz="4" w:space="0"/>
              <w:right w:val="single" w:color="auto" w:sz="4" w:space="0"/>
            </w:tcBorders>
            <w:shd w:val="clear" w:color="auto" w:fill="auto"/>
            <w:vAlign w:val="center"/>
          </w:tcPr>
          <w:p w14:paraId="5B8F362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297" w:type="pct"/>
            <w:tcBorders>
              <w:top w:val="nil"/>
              <w:left w:val="nil"/>
              <w:bottom w:val="single" w:color="auto" w:sz="4" w:space="0"/>
              <w:right w:val="single" w:color="auto" w:sz="4" w:space="0"/>
            </w:tcBorders>
            <w:shd w:val="clear" w:color="auto" w:fill="auto"/>
            <w:vAlign w:val="center"/>
          </w:tcPr>
          <w:p w14:paraId="201D45F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297" w:type="pct"/>
            <w:tcBorders>
              <w:top w:val="nil"/>
              <w:left w:val="nil"/>
              <w:bottom w:val="single" w:color="auto" w:sz="4" w:space="0"/>
              <w:right w:val="single" w:color="auto" w:sz="4" w:space="0"/>
            </w:tcBorders>
            <w:shd w:val="clear" w:color="auto" w:fill="auto"/>
            <w:vAlign w:val="center"/>
          </w:tcPr>
          <w:p w14:paraId="1E11FFB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97" w:type="pct"/>
            <w:tcBorders>
              <w:top w:val="nil"/>
              <w:left w:val="nil"/>
              <w:bottom w:val="single" w:color="auto" w:sz="4" w:space="0"/>
              <w:right w:val="single" w:color="auto" w:sz="4" w:space="0"/>
            </w:tcBorders>
            <w:shd w:val="clear" w:color="auto" w:fill="auto"/>
            <w:vAlign w:val="center"/>
          </w:tcPr>
          <w:p w14:paraId="338C6B1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97" w:type="pct"/>
            <w:tcBorders>
              <w:top w:val="nil"/>
              <w:left w:val="nil"/>
              <w:bottom w:val="single" w:color="auto" w:sz="4" w:space="0"/>
              <w:right w:val="single" w:color="auto" w:sz="4" w:space="0"/>
            </w:tcBorders>
            <w:shd w:val="clear" w:color="auto" w:fill="auto"/>
            <w:vAlign w:val="center"/>
          </w:tcPr>
          <w:p w14:paraId="2CF5607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297" w:type="pct"/>
            <w:tcBorders>
              <w:top w:val="nil"/>
              <w:left w:val="nil"/>
              <w:bottom w:val="single" w:color="auto" w:sz="4" w:space="0"/>
              <w:right w:val="single" w:color="auto" w:sz="4" w:space="0"/>
            </w:tcBorders>
            <w:shd w:val="clear" w:color="auto" w:fill="auto"/>
            <w:vAlign w:val="center"/>
          </w:tcPr>
          <w:p w14:paraId="5C82B2E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297" w:type="pct"/>
            <w:tcBorders>
              <w:top w:val="nil"/>
              <w:left w:val="nil"/>
              <w:bottom w:val="single" w:color="auto" w:sz="4" w:space="0"/>
              <w:right w:val="single" w:color="auto" w:sz="4" w:space="0"/>
            </w:tcBorders>
            <w:shd w:val="clear" w:color="auto" w:fill="auto"/>
            <w:vAlign w:val="center"/>
          </w:tcPr>
          <w:p w14:paraId="1D15796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297" w:type="pct"/>
            <w:tcBorders>
              <w:top w:val="nil"/>
              <w:left w:val="nil"/>
              <w:bottom w:val="single" w:color="auto" w:sz="4" w:space="0"/>
              <w:right w:val="single" w:color="auto" w:sz="4" w:space="0"/>
            </w:tcBorders>
            <w:shd w:val="clear" w:color="auto" w:fill="auto"/>
            <w:vAlign w:val="center"/>
          </w:tcPr>
          <w:p w14:paraId="5BDEE3B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297" w:type="pct"/>
            <w:tcBorders>
              <w:top w:val="nil"/>
              <w:left w:val="nil"/>
              <w:bottom w:val="single" w:color="auto" w:sz="4" w:space="0"/>
              <w:right w:val="single" w:color="auto" w:sz="4" w:space="0"/>
            </w:tcBorders>
            <w:shd w:val="clear" w:color="auto" w:fill="auto"/>
            <w:vAlign w:val="center"/>
          </w:tcPr>
          <w:p w14:paraId="10D3D7E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97" w:type="pct"/>
            <w:tcBorders>
              <w:top w:val="nil"/>
              <w:left w:val="nil"/>
              <w:bottom w:val="single" w:color="auto" w:sz="4" w:space="0"/>
              <w:right w:val="single" w:color="auto" w:sz="4" w:space="0"/>
            </w:tcBorders>
            <w:shd w:val="clear" w:color="auto" w:fill="auto"/>
            <w:vAlign w:val="center"/>
          </w:tcPr>
          <w:p w14:paraId="2A0D7CC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97" w:type="pct"/>
            <w:tcBorders>
              <w:top w:val="nil"/>
              <w:left w:val="nil"/>
              <w:bottom w:val="single" w:color="auto" w:sz="4" w:space="0"/>
              <w:right w:val="single" w:color="auto" w:sz="4" w:space="0"/>
            </w:tcBorders>
            <w:shd w:val="clear" w:color="auto" w:fill="auto"/>
            <w:vAlign w:val="center"/>
          </w:tcPr>
          <w:p w14:paraId="62788DF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r>
      <w:tr w14:paraId="4F32B58F">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4D115920">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297" w:type="pct"/>
            <w:tcBorders>
              <w:top w:val="nil"/>
              <w:left w:val="nil"/>
              <w:bottom w:val="single" w:color="auto" w:sz="4" w:space="0"/>
              <w:right w:val="single" w:color="auto" w:sz="4" w:space="0"/>
            </w:tcBorders>
            <w:shd w:val="clear" w:color="auto" w:fill="auto"/>
            <w:noWrap/>
            <w:vAlign w:val="center"/>
          </w:tcPr>
          <w:p w14:paraId="2D95021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73</w:t>
            </w:r>
          </w:p>
        </w:tc>
        <w:tc>
          <w:tcPr>
            <w:tcW w:w="297" w:type="pct"/>
            <w:tcBorders>
              <w:top w:val="nil"/>
              <w:left w:val="nil"/>
              <w:bottom w:val="single" w:color="auto" w:sz="4" w:space="0"/>
              <w:right w:val="single" w:color="auto" w:sz="4" w:space="0"/>
            </w:tcBorders>
            <w:shd w:val="clear" w:color="auto" w:fill="auto"/>
            <w:noWrap/>
            <w:vAlign w:val="center"/>
          </w:tcPr>
          <w:p w14:paraId="487EABB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c>
          <w:tcPr>
            <w:tcW w:w="297" w:type="pct"/>
            <w:tcBorders>
              <w:top w:val="nil"/>
              <w:left w:val="nil"/>
              <w:bottom w:val="single" w:color="auto" w:sz="4" w:space="0"/>
              <w:right w:val="single" w:color="auto" w:sz="4" w:space="0"/>
            </w:tcBorders>
            <w:shd w:val="clear" w:color="auto" w:fill="auto"/>
            <w:noWrap/>
            <w:vAlign w:val="center"/>
          </w:tcPr>
          <w:p w14:paraId="3E8E402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72400C9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87</w:t>
            </w:r>
          </w:p>
        </w:tc>
        <w:tc>
          <w:tcPr>
            <w:tcW w:w="297" w:type="pct"/>
            <w:tcBorders>
              <w:top w:val="nil"/>
              <w:left w:val="nil"/>
              <w:bottom w:val="single" w:color="auto" w:sz="4" w:space="0"/>
              <w:right w:val="single" w:color="auto" w:sz="4" w:space="0"/>
            </w:tcBorders>
            <w:shd w:val="clear" w:color="auto" w:fill="auto"/>
            <w:noWrap/>
            <w:vAlign w:val="center"/>
          </w:tcPr>
          <w:p w14:paraId="1E307A7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44D7E1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28FA9D7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w:t>
            </w:r>
          </w:p>
        </w:tc>
        <w:tc>
          <w:tcPr>
            <w:tcW w:w="297" w:type="pct"/>
            <w:tcBorders>
              <w:top w:val="nil"/>
              <w:left w:val="nil"/>
              <w:bottom w:val="single" w:color="auto" w:sz="4" w:space="0"/>
              <w:right w:val="single" w:color="auto" w:sz="4" w:space="0"/>
            </w:tcBorders>
            <w:shd w:val="clear" w:color="auto" w:fill="auto"/>
            <w:noWrap/>
            <w:vAlign w:val="center"/>
          </w:tcPr>
          <w:p w14:paraId="3178C23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w:t>
            </w:r>
          </w:p>
        </w:tc>
        <w:tc>
          <w:tcPr>
            <w:tcW w:w="297" w:type="pct"/>
            <w:tcBorders>
              <w:top w:val="nil"/>
              <w:left w:val="nil"/>
              <w:bottom w:val="single" w:color="auto" w:sz="4" w:space="0"/>
              <w:right w:val="single" w:color="auto" w:sz="4" w:space="0"/>
            </w:tcBorders>
            <w:shd w:val="clear" w:color="auto" w:fill="auto"/>
            <w:noWrap/>
            <w:vAlign w:val="center"/>
          </w:tcPr>
          <w:p w14:paraId="00BF90D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76</w:t>
            </w:r>
          </w:p>
        </w:tc>
        <w:tc>
          <w:tcPr>
            <w:tcW w:w="297" w:type="pct"/>
            <w:tcBorders>
              <w:top w:val="nil"/>
              <w:left w:val="nil"/>
              <w:bottom w:val="single" w:color="auto" w:sz="4" w:space="0"/>
              <w:right w:val="single" w:color="auto" w:sz="4" w:space="0"/>
            </w:tcBorders>
            <w:shd w:val="clear" w:color="auto" w:fill="auto"/>
            <w:noWrap/>
            <w:vAlign w:val="center"/>
          </w:tcPr>
          <w:p w14:paraId="502498A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70</w:t>
            </w:r>
          </w:p>
        </w:tc>
        <w:tc>
          <w:tcPr>
            <w:tcW w:w="297" w:type="pct"/>
            <w:tcBorders>
              <w:top w:val="nil"/>
              <w:left w:val="nil"/>
              <w:bottom w:val="single" w:color="auto" w:sz="4" w:space="0"/>
              <w:right w:val="single" w:color="auto" w:sz="4" w:space="0"/>
            </w:tcBorders>
            <w:shd w:val="clear" w:color="auto" w:fill="auto"/>
            <w:noWrap/>
            <w:vAlign w:val="center"/>
          </w:tcPr>
          <w:p w14:paraId="2700B42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77</w:t>
            </w:r>
          </w:p>
        </w:tc>
        <w:tc>
          <w:tcPr>
            <w:tcW w:w="297" w:type="pct"/>
            <w:tcBorders>
              <w:top w:val="nil"/>
              <w:left w:val="nil"/>
              <w:bottom w:val="single" w:color="auto" w:sz="4" w:space="0"/>
              <w:right w:val="single" w:color="auto" w:sz="4" w:space="0"/>
            </w:tcBorders>
            <w:shd w:val="clear" w:color="auto" w:fill="auto"/>
            <w:noWrap/>
            <w:vAlign w:val="center"/>
          </w:tcPr>
          <w:p w14:paraId="610D1D8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r>
      <w:tr w14:paraId="1D606C26">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676C0FE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297" w:type="pct"/>
            <w:tcBorders>
              <w:top w:val="nil"/>
              <w:left w:val="nil"/>
              <w:bottom w:val="single" w:color="auto" w:sz="4" w:space="0"/>
              <w:right w:val="single" w:color="auto" w:sz="4" w:space="0"/>
            </w:tcBorders>
            <w:shd w:val="clear" w:color="auto" w:fill="auto"/>
            <w:noWrap/>
            <w:vAlign w:val="center"/>
          </w:tcPr>
          <w:p w14:paraId="37AB12C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38FBE11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w:t>
            </w:r>
          </w:p>
        </w:tc>
        <w:tc>
          <w:tcPr>
            <w:tcW w:w="297" w:type="pct"/>
            <w:tcBorders>
              <w:top w:val="nil"/>
              <w:left w:val="nil"/>
              <w:bottom w:val="single" w:color="auto" w:sz="4" w:space="0"/>
              <w:right w:val="single" w:color="auto" w:sz="4" w:space="0"/>
            </w:tcBorders>
            <w:shd w:val="clear" w:color="auto" w:fill="auto"/>
            <w:noWrap/>
            <w:vAlign w:val="center"/>
          </w:tcPr>
          <w:p w14:paraId="31F6FAC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93</w:t>
            </w:r>
          </w:p>
        </w:tc>
        <w:tc>
          <w:tcPr>
            <w:tcW w:w="297" w:type="pct"/>
            <w:tcBorders>
              <w:top w:val="nil"/>
              <w:left w:val="nil"/>
              <w:bottom w:val="single" w:color="auto" w:sz="4" w:space="0"/>
              <w:right w:val="single" w:color="auto" w:sz="4" w:space="0"/>
            </w:tcBorders>
            <w:shd w:val="clear" w:color="auto" w:fill="auto"/>
            <w:noWrap/>
            <w:vAlign w:val="center"/>
          </w:tcPr>
          <w:p w14:paraId="6B00ADA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94</w:t>
            </w:r>
          </w:p>
        </w:tc>
        <w:tc>
          <w:tcPr>
            <w:tcW w:w="297" w:type="pct"/>
            <w:tcBorders>
              <w:top w:val="nil"/>
              <w:left w:val="nil"/>
              <w:bottom w:val="single" w:color="auto" w:sz="4" w:space="0"/>
              <w:right w:val="single" w:color="auto" w:sz="4" w:space="0"/>
            </w:tcBorders>
            <w:shd w:val="clear" w:color="auto" w:fill="auto"/>
            <w:noWrap/>
            <w:vAlign w:val="center"/>
          </w:tcPr>
          <w:p w14:paraId="1413442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90</w:t>
            </w:r>
          </w:p>
        </w:tc>
        <w:tc>
          <w:tcPr>
            <w:tcW w:w="297" w:type="pct"/>
            <w:tcBorders>
              <w:top w:val="nil"/>
              <w:left w:val="nil"/>
              <w:bottom w:val="single" w:color="auto" w:sz="4" w:space="0"/>
              <w:right w:val="single" w:color="auto" w:sz="4" w:space="0"/>
            </w:tcBorders>
            <w:shd w:val="clear" w:color="auto" w:fill="auto"/>
            <w:noWrap/>
            <w:vAlign w:val="center"/>
          </w:tcPr>
          <w:p w14:paraId="422952B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w:t>
            </w:r>
          </w:p>
        </w:tc>
        <w:tc>
          <w:tcPr>
            <w:tcW w:w="297" w:type="pct"/>
            <w:tcBorders>
              <w:top w:val="nil"/>
              <w:left w:val="nil"/>
              <w:bottom w:val="single" w:color="auto" w:sz="4" w:space="0"/>
              <w:right w:val="single" w:color="auto" w:sz="4" w:space="0"/>
            </w:tcBorders>
            <w:shd w:val="clear" w:color="auto" w:fill="auto"/>
            <w:noWrap/>
            <w:vAlign w:val="center"/>
          </w:tcPr>
          <w:p w14:paraId="193F786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71</w:t>
            </w:r>
          </w:p>
        </w:tc>
        <w:tc>
          <w:tcPr>
            <w:tcW w:w="297" w:type="pct"/>
            <w:tcBorders>
              <w:top w:val="nil"/>
              <w:left w:val="nil"/>
              <w:bottom w:val="single" w:color="auto" w:sz="4" w:space="0"/>
              <w:right w:val="single" w:color="auto" w:sz="4" w:space="0"/>
            </w:tcBorders>
            <w:shd w:val="clear" w:color="auto" w:fill="auto"/>
            <w:vAlign w:val="center"/>
          </w:tcPr>
          <w:p w14:paraId="32FA493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w:t>
            </w:r>
          </w:p>
        </w:tc>
        <w:tc>
          <w:tcPr>
            <w:tcW w:w="297" w:type="pct"/>
            <w:tcBorders>
              <w:top w:val="nil"/>
              <w:left w:val="nil"/>
              <w:bottom w:val="single" w:color="auto" w:sz="4" w:space="0"/>
              <w:right w:val="single" w:color="auto" w:sz="4" w:space="0"/>
            </w:tcBorders>
            <w:shd w:val="clear" w:color="auto" w:fill="auto"/>
            <w:vAlign w:val="center"/>
          </w:tcPr>
          <w:p w14:paraId="46D8190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66</w:t>
            </w:r>
          </w:p>
        </w:tc>
        <w:tc>
          <w:tcPr>
            <w:tcW w:w="297" w:type="pct"/>
            <w:tcBorders>
              <w:top w:val="nil"/>
              <w:left w:val="nil"/>
              <w:bottom w:val="single" w:color="auto" w:sz="4" w:space="0"/>
              <w:right w:val="single" w:color="auto" w:sz="4" w:space="0"/>
            </w:tcBorders>
            <w:shd w:val="clear" w:color="auto" w:fill="auto"/>
            <w:vAlign w:val="center"/>
          </w:tcPr>
          <w:p w14:paraId="6B45DF8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68</w:t>
            </w:r>
          </w:p>
        </w:tc>
        <w:tc>
          <w:tcPr>
            <w:tcW w:w="297" w:type="pct"/>
            <w:tcBorders>
              <w:top w:val="nil"/>
              <w:left w:val="nil"/>
              <w:bottom w:val="single" w:color="auto" w:sz="4" w:space="0"/>
              <w:right w:val="single" w:color="auto" w:sz="4" w:space="0"/>
            </w:tcBorders>
            <w:shd w:val="clear" w:color="auto" w:fill="auto"/>
            <w:vAlign w:val="center"/>
          </w:tcPr>
          <w:p w14:paraId="729D867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68</w:t>
            </w:r>
          </w:p>
        </w:tc>
        <w:tc>
          <w:tcPr>
            <w:tcW w:w="297" w:type="pct"/>
            <w:tcBorders>
              <w:top w:val="nil"/>
              <w:left w:val="nil"/>
              <w:bottom w:val="single" w:color="auto" w:sz="4" w:space="0"/>
              <w:right w:val="single" w:color="auto" w:sz="4" w:space="0"/>
            </w:tcBorders>
            <w:shd w:val="clear" w:color="auto" w:fill="auto"/>
            <w:vAlign w:val="center"/>
          </w:tcPr>
          <w:p w14:paraId="4657478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66</w:t>
            </w:r>
          </w:p>
        </w:tc>
      </w:tr>
      <w:tr w14:paraId="1A0B55A8">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1721C0A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297" w:type="pct"/>
            <w:tcBorders>
              <w:top w:val="nil"/>
              <w:left w:val="nil"/>
              <w:bottom w:val="single" w:color="auto" w:sz="4" w:space="0"/>
              <w:right w:val="single" w:color="auto" w:sz="4" w:space="0"/>
            </w:tcBorders>
            <w:shd w:val="clear" w:color="auto" w:fill="auto"/>
            <w:noWrap/>
            <w:vAlign w:val="center"/>
          </w:tcPr>
          <w:p w14:paraId="04E982A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78</w:t>
            </w:r>
          </w:p>
        </w:tc>
        <w:tc>
          <w:tcPr>
            <w:tcW w:w="297" w:type="pct"/>
            <w:tcBorders>
              <w:top w:val="nil"/>
              <w:left w:val="nil"/>
              <w:bottom w:val="single" w:color="auto" w:sz="4" w:space="0"/>
              <w:right w:val="single" w:color="auto" w:sz="4" w:space="0"/>
            </w:tcBorders>
            <w:shd w:val="clear" w:color="auto" w:fill="auto"/>
            <w:noWrap/>
            <w:vAlign w:val="center"/>
          </w:tcPr>
          <w:p w14:paraId="0D45A69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c>
          <w:tcPr>
            <w:tcW w:w="297" w:type="pct"/>
            <w:tcBorders>
              <w:top w:val="nil"/>
              <w:left w:val="nil"/>
              <w:bottom w:val="single" w:color="auto" w:sz="4" w:space="0"/>
              <w:right w:val="single" w:color="auto" w:sz="4" w:space="0"/>
            </w:tcBorders>
            <w:shd w:val="clear" w:color="auto" w:fill="auto"/>
            <w:noWrap/>
            <w:vAlign w:val="center"/>
          </w:tcPr>
          <w:p w14:paraId="4414E6F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76</w:t>
            </w:r>
          </w:p>
        </w:tc>
        <w:tc>
          <w:tcPr>
            <w:tcW w:w="297" w:type="pct"/>
            <w:tcBorders>
              <w:top w:val="nil"/>
              <w:left w:val="nil"/>
              <w:bottom w:val="single" w:color="auto" w:sz="4" w:space="0"/>
              <w:right w:val="single" w:color="auto" w:sz="4" w:space="0"/>
            </w:tcBorders>
            <w:shd w:val="clear" w:color="auto" w:fill="auto"/>
            <w:noWrap/>
            <w:vAlign w:val="center"/>
          </w:tcPr>
          <w:p w14:paraId="70ED721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77</w:t>
            </w:r>
          </w:p>
        </w:tc>
        <w:tc>
          <w:tcPr>
            <w:tcW w:w="297" w:type="pct"/>
            <w:tcBorders>
              <w:top w:val="nil"/>
              <w:left w:val="nil"/>
              <w:bottom w:val="single" w:color="auto" w:sz="4" w:space="0"/>
              <w:right w:val="single" w:color="auto" w:sz="4" w:space="0"/>
            </w:tcBorders>
            <w:shd w:val="clear" w:color="auto" w:fill="auto"/>
            <w:noWrap/>
            <w:vAlign w:val="center"/>
          </w:tcPr>
          <w:p w14:paraId="603EA67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76</w:t>
            </w:r>
          </w:p>
        </w:tc>
        <w:tc>
          <w:tcPr>
            <w:tcW w:w="297" w:type="pct"/>
            <w:tcBorders>
              <w:top w:val="nil"/>
              <w:left w:val="nil"/>
              <w:bottom w:val="single" w:color="auto" w:sz="4" w:space="0"/>
              <w:right w:val="single" w:color="auto" w:sz="4" w:space="0"/>
            </w:tcBorders>
            <w:shd w:val="clear" w:color="auto" w:fill="auto"/>
            <w:noWrap/>
            <w:vAlign w:val="center"/>
          </w:tcPr>
          <w:p w14:paraId="5E84C91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74</w:t>
            </w:r>
          </w:p>
        </w:tc>
        <w:tc>
          <w:tcPr>
            <w:tcW w:w="297" w:type="pct"/>
            <w:tcBorders>
              <w:top w:val="nil"/>
              <w:left w:val="nil"/>
              <w:bottom w:val="single" w:color="auto" w:sz="4" w:space="0"/>
              <w:right w:val="single" w:color="auto" w:sz="4" w:space="0"/>
            </w:tcBorders>
            <w:shd w:val="clear" w:color="auto" w:fill="auto"/>
            <w:noWrap/>
            <w:vAlign w:val="center"/>
          </w:tcPr>
          <w:p w14:paraId="272286F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w:t>
            </w:r>
          </w:p>
        </w:tc>
        <w:tc>
          <w:tcPr>
            <w:tcW w:w="297" w:type="pct"/>
            <w:tcBorders>
              <w:top w:val="nil"/>
              <w:left w:val="nil"/>
              <w:bottom w:val="single" w:color="auto" w:sz="4" w:space="0"/>
              <w:right w:val="single" w:color="auto" w:sz="4" w:space="0"/>
            </w:tcBorders>
            <w:shd w:val="clear" w:color="auto" w:fill="auto"/>
            <w:noWrap/>
            <w:vAlign w:val="center"/>
          </w:tcPr>
          <w:p w14:paraId="72A079E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59</w:t>
            </w:r>
          </w:p>
        </w:tc>
        <w:tc>
          <w:tcPr>
            <w:tcW w:w="297" w:type="pct"/>
            <w:tcBorders>
              <w:top w:val="nil"/>
              <w:left w:val="nil"/>
              <w:bottom w:val="single" w:color="auto" w:sz="4" w:space="0"/>
              <w:right w:val="single" w:color="auto" w:sz="4" w:space="0"/>
            </w:tcBorders>
            <w:shd w:val="clear" w:color="auto" w:fill="auto"/>
            <w:noWrap/>
            <w:vAlign w:val="center"/>
          </w:tcPr>
          <w:p w14:paraId="1170D03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65</w:t>
            </w:r>
          </w:p>
        </w:tc>
        <w:tc>
          <w:tcPr>
            <w:tcW w:w="297" w:type="pct"/>
            <w:tcBorders>
              <w:top w:val="nil"/>
              <w:left w:val="nil"/>
              <w:bottom w:val="single" w:color="auto" w:sz="4" w:space="0"/>
              <w:right w:val="single" w:color="auto" w:sz="4" w:space="0"/>
            </w:tcBorders>
            <w:shd w:val="clear" w:color="auto" w:fill="auto"/>
            <w:noWrap/>
            <w:vAlign w:val="center"/>
          </w:tcPr>
          <w:p w14:paraId="2FF14E7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68</w:t>
            </w:r>
          </w:p>
        </w:tc>
        <w:tc>
          <w:tcPr>
            <w:tcW w:w="297" w:type="pct"/>
            <w:tcBorders>
              <w:top w:val="nil"/>
              <w:left w:val="nil"/>
              <w:bottom w:val="single" w:color="auto" w:sz="4" w:space="0"/>
              <w:right w:val="single" w:color="auto" w:sz="4" w:space="0"/>
            </w:tcBorders>
            <w:shd w:val="clear" w:color="auto" w:fill="auto"/>
            <w:noWrap/>
            <w:vAlign w:val="center"/>
          </w:tcPr>
          <w:p w14:paraId="575BD55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69</w:t>
            </w:r>
          </w:p>
        </w:tc>
        <w:tc>
          <w:tcPr>
            <w:tcW w:w="297" w:type="pct"/>
            <w:tcBorders>
              <w:top w:val="nil"/>
              <w:left w:val="nil"/>
              <w:bottom w:val="single" w:color="auto" w:sz="4" w:space="0"/>
              <w:right w:val="single" w:color="auto" w:sz="4" w:space="0"/>
            </w:tcBorders>
            <w:shd w:val="clear" w:color="auto" w:fill="auto"/>
            <w:noWrap/>
            <w:vAlign w:val="center"/>
          </w:tcPr>
          <w:p w14:paraId="7914479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73</w:t>
            </w:r>
          </w:p>
        </w:tc>
      </w:tr>
      <w:tr w14:paraId="783888FD">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3FE1D3C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297" w:type="pct"/>
            <w:tcBorders>
              <w:top w:val="nil"/>
              <w:left w:val="nil"/>
              <w:bottom w:val="single" w:color="auto" w:sz="4" w:space="0"/>
              <w:right w:val="single" w:color="auto" w:sz="4" w:space="0"/>
            </w:tcBorders>
            <w:shd w:val="clear" w:color="auto" w:fill="auto"/>
            <w:noWrap/>
            <w:vAlign w:val="center"/>
          </w:tcPr>
          <w:p w14:paraId="5586CA5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71</w:t>
            </w:r>
          </w:p>
        </w:tc>
        <w:tc>
          <w:tcPr>
            <w:tcW w:w="297" w:type="pct"/>
            <w:tcBorders>
              <w:top w:val="nil"/>
              <w:left w:val="nil"/>
              <w:bottom w:val="single" w:color="auto" w:sz="4" w:space="0"/>
              <w:right w:val="single" w:color="auto" w:sz="4" w:space="0"/>
            </w:tcBorders>
            <w:shd w:val="clear" w:color="auto" w:fill="auto"/>
            <w:noWrap/>
            <w:vAlign w:val="center"/>
          </w:tcPr>
          <w:p w14:paraId="2F0D634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297" w:type="pct"/>
            <w:tcBorders>
              <w:top w:val="nil"/>
              <w:left w:val="nil"/>
              <w:bottom w:val="single" w:color="auto" w:sz="4" w:space="0"/>
              <w:right w:val="single" w:color="auto" w:sz="4" w:space="0"/>
            </w:tcBorders>
            <w:shd w:val="clear" w:color="auto" w:fill="auto"/>
            <w:noWrap/>
            <w:vAlign w:val="center"/>
          </w:tcPr>
          <w:p w14:paraId="2FA6049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297" w:type="pct"/>
            <w:tcBorders>
              <w:top w:val="nil"/>
              <w:left w:val="nil"/>
              <w:bottom w:val="single" w:color="auto" w:sz="4" w:space="0"/>
              <w:right w:val="single" w:color="auto" w:sz="4" w:space="0"/>
            </w:tcBorders>
            <w:shd w:val="clear" w:color="auto" w:fill="auto"/>
            <w:noWrap/>
            <w:vAlign w:val="center"/>
          </w:tcPr>
          <w:p w14:paraId="0F0BDD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554B578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84</w:t>
            </w:r>
          </w:p>
        </w:tc>
        <w:tc>
          <w:tcPr>
            <w:tcW w:w="297" w:type="pct"/>
            <w:tcBorders>
              <w:top w:val="nil"/>
              <w:left w:val="nil"/>
              <w:bottom w:val="single" w:color="auto" w:sz="4" w:space="0"/>
              <w:right w:val="single" w:color="auto" w:sz="4" w:space="0"/>
            </w:tcBorders>
            <w:shd w:val="clear" w:color="auto" w:fill="auto"/>
            <w:noWrap/>
            <w:vAlign w:val="center"/>
          </w:tcPr>
          <w:p w14:paraId="4669B3A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84</w:t>
            </w:r>
          </w:p>
        </w:tc>
        <w:tc>
          <w:tcPr>
            <w:tcW w:w="297" w:type="pct"/>
            <w:tcBorders>
              <w:top w:val="nil"/>
              <w:left w:val="nil"/>
              <w:bottom w:val="single" w:color="auto" w:sz="4" w:space="0"/>
              <w:right w:val="single" w:color="auto" w:sz="4" w:space="0"/>
            </w:tcBorders>
            <w:shd w:val="clear" w:color="auto" w:fill="auto"/>
            <w:noWrap/>
            <w:vAlign w:val="center"/>
          </w:tcPr>
          <w:p w14:paraId="601CFC4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84</w:t>
            </w:r>
          </w:p>
        </w:tc>
        <w:tc>
          <w:tcPr>
            <w:tcW w:w="297" w:type="pct"/>
            <w:tcBorders>
              <w:top w:val="nil"/>
              <w:left w:val="nil"/>
              <w:bottom w:val="single" w:color="auto" w:sz="4" w:space="0"/>
              <w:right w:val="single" w:color="auto" w:sz="4" w:space="0"/>
            </w:tcBorders>
            <w:shd w:val="clear" w:color="auto" w:fill="auto"/>
            <w:noWrap/>
            <w:vAlign w:val="center"/>
          </w:tcPr>
          <w:p w14:paraId="53082DD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77</w:t>
            </w:r>
          </w:p>
        </w:tc>
        <w:tc>
          <w:tcPr>
            <w:tcW w:w="297" w:type="pct"/>
            <w:tcBorders>
              <w:top w:val="nil"/>
              <w:left w:val="nil"/>
              <w:bottom w:val="single" w:color="auto" w:sz="4" w:space="0"/>
              <w:right w:val="single" w:color="auto" w:sz="4" w:space="0"/>
            </w:tcBorders>
            <w:shd w:val="clear" w:color="auto" w:fill="auto"/>
            <w:noWrap/>
            <w:vAlign w:val="center"/>
          </w:tcPr>
          <w:p w14:paraId="7BD3E52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c>
          <w:tcPr>
            <w:tcW w:w="297" w:type="pct"/>
            <w:tcBorders>
              <w:top w:val="nil"/>
              <w:left w:val="nil"/>
              <w:bottom w:val="single" w:color="auto" w:sz="4" w:space="0"/>
              <w:right w:val="single" w:color="auto" w:sz="4" w:space="0"/>
            </w:tcBorders>
            <w:shd w:val="clear" w:color="auto" w:fill="auto"/>
            <w:noWrap/>
            <w:vAlign w:val="center"/>
          </w:tcPr>
          <w:p w14:paraId="0B0AE4A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78</w:t>
            </w:r>
          </w:p>
        </w:tc>
        <w:tc>
          <w:tcPr>
            <w:tcW w:w="297" w:type="pct"/>
            <w:tcBorders>
              <w:top w:val="nil"/>
              <w:left w:val="nil"/>
              <w:bottom w:val="single" w:color="auto" w:sz="4" w:space="0"/>
              <w:right w:val="single" w:color="auto" w:sz="4" w:space="0"/>
            </w:tcBorders>
            <w:shd w:val="clear" w:color="auto" w:fill="auto"/>
            <w:noWrap/>
            <w:vAlign w:val="center"/>
          </w:tcPr>
          <w:p w14:paraId="3BF2D2A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64</w:t>
            </w:r>
          </w:p>
        </w:tc>
        <w:tc>
          <w:tcPr>
            <w:tcW w:w="297" w:type="pct"/>
            <w:tcBorders>
              <w:top w:val="nil"/>
              <w:left w:val="nil"/>
              <w:bottom w:val="single" w:color="auto" w:sz="4" w:space="0"/>
              <w:right w:val="single" w:color="auto" w:sz="4" w:space="0"/>
            </w:tcBorders>
            <w:shd w:val="clear" w:color="auto" w:fill="auto"/>
            <w:noWrap/>
            <w:vAlign w:val="center"/>
          </w:tcPr>
          <w:p w14:paraId="6D873CE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68</w:t>
            </w:r>
          </w:p>
        </w:tc>
      </w:tr>
      <w:tr w14:paraId="661CEA8A">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2BEC43B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297" w:type="pct"/>
            <w:tcBorders>
              <w:top w:val="nil"/>
              <w:left w:val="nil"/>
              <w:bottom w:val="single" w:color="auto" w:sz="4" w:space="0"/>
              <w:right w:val="single" w:color="auto" w:sz="4" w:space="0"/>
            </w:tcBorders>
            <w:shd w:val="clear" w:color="auto" w:fill="auto"/>
            <w:noWrap/>
            <w:vAlign w:val="center"/>
          </w:tcPr>
          <w:p w14:paraId="21EF0D1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76</w:t>
            </w:r>
          </w:p>
        </w:tc>
        <w:tc>
          <w:tcPr>
            <w:tcW w:w="297" w:type="pct"/>
            <w:tcBorders>
              <w:top w:val="nil"/>
              <w:left w:val="nil"/>
              <w:bottom w:val="single" w:color="auto" w:sz="4" w:space="0"/>
              <w:right w:val="single" w:color="auto" w:sz="4" w:space="0"/>
            </w:tcBorders>
            <w:shd w:val="clear" w:color="auto" w:fill="auto"/>
            <w:noWrap/>
            <w:vAlign w:val="center"/>
          </w:tcPr>
          <w:p w14:paraId="6AD6E38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79</w:t>
            </w:r>
          </w:p>
        </w:tc>
        <w:tc>
          <w:tcPr>
            <w:tcW w:w="297" w:type="pct"/>
            <w:tcBorders>
              <w:top w:val="nil"/>
              <w:left w:val="nil"/>
              <w:bottom w:val="single" w:color="auto" w:sz="4" w:space="0"/>
              <w:right w:val="single" w:color="auto" w:sz="4" w:space="0"/>
            </w:tcBorders>
            <w:shd w:val="clear" w:color="auto" w:fill="auto"/>
            <w:noWrap/>
            <w:vAlign w:val="center"/>
          </w:tcPr>
          <w:p w14:paraId="50E2C12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78</w:t>
            </w:r>
          </w:p>
        </w:tc>
        <w:tc>
          <w:tcPr>
            <w:tcW w:w="297" w:type="pct"/>
            <w:tcBorders>
              <w:top w:val="nil"/>
              <w:left w:val="nil"/>
              <w:bottom w:val="single" w:color="auto" w:sz="4" w:space="0"/>
              <w:right w:val="single" w:color="auto" w:sz="4" w:space="0"/>
            </w:tcBorders>
            <w:shd w:val="clear" w:color="auto" w:fill="auto"/>
            <w:noWrap/>
            <w:vAlign w:val="center"/>
          </w:tcPr>
          <w:p w14:paraId="2617CCC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7A18CF0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81</w:t>
            </w:r>
          </w:p>
        </w:tc>
        <w:tc>
          <w:tcPr>
            <w:tcW w:w="297" w:type="pct"/>
            <w:tcBorders>
              <w:top w:val="nil"/>
              <w:left w:val="nil"/>
              <w:bottom w:val="single" w:color="auto" w:sz="4" w:space="0"/>
              <w:right w:val="single" w:color="auto" w:sz="4" w:space="0"/>
            </w:tcBorders>
            <w:shd w:val="clear" w:color="auto" w:fill="auto"/>
            <w:noWrap/>
            <w:vAlign w:val="center"/>
          </w:tcPr>
          <w:p w14:paraId="24CC2C3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297" w:type="pct"/>
            <w:tcBorders>
              <w:top w:val="nil"/>
              <w:left w:val="nil"/>
              <w:bottom w:val="single" w:color="auto" w:sz="4" w:space="0"/>
              <w:right w:val="single" w:color="auto" w:sz="4" w:space="0"/>
            </w:tcBorders>
            <w:shd w:val="clear" w:color="auto" w:fill="auto"/>
            <w:noWrap/>
            <w:vAlign w:val="center"/>
          </w:tcPr>
          <w:p w14:paraId="47C93BF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80</w:t>
            </w:r>
          </w:p>
        </w:tc>
        <w:tc>
          <w:tcPr>
            <w:tcW w:w="297" w:type="pct"/>
            <w:tcBorders>
              <w:top w:val="nil"/>
              <w:left w:val="nil"/>
              <w:bottom w:val="single" w:color="auto" w:sz="4" w:space="0"/>
              <w:right w:val="single" w:color="auto" w:sz="4" w:space="0"/>
            </w:tcBorders>
            <w:shd w:val="clear" w:color="auto" w:fill="auto"/>
            <w:noWrap/>
            <w:vAlign w:val="center"/>
          </w:tcPr>
          <w:p w14:paraId="0E0EEBA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86</w:t>
            </w:r>
          </w:p>
        </w:tc>
        <w:tc>
          <w:tcPr>
            <w:tcW w:w="297" w:type="pct"/>
            <w:tcBorders>
              <w:top w:val="nil"/>
              <w:left w:val="nil"/>
              <w:bottom w:val="single" w:color="auto" w:sz="4" w:space="0"/>
              <w:right w:val="single" w:color="auto" w:sz="4" w:space="0"/>
            </w:tcBorders>
            <w:shd w:val="clear" w:color="auto" w:fill="auto"/>
            <w:noWrap/>
            <w:vAlign w:val="center"/>
          </w:tcPr>
          <w:p w14:paraId="6D72DC2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87</w:t>
            </w:r>
          </w:p>
        </w:tc>
        <w:tc>
          <w:tcPr>
            <w:tcW w:w="297" w:type="pct"/>
            <w:tcBorders>
              <w:top w:val="nil"/>
              <w:left w:val="nil"/>
              <w:bottom w:val="single" w:color="auto" w:sz="4" w:space="0"/>
              <w:right w:val="single" w:color="auto" w:sz="4" w:space="0"/>
            </w:tcBorders>
            <w:shd w:val="clear" w:color="auto" w:fill="auto"/>
            <w:noWrap/>
            <w:vAlign w:val="center"/>
          </w:tcPr>
          <w:p w14:paraId="6A749B6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w:t>
            </w:r>
          </w:p>
        </w:tc>
        <w:tc>
          <w:tcPr>
            <w:tcW w:w="297" w:type="pct"/>
            <w:tcBorders>
              <w:top w:val="nil"/>
              <w:left w:val="nil"/>
              <w:bottom w:val="single" w:color="auto" w:sz="4" w:space="0"/>
              <w:right w:val="single" w:color="auto" w:sz="4" w:space="0"/>
            </w:tcBorders>
            <w:shd w:val="clear" w:color="auto" w:fill="auto"/>
            <w:noWrap/>
            <w:vAlign w:val="center"/>
          </w:tcPr>
          <w:p w14:paraId="1679E8E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104</w:t>
            </w:r>
          </w:p>
        </w:tc>
        <w:tc>
          <w:tcPr>
            <w:tcW w:w="297" w:type="pct"/>
            <w:tcBorders>
              <w:top w:val="nil"/>
              <w:left w:val="nil"/>
              <w:bottom w:val="single" w:color="auto" w:sz="4" w:space="0"/>
              <w:right w:val="single" w:color="auto" w:sz="4" w:space="0"/>
            </w:tcBorders>
            <w:shd w:val="clear" w:color="auto" w:fill="auto"/>
            <w:noWrap/>
            <w:vAlign w:val="center"/>
          </w:tcPr>
          <w:p w14:paraId="5DE99C4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85</w:t>
            </w:r>
          </w:p>
        </w:tc>
      </w:tr>
      <w:tr w14:paraId="10AD8CFB">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7E5EAA6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297" w:type="pct"/>
            <w:tcBorders>
              <w:top w:val="nil"/>
              <w:left w:val="nil"/>
              <w:bottom w:val="single" w:color="auto" w:sz="4" w:space="0"/>
              <w:right w:val="single" w:color="auto" w:sz="4" w:space="0"/>
            </w:tcBorders>
            <w:shd w:val="clear" w:color="auto" w:fill="auto"/>
            <w:noWrap/>
            <w:vAlign w:val="center"/>
          </w:tcPr>
          <w:p w14:paraId="10BC8F2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65</w:t>
            </w:r>
          </w:p>
        </w:tc>
        <w:tc>
          <w:tcPr>
            <w:tcW w:w="297" w:type="pct"/>
            <w:tcBorders>
              <w:top w:val="nil"/>
              <w:left w:val="nil"/>
              <w:bottom w:val="single" w:color="auto" w:sz="4" w:space="0"/>
              <w:right w:val="single" w:color="auto" w:sz="4" w:space="0"/>
            </w:tcBorders>
            <w:shd w:val="clear" w:color="auto" w:fill="auto"/>
            <w:noWrap/>
            <w:vAlign w:val="center"/>
          </w:tcPr>
          <w:p w14:paraId="2CCBD11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69</w:t>
            </w:r>
          </w:p>
        </w:tc>
        <w:tc>
          <w:tcPr>
            <w:tcW w:w="297" w:type="pct"/>
            <w:tcBorders>
              <w:top w:val="nil"/>
              <w:left w:val="nil"/>
              <w:bottom w:val="single" w:color="auto" w:sz="4" w:space="0"/>
              <w:right w:val="single" w:color="auto" w:sz="4" w:space="0"/>
            </w:tcBorders>
            <w:shd w:val="clear" w:color="auto" w:fill="auto"/>
            <w:noWrap/>
            <w:vAlign w:val="center"/>
          </w:tcPr>
          <w:p w14:paraId="2221FD2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69</w:t>
            </w:r>
          </w:p>
        </w:tc>
        <w:tc>
          <w:tcPr>
            <w:tcW w:w="297" w:type="pct"/>
            <w:tcBorders>
              <w:top w:val="nil"/>
              <w:left w:val="nil"/>
              <w:bottom w:val="single" w:color="auto" w:sz="4" w:space="0"/>
              <w:right w:val="single" w:color="auto" w:sz="4" w:space="0"/>
            </w:tcBorders>
            <w:shd w:val="clear" w:color="auto" w:fill="auto"/>
            <w:noWrap/>
            <w:vAlign w:val="center"/>
          </w:tcPr>
          <w:p w14:paraId="0CF8D2A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65</w:t>
            </w:r>
          </w:p>
        </w:tc>
        <w:tc>
          <w:tcPr>
            <w:tcW w:w="297" w:type="pct"/>
            <w:tcBorders>
              <w:top w:val="nil"/>
              <w:left w:val="nil"/>
              <w:bottom w:val="single" w:color="auto" w:sz="4" w:space="0"/>
              <w:right w:val="single" w:color="auto" w:sz="4" w:space="0"/>
            </w:tcBorders>
            <w:shd w:val="clear" w:color="auto" w:fill="auto"/>
            <w:noWrap/>
            <w:vAlign w:val="center"/>
          </w:tcPr>
          <w:p w14:paraId="40B6073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63</w:t>
            </w:r>
          </w:p>
        </w:tc>
        <w:tc>
          <w:tcPr>
            <w:tcW w:w="297" w:type="pct"/>
            <w:tcBorders>
              <w:top w:val="nil"/>
              <w:left w:val="nil"/>
              <w:bottom w:val="single" w:color="auto" w:sz="4" w:space="0"/>
              <w:right w:val="single" w:color="auto" w:sz="4" w:space="0"/>
            </w:tcBorders>
            <w:shd w:val="clear" w:color="auto" w:fill="auto"/>
            <w:noWrap/>
            <w:vAlign w:val="center"/>
          </w:tcPr>
          <w:p w14:paraId="223FABD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74</w:t>
            </w:r>
          </w:p>
        </w:tc>
        <w:tc>
          <w:tcPr>
            <w:tcW w:w="297" w:type="pct"/>
            <w:tcBorders>
              <w:top w:val="nil"/>
              <w:left w:val="nil"/>
              <w:bottom w:val="single" w:color="auto" w:sz="4" w:space="0"/>
              <w:right w:val="single" w:color="auto" w:sz="4" w:space="0"/>
            </w:tcBorders>
            <w:shd w:val="clear" w:color="auto" w:fill="auto"/>
            <w:noWrap/>
            <w:vAlign w:val="center"/>
          </w:tcPr>
          <w:p w14:paraId="7FAF147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162</w:t>
            </w:r>
          </w:p>
        </w:tc>
        <w:tc>
          <w:tcPr>
            <w:tcW w:w="297" w:type="pct"/>
            <w:tcBorders>
              <w:top w:val="nil"/>
              <w:left w:val="nil"/>
              <w:bottom w:val="single" w:color="auto" w:sz="4" w:space="0"/>
              <w:right w:val="single" w:color="auto" w:sz="4" w:space="0"/>
            </w:tcBorders>
            <w:shd w:val="clear" w:color="auto" w:fill="auto"/>
            <w:noWrap/>
            <w:vAlign w:val="center"/>
          </w:tcPr>
          <w:p w14:paraId="7AB010A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147</w:t>
            </w:r>
          </w:p>
        </w:tc>
        <w:tc>
          <w:tcPr>
            <w:tcW w:w="297" w:type="pct"/>
            <w:tcBorders>
              <w:top w:val="nil"/>
              <w:left w:val="nil"/>
              <w:bottom w:val="single" w:color="auto" w:sz="4" w:space="0"/>
              <w:right w:val="single" w:color="auto" w:sz="4" w:space="0"/>
            </w:tcBorders>
            <w:shd w:val="clear" w:color="auto" w:fill="auto"/>
            <w:noWrap/>
            <w:vAlign w:val="center"/>
          </w:tcPr>
          <w:p w14:paraId="4F7B121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159</w:t>
            </w:r>
          </w:p>
        </w:tc>
        <w:tc>
          <w:tcPr>
            <w:tcW w:w="297" w:type="pct"/>
            <w:tcBorders>
              <w:top w:val="nil"/>
              <w:left w:val="nil"/>
              <w:bottom w:val="single" w:color="auto" w:sz="4" w:space="0"/>
              <w:right w:val="single" w:color="auto" w:sz="4" w:space="0"/>
            </w:tcBorders>
            <w:shd w:val="clear" w:color="auto" w:fill="auto"/>
            <w:noWrap/>
            <w:vAlign w:val="center"/>
          </w:tcPr>
          <w:p w14:paraId="3F728E5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170</w:t>
            </w:r>
          </w:p>
        </w:tc>
        <w:tc>
          <w:tcPr>
            <w:tcW w:w="297" w:type="pct"/>
            <w:tcBorders>
              <w:top w:val="nil"/>
              <w:left w:val="nil"/>
              <w:bottom w:val="single" w:color="auto" w:sz="4" w:space="0"/>
              <w:right w:val="single" w:color="auto" w:sz="4" w:space="0"/>
            </w:tcBorders>
            <w:shd w:val="clear" w:color="auto" w:fill="auto"/>
            <w:noWrap/>
            <w:vAlign w:val="center"/>
          </w:tcPr>
          <w:p w14:paraId="28CC8FF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130</w:t>
            </w:r>
          </w:p>
        </w:tc>
        <w:tc>
          <w:tcPr>
            <w:tcW w:w="297" w:type="pct"/>
            <w:tcBorders>
              <w:top w:val="nil"/>
              <w:left w:val="nil"/>
              <w:bottom w:val="single" w:color="auto" w:sz="4" w:space="0"/>
              <w:right w:val="single" w:color="auto" w:sz="4" w:space="0"/>
            </w:tcBorders>
            <w:shd w:val="clear" w:color="auto" w:fill="auto"/>
            <w:noWrap/>
            <w:vAlign w:val="center"/>
          </w:tcPr>
          <w:p w14:paraId="4ABB5B6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127</w:t>
            </w:r>
          </w:p>
        </w:tc>
      </w:tr>
      <w:tr w14:paraId="6D50ED97">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6D062C82">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297" w:type="pct"/>
            <w:tcBorders>
              <w:top w:val="nil"/>
              <w:left w:val="nil"/>
              <w:bottom w:val="single" w:color="auto" w:sz="4" w:space="0"/>
              <w:right w:val="single" w:color="auto" w:sz="4" w:space="0"/>
            </w:tcBorders>
            <w:shd w:val="clear" w:color="auto" w:fill="auto"/>
            <w:noWrap/>
            <w:vAlign w:val="center"/>
          </w:tcPr>
          <w:p w14:paraId="20E6615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41308EC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93</w:t>
            </w:r>
          </w:p>
        </w:tc>
        <w:tc>
          <w:tcPr>
            <w:tcW w:w="297" w:type="pct"/>
            <w:tcBorders>
              <w:top w:val="nil"/>
              <w:left w:val="nil"/>
              <w:bottom w:val="single" w:color="auto" w:sz="4" w:space="0"/>
              <w:right w:val="single" w:color="auto" w:sz="4" w:space="0"/>
            </w:tcBorders>
            <w:shd w:val="clear" w:color="auto" w:fill="auto"/>
            <w:noWrap/>
            <w:vAlign w:val="center"/>
          </w:tcPr>
          <w:p w14:paraId="7EE2827E">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52B514E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90</w:t>
            </w:r>
          </w:p>
        </w:tc>
        <w:tc>
          <w:tcPr>
            <w:tcW w:w="297" w:type="pct"/>
            <w:tcBorders>
              <w:top w:val="nil"/>
              <w:left w:val="nil"/>
              <w:bottom w:val="single" w:color="auto" w:sz="4" w:space="0"/>
              <w:right w:val="single" w:color="auto" w:sz="4" w:space="0"/>
            </w:tcBorders>
            <w:shd w:val="clear" w:color="auto" w:fill="auto"/>
            <w:noWrap/>
            <w:vAlign w:val="center"/>
          </w:tcPr>
          <w:p w14:paraId="07F0E3B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78</w:t>
            </w:r>
          </w:p>
        </w:tc>
        <w:tc>
          <w:tcPr>
            <w:tcW w:w="297" w:type="pct"/>
            <w:tcBorders>
              <w:top w:val="nil"/>
              <w:left w:val="nil"/>
              <w:bottom w:val="single" w:color="auto" w:sz="4" w:space="0"/>
              <w:right w:val="single" w:color="auto" w:sz="4" w:space="0"/>
            </w:tcBorders>
            <w:shd w:val="clear" w:color="auto" w:fill="auto"/>
            <w:noWrap/>
            <w:vAlign w:val="center"/>
          </w:tcPr>
          <w:p w14:paraId="3F5D145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70E10E5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41</w:t>
            </w:r>
          </w:p>
        </w:tc>
        <w:tc>
          <w:tcPr>
            <w:tcW w:w="297" w:type="pct"/>
            <w:tcBorders>
              <w:top w:val="nil"/>
              <w:left w:val="nil"/>
              <w:bottom w:val="single" w:color="auto" w:sz="4" w:space="0"/>
              <w:right w:val="single" w:color="auto" w:sz="4" w:space="0"/>
            </w:tcBorders>
            <w:shd w:val="clear" w:color="auto" w:fill="auto"/>
            <w:noWrap/>
            <w:vAlign w:val="center"/>
          </w:tcPr>
          <w:p w14:paraId="04EEF75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46</w:t>
            </w:r>
          </w:p>
        </w:tc>
        <w:tc>
          <w:tcPr>
            <w:tcW w:w="297" w:type="pct"/>
            <w:tcBorders>
              <w:top w:val="nil"/>
              <w:left w:val="nil"/>
              <w:bottom w:val="single" w:color="auto" w:sz="4" w:space="0"/>
              <w:right w:val="single" w:color="auto" w:sz="4" w:space="0"/>
            </w:tcBorders>
            <w:shd w:val="clear" w:color="auto" w:fill="auto"/>
            <w:noWrap/>
            <w:vAlign w:val="center"/>
          </w:tcPr>
          <w:p w14:paraId="5E92B9C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45</w:t>
            </w:r>
          </w:p>
        </w:tc>
        <w:tc>
          <w:tcPr>
            <w:tcW w:w="297" w:type="pct"/>
            <w:tcBorders>
              <w:top w:val="nil"/>
              <w:left w:val="nil"/>
              <w:bottom w:val="single" w:color="auto" w:sz="4" w:space="0"/>
              <w:right w:val="single" w:color="auto" w:sz="4" w:space="0"/>
            </w:tcBorders>
            <w:shd w:val="clear" w:color="auto" w:fill="auto"/>
            <w:noWrap/>
            <w:vAlign w:val="center"/>
          </w:tcPr>
          <w:p w14:paraId="3DED57C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44</w:t>
            </w:r>
          </w:p>
        </w:tc>
        <w:tc>
          <w:tcPr>
            <w:tcW w:w="297" w:type="pct"/>
            <w:tcBorders>
              <w:top w:val="nil"/>
              <w:left w:val="nil"/>
              <w:bottom w:val="single" w:color="auto" w:sz="4" w:space="0"/>
              <w:right w:val="single" w:color="auto" w:sz="4" w:space="0"/>
            </w:tcBorders>
            <w:shd w:val="clear" w:color="auto" w:fill="auto"/>
            <w:noWrap/>
            <w:vAlign w:val="center"/>
          </w:tcPr>
          <w:p w14:paraId="554DB41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46</w:t>
            </w:r>
          </w:p>
        </w:tc>
        <w:tc>
          <w:tcPr>
            <w:tcW w:w="297" w:type="pct"/>
            <w:tcBorders>
              <w:top w:val="nil"/>
              <w:left w:val="nil"/>
              <w:bottom w:val="single" w:color="auto" w:sz="4" w:space="0"/>
              <w:right w:val="single" w:color="auto" w:sz="4" w:space="0"/>
            </w:tcBorders>
            <w:shd w:val="clear" w:color="auto" w:fill="auto"/>
            <w:noWrap/>
            <w:vAlign w:val="center"/>
          </w:tcPr>
          <w:p w14:paraId="210238F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color w:val="000000"/>
                <w:sz w:val="20"/>
                <w:szCs w:val="20"/>
                <w:lang w:eastAsia="pl-PL"/>
              </w:rPr>
              <w:t>49</w:t>
            </w:r>
          </w:p>
        </w:tc>
      </w:tr>
      <w:tr w14:paraId="1C3A1DC2">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54B7B616">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297" w:type="pct"/>
            <w:tcBorders>
              <w:top w:val="nil"/>
              <w:left w:val="nil"/>
              <w:bottom w:val="single" w:color="auto" w:sz="4" w:space="0"/>
              <w:right w:val="single" w:color="auto" w:sz="4" w:space="0"/>
            </w:tcBorders>
            <w:shd w:val="clear" w:color="auto" w:fill="auto"/>
            <w:noWrap/>
            <w:vAlign w:val="center"/>
          </w:tcPr>
          <w:p w14:paraId="26D14A2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80</w:t>
            </w:r>
          </w:p>
        </w:tc>
        <w:tc>
          <w:tcPr>
            <w:tcW w:w="297" w:type="pct"/>
            <w:tcBorders>
              <w:top w:val="nil"/>
              <w:left w:val="nil"/>
              <w:bottom w:val="single" w:color="auto" w:sz="4" w:space="0"/>
              <w:right w:val="single" w:color="auto" w:sz="4" w:space="0"/>
            </w:tcBorders>
            <w:shd w:val="clear" w:color="auto" w:fill="auto"/>
            <w:noWrap/>
            <w:vAlign w:val="center"/>
          </w:tcPr>
          <w:p w14:paraId="4615893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83</w:t>
            </w:r>
          </w:p>
        </w:tc>
        <w:tc>
          <w:tcPr>
            <w:tcW w:w="297" w:type="pct"/>
            <w:tcBorders>
              <w:top w:val="nil"/>
              <w:left w:val="nil"/>
              <w:bottom w:val="single" w:color="auto" w:sz="4" w:space="0"/>
              <w:right w:val="single" w:color="auto" w:sz="4" w:space="0"/>
            </w:tcBorders>
            <w:shd w:val="clear" w:color="auto" w:fill="auto"/>
            <w:noWrap/>
            <w:vAlign w:val="center"/>
          </w:tcPr>
          <w:p w14:paraId="433CCEE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85</w:t>
            </w:r>
          </w:p>
        </w:tc>
        <w:tc>
          <w:tcPr>
            <w:tcW w:w="297" w:type="pct"/>
            <w:tcBorders>
              <w:top w:val="nil"/>
              <w:left w:val="nil"/>
              <w:bottom w:val="single" w:color="auto" w:sz="4" w:space="0"/>
              <w:right w:val="single" w:color="auto" w:sz="4" w:space="0"/>
            </w:tcBorders>
            <w:shd w:val="clear" w:color="auto" w:fill="auto"/>
            <w:noWrap/>
            <w:vAlign w:val="center"/>
          </w:tcPr>
          <w:p w14:paraId="0EDB47C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86</w:t>
            </w:r>
          </w:p>
        </w:tc>
        <w:tc>
          <w:tcPr>
            <w:tcW w:w="297" w:type="pct"/>
            <w:tcBorders>
              <w:top w:val="nil"/>
              <w:left w:val="nil"/>
              <w:bottom w:val="single" w:color="auto" w:sz="4" w:space="0"/>
              <w:right w:val="single" w:color="auto" w:sz="4" w:space="0"/>
            </w:tcBorders>
            <w:shd w:val="clear" w:color="auto" w:fill="auto"/>
            <w:noWrap/>
            <w:vAlign w:val="center"/>
          </w:tcPr>
          <w:p w14:paraId="0D5E0D9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6C3C215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86</w:t>
            </w:r>
          </w:p>
        </w:tc>
        <w:tc>
          <w:tcPr>
            <w:tcW w:w="297" w:type="pct"/>
            <w:tcBorders>
              <w:top w:val="nil"/>
              <w:left w:val="nil"/>
              <w:bottom w:val="single" w:color="auto" w:sz="4" w:space="0"/>
              <w:right w:val="single" w:color="auto" w:sz="4" w:space="0"/>
            </w:tcBorders>
            <w:shd w:val="clear" w:color="auto" w:fill="auto"/>
            <w:noWrap/>
            <w:vAlign w:val="center"/>
          </w:tcPr>
          <w:p w14:paraId="59D7C50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85</w:t>
            </w:r>
          </w:p>
        </w:tc>
        <w:tc>
          <w:tcPr>
            <w:tcW w:w="297" w:type="pct"/>
            <w:tcBorders>
              <w:top w:val="nil"/>
              <w:left w:val="nil"/>
              <w:bottom w:val="single" w:color="auto" w:sz="4" w:space="0"/>
              <w:right w:val="single" w:color="auto" w:sz="4" w:space="0"/>
            </w:tcBorders>
            <w:shd w:val="clear" w:color="auto" w:fill="auto"/>
            <w:noWrap/>
            <w:vAlign w:val="center"/>
          </w:tcPr>
          <w:p w14:paraId="45AE367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476D6C4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4BDF6D8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84</w:t>
            </w:r>
          </w:p>
        </w:tc>
        <w:tc>
          <w:tcPr>
            <w:tcW w:w="297" w:type="pct"/>
            <w:tcBorders>
              <w:top w:val="nil"/>
              <w:left w:val="nil"/>
              <w:bottom w:val="single" w:color="auto" w:sz="4" w:space="0"/>
              <w:right w:val="single" w:color="auto" w:sz="4" w:space="0"/>
            </w:tcBorders>
            <w:shd w:val="clear" w:color="auto" w:fill="auto"/>
            <w:noWrap/>
            <w:vAlign w:val="center"/>
          </w:tcPr>
          <w:p w14:paraId="5578D0E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80</w:t>
            </w:r>
          </w:p>
        </w:tc>
        <w:tc>
          <w:tcPr>
            <w:tcW w:w="297" w:type="pct"/>
            <w:tcBorders>
              <w:top w:val="nil"/>
              <w:left w:val="nil"/>
              <w:bottom w:val="single" w:color="auto" w:sz="4" w:space="0"/>
              <w:right w:val="single" w:color="auto" w:sz="4" w:space="0"/>
            </w:tcBorders>
            <w:shd w:val="clear" w:color="auto" w:fill="auto"/>
            <w:noWrap/>
            <w:vAlign w:val="center"/>
          </w:tcPr>
          <w:p w14:paraId="16F3A62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b/>
                <w:bCs/>
                <w:color w:val="000000"/>
                <w:sz w:val="20"/>
                <w:szCs w:val="20"/>
                <w:lang w:eastAsia="pl-PL"/>
              </w:rPr>
              <w:t>78</w:t>
            </w:r>
          </w:p>
        </w:tc>
      </w:tr>
      <w:tr w14:paraId="7D4C7DFD">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46324F5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297" w:type="pct"/>
            <w:tcBorders>
              <w:top w:val="nil"/>
              <w:left w:val="nil"/>
              <w:bottom w:val="single" w:color="auto" w:sz="4" w:space="0"/>
              <w:right w:val="single" w:color="auto" w:sz="4" w:space="0"/>
            </w:tcBorders>
            <w:shd w:val="clear" w:color="auto" w:fill="auto"/>
            <w:noWrap/>
            <w:vAlign w:val="center"/>
          </w:tcPr>
          <w:p w14:paraId="131A13E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297" w:type="pct"/>
            <w:tcBorders>
              <w:top w:val="nil"/>
              <w:left w:val="nil"/>
              <w:bottom w:val="single" w:color="auto" w:sz="4" w:space="0"/>
              <w:right w:val="single" w:color="auto" w:sz="4" w:space="0"/>
            </w:tcBorders>
            <w:shd w:val="clear" w:color="auto" w:fill="auto"/>
            <w:noWrap/>
            <w:vAlign w:val="center"/>
          </w:tcPr>
          <w:p w14:paraId="6A7B065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86</w:t>
            </w:r>
          </w:p>
        </w:tc>
        <w:tc>
          <w:tcPr>
            <w:tcW w:w="297" w:type="pct"/>
            <w:tcBorders>
              <w:top w:val="nil"/>
              <w:left w:val="nil"/>
              <w:bottom w:val="single" w:color="auto" w:sz="4" w:space="0"/>
              <w:right w:val="single" w:color="auto" w:sz="4" w:space="0"/>
            </w:tcBorders>
            <w:shd w:val="clear" w:color="auto" w:fill="auto"/>
            <w:noWrap/>
            <w:vAlign w:val="center"/>
          </w:tcPr>
          <w:p w14:paraId="0CB048D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61E77A9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90</w:t>
            </w:r>
          </w:p>
        </w:tc>
        <w:tc>
          <w:tcPr>
            <w:tcW w:w="297" w:type="pct"/>
            <w:tcBorders>
              <w:top w:val="nil"/>
              <w:left w:val="nil"/>
              <w:bottom w:val="single" w:color="auto" w:sz="4" w:space="0"/>
              <w:right w:val="single" w:color="auto" w:sz="4" w:space="0"/>
            </w:tcBorders>
            <w:shd w:val="clear" w:color="auto" w:fill="auto"/>
            <w:noWrap/>
            <w:vAlign w:val="center"/>
          </w:tcPr>
          <w:p w14:paraId="08577AF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86</w:t>
            </w:r>
          </w:p>
        </w:tc>
        <w:tc>
          <w:tcPr>
            <w:tcW w:w="297" w:type="pct"/>
            <w:tcBorders>
              <w:top w:val="nil"/>
              <w:left w:val="nil"/>
              <w:bottom w:val="single" w:color="auto" w:sz="4" w:space="0"/>
              <w:right w:val="single" w:color="auto" w:sz="4" w:space="0"/>
            </w:tcBorders>
            <w:shd w:val="clear" w:color="auto" w:fill="auto"/>
            <w:noWrap/>
            <w:vAlign w:val="center"/>
          </w:tcPr>
          <w:p w14:paraId="1F15AD8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w:t>
            </w:r>
          </w:p>
        </w:tc>
        <w:tc>
          <w:tcPr>
            <w:tcW w:w="297" w:type="pct"/>
            <w:tcBorders>
              <w:top w:val="nil"/>
              <w:left w:val="nil"/>
              <w:bottom w:val="single" w:color="auto" w:sz="4" w:space="0"/>
              <w:right w:val="single" w:color="auto" w:sz="4" w:space="0"/>
            </w:tcBorders>
            <w:shd w:val="clear" w:color="auto" w:fill="auto"/>
            <w:noWrap/>
            <w:vAlign w:val="center"/>
          </w:tcPr>
          <w:p w14:paraId="1DAECC5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78</w:t>
            </w:r>
          </w:p>
        </w:tc>
        <w:tc>
          <w:tcPr>
            <w:tcW w:w="297" w:type="pct"/>
            <w:tcBorders>
              <w:top w:val="nil"/>
              <w:left w:val="nil"/>
              <w:bottom w:val="single" w:color="auto" w:sz="4" w:space="0"/>
              <w:right w:val="single" w:color="auto" w:sz="4" w:space="0"/>
            </w:tcBorders>
            <w:shd w:val="clear" w:color="auto" w:fill="auto"/>
            <w:noWrap/>
            <w:vAlign w:val="center"/>
          </w:tcPr>
          <w:p w14:paraId="55E102B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c>
          <w:tcPr>
            <w:tcW w:w="297" w:type="pct"/>
            <w:tcBorders>
              <w:top w:val="nil"/>
              <w:left w:val="nil"/>
              <w:bottom w:val="single" w:color="auto" w:sz="4" w:space="0"/>
              <w:right w:val="single" w:color="auto" w:sz="4" w:space="0"/>
            </w:tcBorders>
            <w:shd w:val="clear" w:color="auto" w:fill="auto"/>
            <w:noWrap/>
            <w:vAlign w:val="center"/>
          </w:tcPr>
          <w:p w14:paraId="3431DE4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72</w:t>
            </w:r>
          </w:p>
        </w:tc>
        <w:tc>
          <w:tcPr>
            <w:tcW w:w="297" w:type="pct"/>
            <w:tcBorders>
              <w:top w:val="nil"/>
              <w:left w:val="nil"/>
              <w:bottom w:val="single" w:color="auto" w:sz="4" w:space="0"/>
              <w:right w:val="single" w:color="auto" w:sz="4" w:space="0"/>
            </w:tcBorders>
            <w:shd w:val="clear" w:color="auto" w:fill="auto"/>
            <w:noWrap/>
            <w:vAlign w:val="center"/>
          </w:tcPr>
          <w:p w14:paraId="782A162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72</w:t>
            </w:r>
          </w:p>
        </w:tc>
        <w:tc>
          <w:tcPr>
            <w:tcW w:w="297" w:type="pct"/>
            <w:tcBorders>
              <w:top w:val="nil"/>
              <w:left w:val="nil"/>
              <w:bottom w:val="single" w:color="auto" w:sz="4" w:space="0"/>
              <w:right w:val="single" w:color="auto" w:sz="4" w:space="0"/>
            </w:tcBorders>
            <w:shd w:val="clear" w:color="auto" w:fill="auto"/>
            <w:noWrap/>
            <w:vAlign w:val="center"/>
          </w:tcPr>
          <w:p w14:paraId="01A18CE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c>
          <w:tcPr>
            <w:tcW w:w="297" w:type="pct"/>
            <w:tcBorders>
              <w:top w:val="nil"/>
              <w:left w:val="nil"/>
              <w:bottom w:val="single" w:color="auto" w:sz="4" w:space="0"/>
              <w:right w:val="single" w:color="auto" w:sz="4" w:space="0"/>
            </w:tcBorders>
            <w:shd w:val="clear" w:color="auto" w:fill="auto"/>
            <w:noWrap/>
            <w:vAlign w:val="center"/>
          </w:tcPr>
          <w:p w14:paraId="2DA7113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74</w:t>
            </w:r>
          </w:p>
        </w:tc>
      </w:tr>
      <w:tr w14:paraId="4D7C954F">
        <w:tblPrEx>
          <w:tblCellMar>
            <w:top w:w="0" w:type="dxa"/>
            <w:left w:w="70" w:type="dxa"/>
            <w:bottom w:w="0" w:type="dxa"/>
            <w:right w:w="70" w:type="dxa"/>
          </w:tblCellMar>
        </w:tblPrEx>
        <w:trPr>
          <w:trHeight w:val="340" w:hRule="atLeast"/>
        </w:trPr>
        <w:tc>
          <w:tcPr>
            <w:tcW w:w="1437" w:type="pct"/>
            <w:tcBorders>
              <w:top w:val="nil"/>
              <w:left w:val="single" w:color="auto" w:sz="4" w:space="0"/>
              <w:bottom w:val="single" w:color="auto" w:sz="4" w:space="0"/>
              <w:right w:val="single" w:color="auto" w:sz="4" w:space="0"/>
            </w:tcBorders>
            <w:shd w:val="clear" w:color="auto" w:fill="auto"/>
            <w:noWrap/>
            <w:vAlign w:val="center"/>
          </w:tcPr>
          <w:p w14:paraId="7C944B0D">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297" w:type="pct"/>
            <w:tcBorders>
              <w:top w:val="nil"/>
              <w:left w:val="nil"/>
              <w:bottom w:val="single" w:color="auto" w:sz="4" w:space="0"/>
              <w:right w:val="single" w:color="auto" w:sz="4" w:space="0"/>
            </w:tcBorders>
            <w:shd w:val="clear" w:color="auto" w:fill="auto"/>
            <w:noWrap/>
            <w:vAlign w:val="center"/>
          </w:tcPr>
          <w:p w14:paraId="60103F0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81</w:t>
            </w:r>
          </w:p>
        </w:tc>
        <w:tc>
          <w:tcPr>
            <w:tcW w:w="297" w:type="pct"/>
            <w:tcBorders>
              <w:top w:val="nil"/>
              <w:left w:val="nil"/>
              <w:bottom w:val="single" w:color="auto" w:sz="4" w:space="0"/>
              <w:right w:val="single" w:color="auto" w:sz="4" w:space="0"/>
            </w:tcBorders>
            <w:shd w:val="clear" w:color="auto" w:fill="auto"/>
            <w:noWrap/>
            <w:vAlign w:val="center"/>
          </w:tcPr>
          <w:p w14:paraId="6A4F2C4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85</w:t>
            </w:r>
          </w:p>
        </w:tc>
        <w:tc>
          <w:tcPr>
            <w:tcW w:w="297" w:type="pct"/>
            <w:tcBorders>
              <w:top w:val="nil"/>
              <w:left w:val="nil"/>
              <w:bottom w:val="single" w:color="auto" w:sz="4" w:space="0"/>
              <w:right w:val="single" w:color="auto" w:sz="4" w:space="0"/>
            </w:tcBorders>
            <w:shd w:val="clear" w:color="auto" w:fill="auto"/>
            <w:noWrap/>
            <w:vAlign w:val="center"/>
          </w:tcPr>
          <w:p w14:paraId="7A62DB8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87</w:t>
            </w:r>
          </w:p>
        </w:tc>
        <w:tc>
          <w:tcPr>
            <w:tcW w:w="297" w:type="pct"/>
            <w:tcBorders>
              <w:top w:val="nil"/>
              <w:left w:val="nil"/>
              <w:bottom w:val="single" w:color="auto" w:sz="4" w:space="0"/>
              <w:right w:val="single" w:color="auto" w:sz="4" w:space="0"/>
            </w:tcBorders>
            <w:shd w:val="clear" w:color="auto" w:fill="auto"/>
            <w:noWrap/>
            <w:vAlign w:val="center"/>
          </w:tcPr>
          <w:p w14:paraId="3D8E047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0C4F463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85</w:t>
            </w:r>
          </w:p>
        </w:tc>
        <w:tc>
          <w:tcPr>
            <w:tcW w:w="297" w:type="pct"/>
            <w:tcBorders>
              <w:top w:val="nil"/>
              <w:left w:val="nil"/>
              <w:bottom w:val="single" w:color="auto" w:sz="4" w:space="0"/>
              <w:right w:val="single" w:color="auto" w:sz="4" w:space="0"/>
            </w:tcBorders>
            <w:shd w:val="clear" w:color="auto" w:fill="auto"/>
            <w:noWrap/>
            <w:vAlign w:val="center"/>
          </w:tcPr>
          <w:p w14:paraId="584684A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c>
          <w:tcPr>
            <w:tcW w:w="297" w:type="pct"/>
            <w:tcBorders>
              <w:top w:val="nil"/>
              <w:left w:val="nil"/>
              <w:bottom w:val="single" w:color="auto" w:sz="4" w:space="0"/>
              <w:right w:val="single" w:color="auto" w:sz="4" w:space="0"/>
            </w:tcBorders>
            <w:shd w:val="clear" w:color="auto" w:fill="auto"/>
            <w:noWrap/>
            <w:vAlign w:val="center"/>
          </w:tcPr>
          <w:p w14:paraId="245BC32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86</w:t>
            </w:r>
          </w:p>
        </w:tc>
        <w:tc>
          <w:tcPr>
            <w:tcW w:w="297" w:type="pct"/>
            <w:tcBorders>
              <w:top w:val="nil"/>
              <w:left w:val="nil"/>
              <w:bottom w:val="single" w:color="auto" w:sz="4" w:space="0"/>
              <w:right w:val="single" w:color="auto" w:sz="4" w:space="0"/>
            </w:tcBorders>
            <w:shd w:val="clear" w:color="auto" w:fill="auto"/>
            <w:noWrap/>
            <w:vAlign w:val="center"/>
          </w:tcPr>
          <w:p w14:paraId="6F596EE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297" w:type="pct"/>
            <w:tcBorders>
              <w:top w:val="nil"/>
              <w:left w:val="nil"/>
              <w:bottom w:val="single" w:color="auto" w:sz="4" w:space="0"/>
              <w:right w:val="single" w:color="auto" w:sz="4" w:space="0"/>
            </w:tcBorders>
            <w:shd w:val="clear" w:color="auto" w:fill="auto"/>
            <w:noWrap/>
            <w:vAlign w:val="center"/>
          </w:tcPr>
          <w:p w14:paraId="55006A4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80</w:t>
            </w:r>
          </w:p>
        </w:tc>
        <w:tc>
          <w:tcPr>
            <w:tcW w:w="297" w:type="pct"/>
            <w:tcBorders>
              <w:top w:val="nil"/>
              <w:left w:val="nil"/>
              <w:bottom w:val="single" w:color="auto" w:sz="4" w:space="0"/>
              <w:right w:val="single" w:color="auto" w:sz="4" w:space="0"/>
            </w:tcBorders>
            <w:shd w:val="clear" w:color="auto" w:fill="auto"/>
            <w:noWrap/>
            <w:vAlign w:val="center"/>
          </w:tcPr>
          <w:p w14:paraId="0BFB432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80</w:t>
            </w:r>
          </w:p>
        </w:tc>
        <w:tc>
          <w:tcPr>
            <w:tcW w:w="297" w:type="pct"/>
            <w:tcBorders>
              <w:top w:val="nil"/>
              <w:left w:val="nil"/>
              <w:bottom w:val="single" w:color="auto" w:sz="4" w:space="0"/>
              <w:right w:val="single" w:color="auto" w:sz="4" w:space="0"/>
            </w:tcBorders>
            <w:shd w:val="clear" w:color="auto" w:fill="auto"/>
            <w:noWrap/>
            <w:vAlign w:val="center"/>
          </w:tcPr>
          <w:p w14:paraId="414CCD1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297" w:type="pct"/>
            <w:tcBorders>
              <w:top w:val="nil"/>
              <w:left w:val="nil"/>
              <w:bottom w:val="single" w:color="auto" w:sz="4" w:space="0"/>
              <w:right w:val="single" w:color="auto" w:sz="4" w:space="0"/>
            </w:tcBorders>
            <w:shd w:val="clear" w:color="auto" w:fill="auto"/>
            <w:noWrap/>
            <w:vAlign w:val="center"/>
          </w:tcPr>
          <w:p w14:paraId="3A64F0F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r>
    </w:tbl>
    <w:p w14:paraId="3F78DB47">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1A811BFF">
      <w:pPr>
        <w:spacing w:after="0" w:line="276" w:lineRule="auto"/>
        <w:ind w:firstLine="708"/>
        <w:jc w:val="both"/>
        <w:rPr>
          <w:rFonts w:ascii="Times New Roman" w:hAnsi="Times New Roman"/>
          <w:color w:val="000000"/>
        </w:rPr>
      </w:pPr>
      <w:r>
        <w:rPr>
          <w:rFonts w:ascii="Times New Roman" w:hAnsi="Times New Roman"/>
          <w:color w:val="000000"/>
        </w:rPr>
        <w:t xml:space="preserve">Wskaźnik </w:t>
      </w:r>
      <w:r>
        <w:rPr>
          <w:rFonts w:ascii="Times New Roman" w:hAnsi="Times New Roman"/>
          <w:i/>
          <w:iCs/>
          <w:color w:val="000000"/>
        </w:rPr>
        <w:t xml:space="preserve">udział dzieci objętych wychowaniem przedszkolnym w ogólnej liczbie dzieci w wieku 3–5 lat </w:t>
      </w:r>
      <w:r>
        <w:rPr>
          <w:rFonts w:ascii="Times New Roman" w:hAnsi="Times New Roman"/>
          <w:color w:val="000000"/>
        </w:rPr>
        <w:t xml:space="preserve">na obszarze LGD na przestrzeni analizowanych lat systematycznie wzrastał (do roku 2020, kiedy nastąpił nagły spadek, natomiast tendencja taka wystąpiła również w województwie i kraju, a w 2021 r. nastąpiło „odbicie”) i ostatecznie w roku 2021 osiągnął wartość 86% – co stanowiło wzrost w porównaniu do 2016 r. o 6 pp. W każdym analizowanym roku wartość dla obszaru była niższa od wartości dla województwa i kraju. Biorąc pod uwagę krajowe uwarunkowania, związane z dużym zapotrzebowaniem na miejsca zapewniające opiekę dzieci w wieku przedszkolnym, rosnąca liczba dzieci objętych tą formą opieki jest pozytywnym zjawiskiem. Najwyższe wartości wskaźnika na obszarze LGD osiągała Gmina Myślenice, odnotowując w 2021 r. wartość wskaźnika 95%, przy średniej dla województwa – 89%, a kraju – 88%. Natomiast najniższa wartość wystąpiła w gminach Tokarnia i Pcim – 74%. Wskaźnik określający liczbę dzieci przypadającą na 1 placówkę wychowania przedszkolnego wynosił </w:t>
      </w:r>
      <w:r>
        <w:rPr>
          <w:rFonts w:ascii="Times New Roman" w:hAnsi="Times New Roman"/>
          <w:color w:val="000000"/>
        </w:rPr>
        <w:br w:type="textWrapping"/>
      </w:r>
      <w:r>
        <w:rPr>
          <w:rFonts w:ascii="Times New Roman" w:hAnsi="Times New Roman"/>
          <w:color w:val="000000"/>
        </w:rPr>
        <w:t>w 2021 roku dla LGD 78 i był wyższy niż średnia dla województwa (74) oraz niższy niż średnia dla kraju (82).</w:t>
      </w:r>
    </w:p>
    <w:p w14:paraId="661BBA02">
      <w:pPr>
        <w:spacing w:after="0" w:line="276" w:lineRule="auto"/>
        <w:ind w:firstLine="708"/>
        <w:jc w:val="both"/>
        <w:rPr>
          <w:rFonts w:ascii="Times New Roman" w:hAnsi="Times New Roman"/>
          <w:color w:val="000000"/>
        </w:rPr>
      </w:pPr>
      <w:r>
        <w:rPr>
          <w:rFonts w:ascii="Times New Roman" w:hAnsi="Times New Roman"/>
          <w:color w:val="000000"/>
        </w:rPr>
        <w:t xml:space="preserve">Na terenie obszaru LGD Między Dalinem i Gościbią w 2021 roku zlokalizowanych było jedenaście podmiotów, które świadczą usługi opieki nad dziećmi do lat 3 – większość na terenie Gminy Myślenice (4 żłobki </w:t>
      </w:r>
      <w:r>
        <w:rPr>
          <w:rFonts w:ascii="Times New Roman" w:hAnsi="Times New Roman"/>
          <w:color w:val="000000"/>
        </w:rPr>
        <w:br w:type="textWrapping"/>
      </w:r>
      <w:r>
        <w:rPr>
          <w:rFonts w:ascii="Times New Roman" w:hAnsi="Times New Roman"/>
          <w:color w:val="000000"/>
        </w:rPr>
        <w:t xml:space="preserve">i 2 kluby dziecięce). Na terenie Gminy Tokarnia funkcjonowały 2 podmioty świadczące tego typu usługi, natomiast w gminach Sułkowice, Raciechowice oraz Lubień – po jednym podmiocie. Na terenie gmin Pcim oraz Wiśniowa nie funkcjonowały żadne podmioty świadczące usługi opieki nad dziećmi do lat 3 (przy czym na terenie Gminy Wiśniowa do 2018 r. prowadzony był jeden klub dziecięcy). Podmioty w gminach Lubień, Sułkowice oraz Tokarnia rozpoczęły działalność w latach 2019–2020, co świadczy o tym, że sytuacja w tym zakresie stopniowo poprawia się. </w:t>
      </w:r>
    </w:p>
    <w:p w14:paraId="25BFB20B">
      <w:pPr>
        <w:suppressAutoHyphens/>
        <w:spacing w:after="0" w:line="276" w:lineRule="auto"/>
        <w:ind w:firstLine="708"/>
        <w:jc w:val="both"/>
        <w:rPr>
          <w:rFonts w:ascii="Times New Roman" w:hAnsi="Times New Roman"/>
          <w:color w:val="000000"/>
        </w:rPr>
      </w:pPr>
      <w:r>
        <w:rPr>
          <w:rFonts w:ascii="Times New Roman" w:hAnsi="Times New Roman"/>
          <w:color w:val="000000"/>
        </w:rPr>
        <w:t xml:space="preserve">Analizując dostęp do infrastruktury i usług publicznych, nie sposób pominąć kwestii oferty usług związanych z kulturą, sportem i rekreacją. Mieszkańcy obszaru wchodzącego w skład LGD Między Dalinem i Gościbią mają dostęp do 18 bibliotek i filii, które znajdują się w każdej z gmin członkowskich. Najwięcej z nich znajduje się w Gminie Myślenice – 5 podmiotów, w Gminie Lubień – 4 podmioty, w Gminie Sułkowice – 3 podmioty, po dwa podmioty w gminach Pcim i Wiśniowa oraz po jednym podmiocie w gminach Tokarnia i Raciechowice. </w:t>
      </w:r>
      <w:r>
        <w:rPr>
          <w:rFonts w:ascii="Times New Roman" w:hAnsi="Times New Roman"/>
          <w:color w:val="000000"/>
        </w:rPr>
        <w:br w:type="textWrapping"/>
      </w:r>
      <w:r>
        <w:rPr>
          <w:rFonts w:ascii="Times New Roman" w:hAnsi="Times New Roman"/>
          <w:color w:val="000000"/>
        </w:rPr>
        <w:t>W przeliczeniu na 10 tys. mieszkańców średnia liczba bibliotek i filii na terenie LGD wynosi 1,7 i jest niższa niż średnia dla Polski (2,0) oraz dla województwa małopolskiego (2,1)</w:t>
      </w:r>
      <w:r>
        <w:rPr>
          <w:rFonts w:ascii="Times New Roman" w:hAnsi="Times New Roman"/>
          <w:color w:val="000000"/>
          <w:vertAlign w:val="superscript"/>
        </w:rPr>
        <w:footnoteReference w:id="23"/>
      </w:r>
      <w:r>
        <w:rPr>
          <w:rFonts w:ascii="Times New Roman" w:hAnsi="Times New Roman"/>
          <w:color w:val="000000"/>
        </w:rPr>
        <w:t>.</w:t>
      </w:r>
    </w:p>
    <w:p w14:paraId="697F0DDD">
      <w:pPr>
        <w:suppressAutoHyphens/>
        <w:spacing w:after="0" w:line="276" w:lineRule="auto"/>
        <w:ind w:firstLine="708"/>
        <w:jc w:val="both"/>
        <w:rPr>
          <w:rFonts w:ascii="Times New Roman" w:hAnsi="Times New Roman" w:eastAsia="SimSun" w:cs="Times New Roman"/>
          <w:color w:val="000000"/>
          <w:lang w:eastAsia="ar-SA"/>
        </w:rPr>
      </w:pPr>
      <w:r>
        <w:rPr>
          <w:rFonts w:ascii="Times New Roman" w:hAnsi="Times New Roman" w:eastAsia="SimSun" w:cs="Times New Roman"/>
          <w:color w:val="000000"/>
          <w:lang w:eastAsia="ar-SA"/>
        </w:rPr>
        <w:t xml:space="preserve">Dostępność usług publicznych należy rozważyć także w kontekście ochrony zdrowia. Nie w każdej gminie obszaru LGD funkcjonują podmioty podstawowej opieki zdrowotnej podległe samorządowi. Na terenie gmin obszaru występują placówki prywatne, które mają podpisane umowy z NFZ, dlatego też ubezpieczeni mieszkańcy gminy mogą korzystać bezpłatnie z ich usług. Wskaźnik </w:t>
      </w:r>
      <w:r>
        <w:rPr>
          <w:rFonts w:ascii="Times New Roman" w:hAnsi="Times New Roman" w:eastAsia="SimSun" w:cs="Times New Roman"/>
          <w:i/>
          <w:iCs/>
          <w:color w:val="000000"/>
          <w:lang w:eastAsia="ar-SA"/>
        </w:rPr>
        <w:t>porady lekarskie na 100 mieszkańców</w:t>
      </w:r>
      <w:r>
        <w:rPr>
          <w:rFonts w:ascii="Times New Roman" w:hAnsi="Times New Roman" w:eastAsia="SimSun" w:cs="Times New Roman"/>
          <w:color w:val="000000"/>
          <w:lang w:eastAsia="ar-SA"/>
        </w:rPr>
        <w:t xml:space="preserve"> określa poziom dostępności usług medycznych. Średnio na obszarze LGD w 2021 r. wskaźnik wyniósł 417 porad, co stanowiło wartość wyższą od średniej dla województwa (410) i niższą od średniej wartości dla Polski (452). Najwyższą wartością na obszarze charakteryzowała się Gmina Tokarnia (524).</w:t>
      </w:r>
    </w:p>
    <w:p w14:paraId="3BC43D3E">
      <w:pPr>
        <w:suppressAutoHyphens/>
        <w:spacing w:line="276" w:lineRule="auto"/>
        <w:ind w:firstLine="708"/>
        <w:jc w:val="both"/>
        <w:rPr>
          <w:rFonts w:ascii="Times New Roman" w:hAnsi="Times New Roman" w:eastAsia="SimSun" w:cs="Times New Roman"/>
          <w:color w:val="000000"/>
          <w:lang w:eastAsia="ar-SA"/>
        </w:rPr>
      </w:pPr>
      <w:r>
        <w:rPr>
          <w:rFonts w:ascii="Times New Roman" w:hAnsi="Times New Roman" w:eastAsia="SimSun" w:cs="Times New Roman"/>
          <w:color w:val="000000"/>
          <w:lang w:eastAsia="ar-SA"/>
        </w:rPr>
        <w:t xml:space="preserve">Podczas spotkań z mieszkańcami został poruszony temat niewystarczającej oferty czasu wolnego skierowanej do dzieci oraz do dorosłych mieszkańców, w tym różnorodnych zajęć edukacyjnych, dających możliwość rozwijania pasji i talentów. Uczestnicy spotkań zwrócili uwagę, że nie ma wystarczającej ilości miejsc, gdzie mieszkańcy mogliby wspólnie spędzać czas i się integrować oraz jest zbyt mała ilość wydarzeń kulturalnych </w:t>
      </w:r>
      <w:r>
        <w:rPr>
          <w:rFonts w:ascii="Times New Roman" w:hAnsi="Times New Roman" w:eastAsia="SimSun" w:cs="Times New Roman"/>
          <w:color w:val="000000"/>
          <w:lang w:eastAsia="ar-SA"/>
        </w:rPr>
        <w:br w:type="textWrapping"/>
      </w:r>
      <w:r>
        <w:rPr>
          <w:rFonts w:ascii="Times New Roman" w:hAnsi="Times New Roman" w:eastAsia="SimSun" w:cs="Times New Roman"/>
          <w:color w:val="000000"/>
          <w:lang w:eastAsia="ar-SA"/>
        </w:rPr>
        <w:t xml:space="preserve">i sportowych. Na obszarze w wielu przestrzeniach i obiektach użyteczności nadal występują bariery architektoniczne dla osób niepełnosprawnych i osób o obniżonym poziomie sprawności. Dostępność wiąże się z możliwością korzystania z usług, infrastruktury, ale dotyczy też dostępności rynku pracy czy dostępności oferty spędzania czasu wolnego. W zakresie dostępności istotny jest rozwój cyfryzacji z jednoczesnym kształceniem ludzi w celu zapobiegania wykluczeniu cyfrowemu. Analizy dostępności cyfrowej w zakresie dostępu do Internetu opisano w podrozdziale 1.12. </w:t>
      </w:r>
      <w:r>
        <w:rPr>
          <w:rFonts w:ascii="Times New Roman" w:hAnsi="Times New Roman" w:eastAsia="SimSun" w:cs="Times New Roman"/>
          <w:i/>
          <w:iCs/>
          <w:color w:val="000000"/>
          <w:lang w:eastAsia="ar-SA"/>
        </w:rPr>
        <w:t>Innowacyjność</w:t>
      </w:r>
      <w:r>
        <w:rPr>
          <w:rFonts w:ascii="Times New Roman" w:hAnsi="Times New Roman" w:eastAsia="SimSun" w:cs="Times New Roman"/>
          <w:color w:val="000000"/>
          <w:lang w:eastAsia="ar-SA"/>
        </w:rPr>
        <w:t>.</w:t>
      </w:r>
    </w:p>
    <w:p w14:paraId="13D1439A">
      <w:pPr>
        <w:pStyle w:val="28"/>
        <w:numPr>
          <w:ilvl w:val="1"/>
          <w:numId w:val="15"/>
        </w:numPr>
        <w:spacing w:before="240"/>
        <w:ind w:left="1701" w:hanging="567"/>
        <w:rPr>
          <w:rFonts w:ascii="Times New Roman" w:hAnsi="Times New Roman" w:cs="Times New Roman"/>
          <w:b/>
          <w:bCs/>
        </w:rPr>
      </w:pPr>
      <w:r>
        <w:rPr>
          <w:rFonts w:ascii="Times New Roman" w:hAnsi="Times New Roman" w:cs="Times New Roman"/>
          <w:b/>
          <w:bCs/>
        </w:rPr>
        <w:t>Dziedzictwo kulturowe, tożsamość i potencjał turystyczny</w:t>
      </w:r>
    </w:p>
    <w:p w14:paraId="5F7AE3DA">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 xml:space="preserve">Obszar LGD położony jest na terenie makroregionów Pogórza Zachodniobeskidzkiego i Beskidów Zachodnich, co determinuje warunki naturalne gmin obszaru. </w:t>
      </w:r>
      <w:r>
        <w:rPr>
          <w:rFonts w:ascii="Times New Roman" w:hAnsi="Times New Roman" w:cs="Times New Roman"/>
          <w:color w:val="000000" w:themeColor="text1"/>
          <w14:textFill>
            <w14:solidFill>
              <w14:schemeClr w14:val="tx1"/>
            </w14:solidFill>
          </w14:textFill>
        </w:rPr>
        <w:t>Losy historyczne poszczególnych gmin są bardzo podobne, przy czym podobieństwo to znajduje uzasadnienie w najstarszych świadectwach żyjących na tym obszarze kultur.</w:t>
      </w:r>
    </w:p>
    <w:p w14:paraId="08840C99">
      <w:pPr>
        <w:spacing w:after="0" w:line="276" w:lineRule="auto"/>
        <w:ind w:firstLine="708"/>
        <w:jc w:val="both"/>
        <w:rPr>
          <w:rFonts w:ascii="Times New Roman" w:hAnsi="Times New Roman" w:cs="Times New Roman"/>
        </w:rPr>
      </w:pPr>
      <w:r>
        <w:rPr>
          <w:rFonts w:ascii="Times New Roman" w:hAnsi="Times New Roman" w:cs="Times New Roman"/>
        </w:rPr>
        <w:t xml:space="preserve">Pierwsze ślady osadnictwa na tym terenie sięgają okresu mezolitu (VII tysiąclecie p.n.e.) – odkryto liczne narzędzia kamienne, które pozwoliły na jego datowanie. Na terenie miejscowości obszaru znaleziono również zabytki neolityczne, co świadczy o dawnym osadnictwie rolniczym w rejonie. Obszar gmin były atrakcyjny dla wędrującej ludności szukającej miejsca do osiedlenia się już w czasach prehistorycznych, głównie ze względu na warunki klimatyczne i przyrodnicze (rzeka Raba, która była jedną z najbardziej rybnych rzek, bogactwa okolicznych lasów). </w:t>
      </w:r>
    </w:p>
    <w:p w14:paraId="4CE3FA5C">
      <w:pPr>
        <w:spacing w:after="0" w:line="276" w:lineRule="auto"/>
        <w:ind w:firstLine="708"/>
        <w:jc w:val="both"/>
        <w:rPr>
          <w:rFonts w:ascii="Times New Roman" w:hAnsi="Times New Roman" w:cs="Times New Roman"/>
        </w:rPr>
      </w:pPr>
      <w:r>
        <w:rPr>
          <w:rFonts w:ascii="Times New Roman" w:hAnsi="Times New Roman" w:cs="Times New Roman"/>
        </w:rPr>
        <w:t>Do XV w. na terenach gmin obszaru przeważała gospodarka czynszowa, był to również czas, w którym rozwijały się folwarki. Ziemie obszaru stanowiły własność królewską, były częścią Kasztelanii Krakowskiej. Doliną Raby biegł jeden z ważniejszych szlaków handlowych średniowiecznej Polski, zwany solnym. Dawna droga królewska Via Regia łączyła Kraków z Węgrami, a trakt cesarsko-królewski rozpoczynał bieg z Lwowa przez Tarnów do Wadowic, aż do Wiednia</w:t>
      </w:r>
      <w:r>
        <w:rPr>
          <w:rStyle w:val="17"/>
          <w:rFonts w:ascii="Times New Roman" w:hAnsi="Times New Roman" w:cs="Times New Roman"/>
        </w:rPr>
        <w:footnoteReference w:id="24"/>
      </w:r>
      <w:r>
        <w:rPr>
          <w:rFonts w:ascii="Times New Roman" w:hAnsi="Times New Roman" w:cs="Times New Roman"/>
        </w:rPr>
        <w:t xml:space="preserve">. </w:t>
      </w:r>
    </w:p>
    <w:p w14:paraId="61087EC6">
      <w:pPr>
        <w:spacing w:after="0" w:line="276" w:lineRule="auto"/>
        <w:ind w:firstLine="708"/>
        <w:jc w:val="both"/>
        <w:rPr>
          <w:rFonts w:ascii="Times New Roman" w:hAnsi="Times New Roman" w:cs="Times New Roman"/>
        </w:rPr>
      </w:pPr>
      <w:r>
        <w:rPr>
          <w:rFonts w:ascii="Times New Roman" w:hAnsi="Times New Roman" w:cs="Times New Roman"/>
        </w:rPr>
        <w:t xml:space="preserve">Wiek XVI to względna stabilizacja po okresie zarazy (1651–1652), do momentu najazdu szwedzkiego </w:t>
      </w:r>
      <w:r>
        <w:rPr>
          <w:rFonts w:ascii="Times New Roman" w:hAnsi="Times New Roman" w:cs="Times New Roman"/>
        </w:rPr>
        <w:br w:type="textWrapping"/>
      </w:r>
      <w:r>
        <w:rPr>
          <w:rFonts w:ascii="Times New Roman" w:hAnsi="Times New Roman" w:cs="Times New Roman"/>
        </w:rPr>
        <w:t>i związanego z nim zniszczenia miejscowości – dokonano całkowitego spalenia i ograbienia Myślenic. Po zakończeniu wojny ze Szwecją, w roku 1660, starano się odbudować miasto i przywrócić mu dawną świetność, m.in. poprzez przywilej nadany przez kasztelana krakowskiego Stanisława Koniecpolskiego, który przyznał miastu prawo do odbywania pięciu jarmarków. Na początek XVII wieku ludność Sułkowic datuje początki i rozwój kowalstwa. Rzemiosło to pojawiło się na tym terenie prawdopodobnie za sprawą węgierskich Romów. W prymitywnych kuźniach wyrabiano gwoździe, narzędzia i broń dla zamku lanckorońskiego.</w:t>
      </w:r>
    </w:p>
    <w:p w14:paraId="1DF46C97">
      <w:pPr>
        <w:spacing w:after="0" w:line="276" w:lineRule="auto"/>
        <w:ind w:firstLine="708"/>
        <w:jc w:val="both"/>
        <w:rPr>
          <w:rFonts w:ascii="Times New Roman" w:hAnsi="Times New Roman" w:cs="Times New Roman"/>
        </w:rPr>
      </w:pPr>
      <w:r>
        <w:rPr>
          <w:rFonts w:ascii="Times New Roman" w:hAnsi="Times New Roman" w:cs="Times New Roman"/>
        </w:rPr>
        <w:t xml:space="preserve">Kolejnym istotnym wydarzeniem w dziejach gmin był pierwszy rozbiór Polski w 1772 r., którego skutkiem było wejście gmin obszaru w skład zaboru austriackiego. W grudniu 1773 r. mieszkańcy powiatu myślenickiego złożyli przysięgę poddańczą na wierność cesarzowej, a Galicję podzielono na sześć cyrkułów, a te na dystrykty. Centralą było Gubernium z siedzibą we Lwowie. Skarb austriacki przejął starostwa, dzierżawy dóbr królewskich </w:t>
      </w:r>
      <w:r>
        <w:rPr>
          <w:rFonts w:ascii="Times New Roman" w:hAnsi="Times New Roman" w:cs="Times New Roman"/>
        </w:rPr>
        <w:br w:type="textWrapping"/>
      </w:r>
      <w:r>
        <w:rPr>
          <w:rFonts w:ascii="Times New Roman" w:hAnsi="Times New Roman" w:cs="Times New Roman"/>
        </w:rPr>
        <w:t>i wójtostwa. Powiat myślenicki znalazł się w obrębie cyrkułu wielickiego. Na początku XIX w. nastąpiła wyprzedaż dóbr terenu</w:t>
      </w:r>
      <w:r>
        <w:rPr>
          <w:rStyle w:val="17"/>
          <w:rFonts w:ascii="Times New Roman" w:hAnsi="Times New Roman" w:cs="Times New Roman"/>
        </w:rPr>
        <w:footnoteReference w:id="25"/>
      </w:r>
      <w:r>
        <w:rPr>
          <w:rFonts w:ascii="Times New Roman" w:hAnsi="Times New Roman" w:cs="Times New Roman"/>
        </w:rPr>
        <w:t xml:space="preserve">. </w:t>
      </w:r>
    </w:p>
    <w:p w14:paraId="44F69D98">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Wiek XIX to rozwój kowalstwa na terenie Gminy Sułkowice – w połowie stulecia zatrudnionych było 700 kowali, a na początku XX w. – około 1 000. W 1838 r. powstało przedsiębiorstwo nakładcze Ciężkowskiego, </w:t>
      </w:r>
      <w:r>
        <w:rPr>
          <w:rFonts w:ascii="Times New Roman" w:hAnsi="Times New Roman" w:cs="Times New Roman"/>
        </w:rPr>
        <w:br w:type="textWrapping"/>
      </w:r>
      <w:r>
        <w:rPr>
          <w:rFonts w:ascii="Times New Roman" w:hAnsi="Times New Roman" w:cs="Times New Roman"/>
        </w:rPr>
        <w:t>a w 1845 r. – przedsiębiorstwo Garbienia, od których rzemieślnicy pobierali surowiec i opał, a dostarczali gotowe produkty. W 1887 r. powołano Towarzystwo Kowali – spółkę zrzeszającą 150 właścicieli kuźni. W 1894 r. uruchomiono kowalską szkołę przemysłową. Towarzystwo Kowali upadło w 1906 r., a w 1908 r. w jego miejsce założono Spółkę Kowalską – jej upadek spowodował kryzys gospodarczy lat 30 XX w. Niedługo przed I wojną światową rozpoczęła działalność w tej dziedzinie spółdzielnia „Spólnota”</w:t>
      </w:r>
      <w:r>
        <w:rPr>
          <w:rStyle w:val="17"/>
          <w:rFonts w:ascii="Times New Roman" w:hAnsi="Times New Roman" w:cs="Times New Roman"/>
        </w:rPr>
        <w:footnoteReference w:id="26"/>
      </w:r>
      <w:r>
        <w:rPr>
          <w:rFonts w:ascii="Times New Roman" w:hAnsi="Times New Roman" w:cs="Times New Roman"/>
        </w:rPr>
        <w:t xml:space="preserve">. </w:t>
      </w:r>
    </w:p>
    <w:p w14:paraId="4408A7A9">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Krótko przed wybuchem I wojny światowej w Myślenicach szkolono Drużyny Sokole, dzięki czemu </w:t>
      </w:r>
      <w:r>
        <w:rPr>
          <w:rFonts w:ascii="Times New Roman" w:hAnsi="Times New Roman" w:cs="Times New Roman"/>
        </w:rPr>
        <w:br w:type="textWrapping"/>
      </w:r>
      <w:r>
        <w:rPr>
          <w:rFonts w:ascii="Times New Roman" w:hAnsi="Times New Roman" w:cs="Times New Roman"/>
        </w:rPr>
        <w:t>w 1914 r. do Krakowa wymaszerowało 250 żołnierzy, którzy zostali wcieleni do 4. Pułku Legionów Polskich. Zakończenie I wojny światowej i idące za tym odzyskanie przez Polskę niepodległości zostało w listopadzie 1918 roku uczczone patriotyczną manifestacją, która odbyła się na myślenickim rynku. W dwudziestoleciu międzywojennym nastąpił prężny rozwój ruchu letniskowego. Dzięki budowie jazu na rzece Rabie w 1921 r., coraz więcej mieszkańców Krakowa przyjeżdżało tu odpoczywać. W 1935 r. oddano do użytkowania drogę Myślenice–Kraków, która znacząco wpłynęła na rozwój turystyki.</w:t>
      </w:r>
    </w:p>
    <w:p w14:paraId="1B14D743">
      <w:pPr>
        <w:spacing w:after="0" w:line="276" w:lineRule="auto"/>
        <w:ind w:firstLine="709"/>
        <w:jc w:val="both"/>
        <w:rPr>
          <w:rFonts w:ascii="Times New Roman" w:hAnsi="Times New Roman" w:cs="Times New Roman"/>
        </w:rPr>
      </w:pPr>
      <w:r>
        <w:rPr>
          <w:rFonts w:ascii="Times New Roman" w:hAnsi="Times New Roman" w:cs="Times New Roman"/>
        </w:rPr>
        <w:t xml:space="preserve">Wybuch II wojny światowej w 1939 r. przerwał rozwój miejscowości. Pomimo represji ze strony okupanta, na obszarze działało tajne nauczanie, a w okolicznych lasach zaczęły organizować się oddziały partyzanckie. </w:t>
      </w:r>
      <w:r>
        <w:rPr>
          <w:rFonts w:ascii="Times New Roman" w:hAnsi="Times New Roman" w:cs="Times New Roman"/>
        </w:rPr>
        <w:br w:type="textWrapping"/>
      </w:r>
      <w:r>
        <w:rPr>
          <w:rFonts w:ascii="Times New Roman" w:hAnsi="Times New Roman" w:cs="Times New Roman"/>
        </w:rPr>
        <w:t>W związku z przeistoczeniem Związku Walki Zbrojnej na Armię Krajową, w lutym 1942 roku Myślenice stały się siedzibą komendy Obwodu AK Murawa. 22 sierpnia 1942 roku około tysiąc pięćset osób pochodzenia żydowskiego zostało przez Niemców stłoczonych na rynku w Myślenicach, a następnie wywiezionych do obozów koncentracyjnych lub rozstrzelanych. 24 lipca 1943 r. w Sułkowicach doszło do krwawej pacyfikacji, w której straciło życie 26 osób cywilnych. Kolejne aresztowania wśród żołnierzy AK nastąpiły w 1944 roku. 10 września 1944 roku doszło do jednej z największych bitew partyzanckich w Polsce okresu II wojny światowej</w:t>
      </w:r>
      <w:r>
        <w:rPr>
          <w:rStyle w:val="17"/>
          <w:rFonts w:ascii="Times New Roman" w:hAnsi="Times New Roman" w:cs="Times New Roman"/>
        </w:rPr>
        <w:footnoteReference w:id="27"/>
      </w:r>
      <w:r>
        <w:rPr>
          <w:rFonts w:ascii="Times New Roman" w:hAnsi="Times New Roman" w:cs="Times New Roman"/>
        </w:rPr>
        <w:t xml:space="preserve">. </w:t>
      </w:r>
    </w:p>
    <w:p w14:paraId="0992E927">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 xml:space="preserve">Historia regionu wynikająca z przeszłych wydarzeń powoduje, że obszar charakteryzuje się wyjątkową spójnością, także kulturową. </w:t>
      </w:r>
      <w:r>
        <w:rPr>
          <w:rFonts w:ascii="Times New Roman" w:hAnsi="Times New Roman" w:cs="Times New Roman"/>
          <w:color w:val="000000" w:themeColor="text1"/>
          <w14:textFill>
            <w14:solidFill>
              <w14:schemeClr w14:val="tx1"/>
            </w14:solidFill>
          </w14:textFill>
        </w:rPr>
        <w:t xml:space="preserve">Spójność kulturowa, mająca swoje korzenie w historii obszaru, znajduje wyraz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w istniejących obiektach kultury materialnej. W rejestrze zabytków Narodowego Instytutu Dziedzictwa</w:t>
      </w:r>
      <w:r>
        <w:rPr>
          <w:rStyle w:val="17"/>
          <w:rFonts w:ascii="Times New Roman" w:hAnsi="Times New Roman" w:cs="Times New Roman"/>
          <w:color w:val="000000" w:themeColor="text1"/>
          <w14:textFill>
            <w14:solidFill>
              <w14:schemeClr w14:val="tx1"/>
            </w14:solidFill>
          </w14:textFill>
        </w:rPr>
        <w:footnoteReference w:id="28"/>
      </w:r>
      <w:r>
        <w:rPr>
          <w:rFonts w:ascii="Times New Roman" w:hAnsi="Times New Roman" w:cs="Times New Roman"/>
          <w:color w:val="000000" w:themeColor="text1"/>
          <w14:textFill>
            <w14:solidFill>
              <w14:schemeClr w14:val="tx1"/>
            </w14:solidFill>
          </w14:textFill>
        </w:rPr>
        <w:t xml:space="preserve"> znajduje się wiele cennych zabytków, w tym:</w:t>
      </w:r>
    </w:p>
    <w:p w14:paraId="64073F67">
      <w:pPr>
        <w:pStyle w:val="28"/>
        <w:numPr>
          <w:ilvl w:val="0"/>
          <w:numId w:val="18"/>
        </w:numPr>
        <w:shd w:val="clear" w:color="auto" w:fill="FFFFFF"/>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Gmina Lubień: drewniany kościół parafialny pw. św. Wojciecha z XVI–XVIII w Krzeczowie, willa „Pod Sośniną” z 1912 r. z ogrodem w Lubniu;</w:t>
      </w:r>
    </w:p>
    <w:p w14:paraId="05184224">
      <w:pPr>
        <w:pStyle w:val="28"/>
        <w:numPr>
          <w:ilvl w:val="0"/>
          <w:numId w:val="18"/>
        </w:numPr>
        <w:shd w:val="clear" w:color="auto" w:fill="FFFFFF"/>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Gmina Myślenice: cmentarz wojenny Nr 371 z I wojny światowej z 1915–1916 r. w Drogini, kościół parafialny pw. św. Marii Magdaleny z 1812 r. w Głogoczowie, zespół dworski z XVIII–XIX w. (dwór, park, lamus) w Głogoczowie, kaplica pw. św. Anny z drugiej połowy XIX w. w Jasienicy, drewniany kościół parafialny pw. św. Anny z XVIII w. Krzyszkowicach, park dworski z połowy XIX w. w Krzyszkowicach, część budynku „starej” szkoły z 1884 r. w Krzyszkowicach, dom nr 30 z 1890 r. w Krzyszkowicach</w:t>
      </w:r>
      <w:bookmarkStart w:id="108" w:name="_Hlk121995652"/>
      <w:r>
        <w:rPr>
          <w:rFonts w:ascii="Times New Roman" w:hAnsi="Times New Roman" w:cs="Times New Roman"/>
          <w:color w:val="000000" w:themeColor="text1"/>
          <w14:textFill>
            <w14:solidFill>
              <w14:schemeClr w14:val="tx1"/>
            </w14:solidFill>
          </w14:textFill>
        </w:rPr>
        <w:t xml:space="preserve">, zespół urbanistyczny w Myślenicach, zespół kościoła parafialnego pw. Narodzenia NMP z XV–XVIII w. (kościół, cmentarz przykościelny, ogrodzenie z bramką i schodami, plebania) w Myślenicach, kościół cmentarny pw. NMP i św. Jakuba z XV w. w Myślenicach, kaplica pw. MB Śnieżnej z XVIII w. w Myślenicach, ruina zamku na Ukleinie z XIII w. w Myślenicach, willa z ogrodem z 1910 r. w Myślenicach, gimnazjum z 1910 r. w Myślenicach, budynek Towarzystwa Gimnastycznego „Sokół” z parkiem miejskim z 1902 r., dwór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ogrodem z XX w. w Myślenicach, dwór z ogrodem z 1780 r. w Myślenicach, Kasa Oszczędności z 1911 r. (obecnie dom mieszkalny) w Myślenicach, czternaście domów (XVIII–XX w.) w Myślenicach, szkoła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1869 r. w Myślenicach, zajazd „Dom Grecki” z XVII w. (obecnie dom mieszkalny) w Myślenicach, dwór z drugiej połowy XVIII w. w Myślenicach, budynek dawnego wodociągu miejskiego „Na Studziance”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1892 r. w Myślenicach, drewniano-murowany dawny młyn wodny z XIX w. w Myślenicach, kaplica pw. Trzeciego Upadku Chrystusa z 1780 r. w miejscowości Myślenice – Górne Przedmieście, zespół dworski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XVIII–XX w. (kapliczka, park, obora) w Osieczanach, drewniany kościół parafialny pw. św. Klemensa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1780 r. w Trzemeśni; </w:t>
      </w:r>
    </w:p>
    <w:p w14:paraId="0EAE0BE3">
      <w:pPr>
        <w:pStyle w:val="28"/>
        <w:numPr>
          <w:ilvl w:val="0"/>
          <w:numId w:val="18"/>
        </w:numPr>
        <w:shd w:val="clear" w:color="auto" w:fill="FFFFFF"/>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Gmina Pcim: kościół parafialny pw. MB Królowej Polski z 1908 r. w miejscowości Stróża, kościół parafialny pw. św. Marii Magdaleny z 1799 r. w Trzebuni;</w:t>
      </w:r>
    </w:p>
    <w:p w14:paraId="460ACEC5">
      <w:pPr>
        <w:pStyle w:val="28"/>
        <w:numPr>
          <w:ilvl w:val="0"/>
          <w:numId w:val="18"/>
        </w:numPr>
        <w:shd w:val="clear" w:color="auto" w:fill="FFFFFF"/>
        <w:spacing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Gmina Raciechowice: zespół dworski z połowy XIX w. (dwór, drewniany spichrz, park) w Bojańczycach, zespół dworski z drugiej połowy XIX w. (dwór, spichrz, stajnia, ogród) w Czasławiu, drewniany kościół parafialny pw. Rozesłania Apostołów z XVI w. z drewnianym ogrodzeniem w Gruszowie, zespół dworski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z XVIII–XIX w. (dwór, spichrz, park) w Komornikach, zespół pustelni św. Benedykta z drugiej połowy XIX w. (drewniana kaplica pw. św. Benedykta, dom pustelnika, przydrożna kapliczka z obrazem MB Częstochowskiej) w miejscowości Krzesławice-Podkamień, drewniany kościół parafialny pw. św. Jakuba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z 1720 r. (z drewnianą dzwonnicą z XIX w.) w Raciechowicach, zespół dworski z XVIII w. (dwór, park, spichrz) w Raciechowicach, park dworski z XVIII–XIX w. w Żerosławicach, drewniana kapliczka św. Jana Nepomucena z XX w. w Żerosławicach;</w:t>
      </w:r>
    </w:p>
    <w:bookmarkEnd w:id="108"/>
    <w:p w14:paraId="27AB2419">
      <w:pPr>
        <w:pStyle w:val="28"/>
        <w:numPr>
          <w:ilvl w:val="0"/>
          <w:numId w:val="18"/>
        </w:numPr>
        <w:shd w:val="clear" w:color="auto" w:fill="FFFFFF"/>
        <w:spacing w:before="240"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Gmina Sułkowice: kościół pw. Imienia NPM i św. Michała z 1828 r. w Harbutowicach, zespół kościoła parafialnego pw. Świętej Trójcy z XIX–XX w. (kościół, plebania, drewniana stodoła przy plebani, cmentarz, kaplica cmentarna) w Krzywaczce, zespół dworski z XIX w. (dwór, park) w Krzywaczce, zespół dawnego zajazdu z 1817 r. (zajazd, wozownia, stajnia, ogrodzenia z bramami) w Krzywaczce, kościół filialny pw. św. Zofii z 1825 r. w Sułkowicach;</w:t>
      </w:r>
    </w:p>
    <w:p w14:paraId="6B94A653">
      <w:pPr>
        <w:pStyle w:val="28"/>
        <w:numPr>
          <w:ilvl w:val="0"/>
          <w:numId w:val="18"/>
        </w:numPr>
        <w:shd w:val="clear" w:color="auto" w:fill="FFFFFF"/>
        <w:spacing w:before="240" w:after="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Gmina Tokarnia: zespół dworski z XVIII–XIX w. (dwór, park, drewniana kaplica) w miejscowości Skomielna Czarna, część dawnego parku dworskiego z XVIII–XIX w. w Tokarni;</w:t>
      </w:r>
    </w:p>
    <w:p w14:paraId="40BDB6CA">
      <w:pPr>
        <w:pStyle w:val="28"/>
        <w:numPr>
          <w:ilvl w:val="0"/>
          <w:numId w:val="18"/>
        </w:numPr>
        <w:shd w:val="clear" w:color="auto" w:fill="FFFFFF"/>
        <w:spacing w:before="240" w:line="276"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Gmina Wiśniowa: drewniany kościół parafialny pw. św. Marcina z 1730 r. (z drewnianą dzwonnicą)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Wiśniowej, drewniana bożnica (obecnie remiza) z XX w. w Wiśniowej, cmentarz wojenny nr 373 z I wojny światowej (1916 r.) w Wiśniowej, cmentarz wojenny nr 374 z I wojny światowej (1915 r.) z kaplicą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i ogrodzeniem w Wiśniowej, dom nr 17 z XIX–XX w. w Wiśniowej. </w:t>
      </w:r>
    </w:p>
    <w:p w14:paraId="62522C79">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Oprócz wymienionych wyżej obiektów kultury i dziedzictwa regionu myślenickiego, na terenie gmin obszaru funkcjonują podmioty tworzące bazę dla rozwoju turystyki i stanowią one bazę rozwoju tego obszaru. Są to m.in. Obserwatorium Astronomiczne im. Tadeusza Banachiewicza na górze Lubomir w Węglówce (Gmina Wiśniowa), Muzeum Niepodległości w Myślenicach (Gmina Myślenice), Kalwaria Tokarska </w:t>
      </w:r>
      <w:r>
        <w:rPr>
          <w:rFonts w:ascii="Times New Roman" w:hAnsi="Times New Roman" w:cs="Times New Roman"/>
          <w:color w:val="000000" w:themeColor="text1"/>
          <w14:textFill>
            <w14:solidFill>
              <w14:schemeClr w14:val="tx1"/>
            </w14:solidFill>
          </w14:textFill>
        </w:rPr>
        <w:softHyphen/>
      </w:r>
      <w:r>
        <w:rPr>
          <w:rFonts w:ascii="Times New Roman" w:hAnsi="Times New Roman" w:cs="Times New Roman"/>
          <w:color w:val="000000" w:themeColor="text1"/>
          <w14:textFill>
            <w14:solidFill>
              <w14:schemeClr w14:val="tx1"/>
            </w14:solidFill>
          </w14:textFill>
        </w:rPr>
        <w:t>– zespół rzeźb plenerowych na północnym zboczu Urbaniej Góry (Gmina Tokarnia), Centrum Sportu i Rekreacji w Myślenicach (Gmina Myślenice), Centrum Wodne „Aquarius” w Myślenicach (Gmina Myślenice), zalew w Kompleksie Rekreacyjno-Sportowym „Gościbia” w Sułkowicach. Ważnymi elementami infrastruktury turystycznej są także: odkryty basen letni w Myślenicach, jednoosobowa kolej liniowa wraz z wyciągiem krzesełkowym prowadząca na górę Chełm (Gmina Myślenice), schroniska turystyczne, korty tenisowe na Zarabiu w Myślenicach, hale i sale sportowe, a także boiska sportowe ze sztuczną nawierzchnią, liczne szlaki turystyczne oraz terenowe szlaki rowerowe i ścieżki turystyczne, gospodarstwa turystyczne, ośrodki jazdy konnej.</w:t>
      </w:r>
    </w:p>
    <w:p w14:paraId="05810297">
      <w:pPr>
        <w:shd w:val="clear" w:color="auto" w:fill="FFFFFF"/>
        <w:spacing w:after="0" w:line="276" w:lineRule="auto"/>
        <w:ind w:firstLine="709"/>
        <w:jc w:val="both"/>
        <w:rPr>
          <w:rStyle w:val="22"/>
          <w:rFonts w:ascii="Times New Roman" w:hAnsi="Times New Roman" w:cs="Times New Roman"/>
          <w:b w:val="0"/>
          <w:bCs w:val="0"/>
        </w:rPr>
      </w:pPr>
      <w:r>
        <w:rPr>
          <w:rStyle w:val="22"/>
          <w:rFonts w:ascii="Times New Roman" w:hAnsi="Times New Roman" w:cs="Times New Roman"/>
          <w:b w:val="0"/>
          <w:bCs w:val="0"/>
        </w:rPr>
        <w:t xml:space="preserve">Ze względu na położenie, na obszarze LGD możliwe jest również aktywne spędzanie czasu i uprawianie sportów zimowych. Na terenie gmin obszaru funkcjonuje: </w:t>
      </w:r>
    </w:p>
    <w:p w14:paraId="414D0C29">
      <w:pPr>
        <w:pStyle w:val="28"/>
        <w:numPr>
          <w:ilvl w:val="0"/>
          <w:numId w:val="19"/>
        </w:numPr>
        <w:shd w:val="clear" w:color="auto" w:fill="FFFFFF"/>
        <w:spacing w:after="0" w:line="276" w:lineRule="auto"/>
        <w:ind w:left="851" w:hanging="284"/>
        <w:jc w:val="both"/>
        <w:rPr>
          <w:rStyle w:val="22"/>
          <w:rFonts w:ascii="Times New Roman" w:hAnsi="Times New Roman" w:cs="Times New Roman"/>
          <w:b w:val="0"/>
          <w:bCs w:val="0"/>
        </w:rPr>
      </w:pPr>
      <w:r>
        <w:rPr>
          <w:rStyle w:val="22"/>
          <w:rFonts w:ascii="Times New Roman" w:hAnsi="Times New Roman" w:cs="Times New Roman"/>
          <w:b w:val="0"/>
          <w:bCs w:val="0"/>
        </w:rPr>
        <w:t xml:space="preserve">stacja narciarska </w:t>
      </w:r>
      <w:r>
        <w:rPr>
          <w:rStyle w:val="22"/>
          <w:rFonts w:ascii="Times New Roman" w:hAnsi="Times New Roman" w:cs="Times New Roman"/>
          <w:b w:val="0"/>
          <w:bCs w:val="0"/>
          <w:sz w:val="21"/>
          <w:szCs w:val="21"/>
        </w:rPr>
        <w:t>S</w:t>
      </w:r>
      <w:r>
        <w:rPr>
          <w:rStyle w:val="22"/>
          <w:rFonts w:ascii="Times New Roman" w:hAnsi="Times New Roman" w:cs="Times New Roman"/>
          <w:b w:val="0"/>
          <w:bCs w:val="0"/>
        </w:rPr>
        <w:t>zklana Góra Ski – powstała w położonej zaledwie 25 km od Krakowa miejscowości Harbutowice (Gmina Sułkowice). Ulokowana na północno-zachodnim stoku Szklanej Góry, charakteryzuje się łagodnym nachyleniem</w:t>
      </w:r>
      <w:r>
        <w:rPr>
          <w:rStyle w:val="17"/>
          <w:rFonts w:ascii="Times New Roman" w:hAnsi="Times New Roman" w:cs="Times New Roman"/>
          <w:b/>
          <w:bCs/>
        </w:rPr>
        <w:footnoteReference w:id="29"/>
      </w:r>
      <w:r>
        <w:rPr>
          <w:rStyle w:val="22"/>
          <w:rFonts w:ascii="Times New Roman" w:hAnsi="Times New Roman" w:cs="Times New Roman"/>
          <w:b w:val="0"/>
          <w:bCs w:val="0"/>
        </w:rPr>
        <w:t>;</w:t>
      </w:r>
    </w:p>
    <w:p w14:paraId="43D8484D">
      <w:pPr>
        <w:pStyle w:val="28"/>
        <w:numPr>
          <w:ilvl w:val="0"/>
          <w:numId w:val="19"/>
        </w:numPr>
        <w:shd w:val="clear" w:color="auto" w:fill="FFFFFF"/>
        <w:spacing w:before="240" w:after="0" w:line="276" w:lineRule="auto"/>
        <w:ind w:left="851" w:hanging="284"/>
        <w:jc w:val="both"/>
        <w:rPr>
          <w:rFonts w:ascii="Times New Roman" w:hAnsi="Times New Roman" w:cs="Times New Roman"/>
        </w:rPr>
      </w:pPr>
      <w:r>
        <w:rPr>
          <w:rStyle w:val="22"/>
          <w:rFonts w:ascii="Times New Roman" w:hAnsi="Times New Roman" w:cs="Times New Roman"/>
          <w:b w:val="0"/>
          <w:bCs w:val="0"/>
        </w:rPr>
        <w:t>stacja narciarska „Myślenice Sport Arena”</w:t>
      </w:r>
      <w:r>
        <w:rPr>
          <w:rStyle w:val="22"/>
          <w:rFonts w:ascii="Times New Roman" w:hAnsi="Times New Roman" w:cs="Times New Roman"/>
        </w:rPr>
        <w:t xml:space="preserve"> – </w:t>
      </w:r>
      <w:r>
        <w:rPr>
          <w:rFonts w:ascii="Times New Roman" w:hAnsi="Times New Roman" w:cs="Times New Roman"/>
          <w:color w:val="000000"/>
        </w:rPr>
        <w:t>położona w Beskidzie Wyspowym na górze Chełm (654 m n.p.m.). Posiada 2 trasy narciarskie o długości 855 m i 1100 m. Jedna z nich posiada homologację FIS, obie trasy są oświetlone, naśnieżane oraz ratrakowane. Przy stacji znajduje się 4-osobowa kolej krzesełkowa o długości 770 m, z której korzystają narciarze, a także osoby chcące skorzystać z Karczmy na Górze Chełm oraz podziwiać piękne widoki na Myślenice. Na szczycie Góry Chełm przy trasie Czerwonej znajduje się wyciąg talerzykowy dla początkujących narciarzy, o długości 150 m;</w:t>
      </w:r>
    </w:p>
    <w:p w14:paraId="5B5A8FC8">
      <w:pPr>
        <w:pStyle w:val="28"/>
        <w:numPr>
          <w:ilvl w:val="0"/>
          <w:numId w:val="19"/>
        </w:numPr>
        <w:shd w:val="clear" w:color="auto" w:fill="FFFFFF"/>
        <w:spacing w:before="240" w:after="0" w:line="276" w:lineRule="auto"/>
        <w:ind w:left="851" w:hanging="284"/>
        <w:jc w:val="both"/>
        <w:rPr>
          <w:rFonts w:ascii="Times New Roman" w:hAnsi="Times New Roman" w:cs="Times New Roman"/>
        </w:rPr>
      </w:pPr>
      <w:r>
        <w:rPr>
          <w:rFonts w:ascii="Times New Roman" w:hAnsi="Times New Roman" w:cs="Times New Roman"/>
          <w:color w:val="000000"/>
        </w:rPr>
        <w:t>stacja narciarska „Skomielna Czarna Ski” – położona w Gminie Tokarnia, posiada dwa wyciągi: orczykowy o długości 700 metrów i dla początkujących – o długości 100 metrów. Dysponuje oświetlonymi trasami, co umożliwia jazdę wieczorną;</w:t>
      </w:r>
    </w:p>
    <w:p w14:paraId="3C4AD561">
      <w:pPr>
        <w:pStyle w:val="28"/>
        <w:numPr>
          <w:ilvl w:val="0"/>
          <w:numId w:val="19"/>
        </w:numPr>
        <w:shd w:val="clear" w:color="auto" w:fill="FFFFFF"/>
        <w:spacing w:before="240" w:after="0" w:line="276" w:lineRule="auto"/>
        <w:ind w:left="851" w:hanging="284"/>
        <w:jc w:val="both"/>
        <w:rPr>
          <w:rFonts w:ascii="Times New Roman" w:hAnsi="Times New Roman" w:cs="Times New Roman"/>
        </w:rPr>
      </w:pPr>
      <w:r>
        <w:rPr>
          <w:rFonts w:ascii="Times New Roman" w:hAnsi="Times New Roman" w:cs="Times New Roman"/>
          <w:color w:val="000000"/>
        </w:rPr>
        <w:t>szkoła narciarka dla osób chętnych do nauki jazdy oraz Kryte Lodowisko „Zarabie”, które jest czynne od listopada do marca (Gmina Myślenice)</w:t>
      </w:r>
      <w:r>
        <w:rPr>
          <w:rStyle w:val="17"/>
          <w:rFonts w:ascii="Times New Roman" w:hAnsi="Times New Roman" w:cs="Times New Roman"/>
          <w:color w:val="000000"/>
        </w:rPr>
        <w:footnoteReference w:id="30"/>
      </w:r>
      <w:r>
        <w:rPr>
          <w:rFonts w:ascii="Times New Roman" w:hAnsi="Times New Roman" w:cs="Times New Roman"/>
          <w:color w:val="000000"/>
        </w:rPr>
        <w:t>;</w:t>
      </w:r>
    </w:p>
    <w:p w14:paraId="1DE8CF65">
      <w:pPr>
        <w:pStyle w:val="28"/>
        <w:numPr>
          <w:ilvl w:val="0"/>
          <w:numId w:val="19"/>
        </w:numPr>
        <w:shd w:val="clear" w:color="auto" w:fill="FFFFFF"/>
        <w:spacing w:before="240" w:line="276" w:lineRule="auto"/>
        <w:ind w:left="851" w:hanging="284"/>
        <w:jc w:val="both"/>
        <w:rPr>
          <w:rFonts w:ascii="Times New Roman" w:hAnsi="Times New Roman" w:cs="Times New Roman"/>
        </w:rPr>
      </w:pPr>
      <w:r>
        <w:rPr>
          <w:rFonts w:ascii="Times New Roman" w:hAnsi="Times New Roman" w:cs="Times New Roman"/>
          <w:color w:val="000000"/>
        </w:rPr>
        <w:t>trasy zjazdowe typu downhill zlokalizowane na górze Chełm (Gmina Myślenice).</w:t>
      </w:r>
    </w:p>
    <w:p w14:paraId="593F9687">
      <w:pPr>
        <w:spacing w:after="0" w:line="276" w:lineRule="auto"/>
        <w:ind w:firstLine="708"/>
        <w:jc w:val="both"/>
        <w:rPr>
          <w:rFonts w:ascii="Times New Roman" w:hAnsi="Times New Roman" w:cs="Times New Roman"/>
        </w:rPr>
      </w:pPr>
      <w:r>
        <w:rPr>
          <w:rStyle w:val="22"/>
          <w:rFonts w:ascii="Times New Roman" w:hAnsi="Times New Roman" w:cs="Times New Roman"/>
          <w:b w:val="0"/>
          <w:bCs w:val="0"/>
          <w:color w:val="000000"/>
          <w:shd w:val="clear" w:color="auto" w:fill="FFFFFF"/>
        </w:rPr>
        <w:t>Bardzo ważna dla obszaru LGD jest kultura ludowa, która charakteryzuje się dużą oryginalnością, na co wpływ miała wspólna historia. Specyfiką obszaru jest to, że występuje bardzo mocne przywiązanie do tradycji, które przetrwały i są nadal kultywowane. Charakterystycznym elementem dla obszaru LGD jest kowalstwo, kamieniarstwo, bednarstwo.</w:t>
      </w:r>
      <w:r>
        <w:rPr>
          <w:rStyle w:val="22"/>
          <w:rFonts w:ascii="Times New Roman" w:hAnsi="Times New Roman" w:cs="Times New Roman"/>
          <w:color w:val="000000"/>
          <w:shd w:val="clear" w:color="auto" w:fill="FFFFFF"/>
        </w:rPr>
        <w:t xml:space="preserve"> </w:t>
      </w:r>
      <w:r>
        <w:rPr>
          <w:rFonts w:ascii="Times New Roman" w:hAnsi="Times New Roman" w:cs="Times New Roman"/>
        </w:rPr>
        <w:t>Silne poczucie tożsamości lokalnej i regionalnej obszaru LGD pozwala na kultywowanie tradycji oraz rozwój sztuki ludowej. Tradycyjne rzemiosła, zawody, specjalizacje, specyficzne umiejętności są przekazywane z pokolenia na pokolenie i sztuka ludowa na tych terenach wciąż się rozwija. Bardzo ważnym elementem dla zamieszkującej obszar LGD ludności jest muzyka i folklor na niej oparty.</w:t>
      </w:r>
    </w:p>
    <w:p w14:paraId="504D9718">
      <w:pPr>
        <w:spacing w:line="276" w:lineRule="auto"/>
        <w:ind w:firstLine="708"/>
        <w:jc w:val="both"/>
        <w:rPr>
          <w:rFonts w:ascii="Times New Roman" w:hAnsi="Times New Roman" w:cs="Times New Roman"/>
        </w:rPr>
      </w:pPr>
      <w:r>
        <w:rPr>
          <w:rFonts w:ascii="Times New Roman" w:hAnsi="Times New Roman" w:cs="Times New Roman"/>
        </w:rPr>
        <w:t xml:space="preserve">Wyniki z ankiet wskazują, iż zdaniem mieszkańców: </w:t>
      </w:r>
      <w:r>
        <w:rPr>
          <w:rFonts w:ascii="Times New Roman" w:hAnsi="Times New Roman" w:cs="Times New Roman"/>
          <w:iCs/>
        </w:rPr>
        <w:t>„</w:t>
      </w:r>
      <w:r>
        <w:rPr>
          <w:rFonts w:ascii="Times New Roman" w:hAnsi="Times New Roman" w:cs="Times New Roman"/>
        </w:rPr>
        <w:t>wzrost świadomości obywatelskiej, w tym poczucia tożsamości i identyfikacji z miejscem zamieszkania” (43% odpowiedzi) jest jedną z największych szans dla rozwoju regionu</w:t>
      </w:r>
      <w:bookmarkStart w:id="109" w:name="_Hlk134963596"/>
      <w:r>
        <w:rPr>
          <w:rFonts w:ascii="Times New Roman" w:hAnsi="Times New Roman" w:cs="Times New Roman"/>
        </w:rPr>
        <w:t xml:space="preserve">. Ponadto w badaniu ankietowym dotyczącym wskazania wyróżników obszaru, najczęściej wymieniano lokalną tradycję, dziedzictwo kulturowe, zabytki oraz tradycyjne kowalstwo sułkowickie. Najistotniejszym produktem wdrażania LSR powinny być działania dające możliwości zagospodarowania czasu wolnego mieszkańców przy wykorzystaniu posiadanych potencjałów. </w:t>
      </w:r>
      <w:bookmarkStart w:id="110" w:name="_Hlk134963566"/>
      <w:r>
        <w:rPr>
          <w:rFonts w:ascii="Times New Roman" w:hAnsi="Times New Roman" w:cs="Times New Roman"/>
        </w:rPr>
        <w:t xml:space="preserve">Stanowią one fundament do rozwoju mentalnego lokalnej społeczności i turystów, kultywowania tradycji i korzystania z kultury. Kluczowe będzie zapewnienie mieszkańcom szerokiego dostępu do kultury – udział w kulturze to nie jedynie rozrywka i rekreacja, ale także ważny element budowania lokalnych tożsamości oraz kapitału społecznego. Efektem podejmowanych działań będzie zwiększenie integracji międzypokoleniowej oraz rozszerzenie oferty kulturalnej </w:t>
      </w:r>
      <w:bookmarkEnd w:id="110"/>
      <w:r>
        <w:rPr>
          <w:rFonts w:ascii="Times New Roman" w:hAnsi="Times New Roman" w:cs="Times New Roman"/>
        </w:rPr>
        <w:t>na obszarze</w:t>
      </w:r>
      <w:bookmarkEnd w:id="109"/>
      <w:r>
        <w:rPr>
          <w:rFonts w:ascii="Times New Roman" w:hAnsi="Times New Roman" w:cs="Times New Roman"/>
        </w:rPr>
        <w:t xml:space="preserve">. </w:t>
      </w:r>
    </w:p>
    <w:p w14:paraId="244A5FDF">
      <w:pPr>
        <w:pStyle w:val="28"/>
        <w:numPr>
          <w:ilvl w:val="1"/>
          <w:numId w:val="15"/>
        </w:numPr>
        <w:ind w:left="1701" w:hanging="567"/>
        <w:rPr>
          <w:rFonts w:ascii="Times New Roman" w:hAnsi="Times New Roman" w:cs="Times New Roman"/>
          <w:b/>
          <w:bCs/>
        </w:rPr>
      </w:pPr>
      <w:r>
        <w:rPr>
          <w:rFonts w:ascii="Times New Roman" w:hAnsi="Times New Roman" w:cs="Times New Roman"/>
          <w:b/>
          <w:bCs/>
        </w:rPr>
        <w:t>Rolnictwo, rynek rolny</w:t>
      </w:r>
    </w:p>
    <w:p w14:paraId="67AF07E7">
      <w:pPr>
        <w:ind w:firstLine="708"/>
        <w:jc w:val="both"/>
        <w:rPr>
          <w:rFonts w:ascii="Times New Roman" w:hAnsi="Times New Roman" w:cs="Times New Roman"/>
        </w:rPr>
        <w:sectPr>
          <w:pgSz w:w="11906" w:h="16838"/>
          <w:pgMar w:top="851" w:right="851" w:bottom="851" w:left="851" w:header="709" w:footer="709" w:gutter="0"/>
          <w:cols w:space="708" w:num="1"/>
          <w:titlePg/>
          <w:docGrid w:linePitch="360" w:charSpace="0"/>
        </w:sectPr>
      </w:pPr>
      <w:bookmarkStart w:id="111" w:name="_Toc112152409"/>
      <w:r>
        <w:rPr>
          <w:rFonts w:ascii="Times New Roman" w:hAnsi="Times New Roman" w:cs="Times New Roman"/>
          <w:color w:val="000000"/>
          <w:szCs w:val="20"/>
        </w:rPr>
        <w:t xml:space="preserve">Spójność obszaru LGD Między Dalinem i Gościbią pod względem ekonomicznym obrazuje ilość gospodarstw rolnych o podobnej strukturze. </w:t>
      </w:r>
      <w:r>
        <w:rPr>
          <w:rFonts w:ascii="Times New Roman" w:hAnsi="Times New Roman" w:cs="Times New Roman"/>
        </w:rPr>
        <w:t>Na obszarze tym charakterystyczna jest duża liczba małych gospodarstw, co jest odbiciem typowej struktury wielkościowej gospodarstw na obszarach wiejskich Polski, zwłaszcza terenów położonych na obszarach wyżynnych. W tabeli 15 przedstawiono dane z 2020 r. dotyczące udziału gospodarstw rolnych w powierzchni poszczególnych jednostek ogółem oraz udziały gospodarstw w gospodarstwach rolnych ogółem ze względu na wielkość.</w:t>
      </w:r>
    </w:p>
    <w:p w14:paraId="1C0CBC60">
      <w:pPr>
        <w:pStyle w:val="9"/>
        <w:spacing w:after="0"/>
        <w:jc w:val="center"/>
        <w:rPr>
          <w:rFonts w:ascii="Times New Roman" w:hAnsi="Times New Roman" w:cs="Times New Roman"/>
          <w:color w:val="000000" w:themeColor="text1"/>
          <w14:textFill>
            <w14:solidFill>
              <w14:schemeClr w14:val="tx1"/>
            </w14:solidFill>
          </w14:textFill>
        </w:rPr>
      </w:pPr>
      <w:bookmarkStart w:id="112" w:name="_Toc136241403"/>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15</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Struktura gospodarstw rolnych w poszczególnych gminach LGD oraz porównanie średniej obszaru LGD do województwa i kraju w 2020 r.</w:t>
      </w:r>
      <w:bookmarkEnd w:id="111"/>
      <w:bookmarkEnd w:id="112"/>
    </w:p>
    <w:tbl>
      <w:tblPr>
        <w:tblStyle w:val="6"/>
        <w:tblW w:w="5000" w:type="pct"/>
        <w:tblInd w:w="0" w:type="dxa"/>
        <w:tblLayout w:type="fixed"/>
        <w:tblCellMar>
          <w:top w:w="0" w:type="dxa"/>
          <w:left w:w="70" w:type="dxa"/>
          <w:bottom w:w="0" w:type="dxa"/>
          <w:right w:w="70" w:type="dxa"/>
        </w:tblCellMar>
      </w:tblPr>
      <w:tblGrid>
        <w:gridCol w:w="3050"/>
        <w:gridCol w:w="2123"/>
        <w:gridCol w:w="1293"/>
        <w:gridCol w:w="1293"/>
        <w:gridCol w:w="1293"/>
        <w:gridCol w:w="1293"/>
      </w:tblGrid>
      <w:tr w14:paraId="7F7E9874">
        <w:tblPrEx>
          <w:tblCellMar>
            <w:top w:w="0" w:type="dxa"/>
            <w:left w:w="70" w:type="dxa"/>
            <w:bottom w:w="0" w:type="dxa"/>
            <w:right w:w="70" w:type="dxa"/>
          </w:tblCellMar>
        </w:tblPrEx>
        <w:trPr>
          <w:trHeight w:val="340" w:hRule="atLeast"/>
        </w:trPr>
        <w:tc>
          <w:tcPr>
            <w:tcW w:w="14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07E96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0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924D0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Udział gospodarstw rolnych w powierzchni ogółem</w:t>
            </w:r>
          </w:p>
        </w:tc>
        <w:tc>
          <w:tcPr>
            <w:tcW w:w="2500" w:type="pct"/>
            <w:gridSpan w:val="4"/>
            <w:tcBorders>
              <w:top w:val="single" w:color="auto" w:sz="4" w:space="0"/>
              <w:left w:val="nil"/>
              <w:bottom w:val="single" w:color="auto" w:sz="4" w:space="0"/>
              <w:right w:val="single" w:color="auto" w:sz="4" w:space="0"/>
            </w:tcBorders>
            <w:shd w:val="clear" w:color="auto" w:fill="auto"/>
            <w:vAlign w:val="center"/>
          </w:tcPr>
          <w:p w14:paraId="66A2680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 xml:space="preserve">Udział gospodarstw w gospodarstwach rolnych </w:t>
            </w:r>
            <w:r>
              <w:rPr>
                <w:rFonts w:ascii="Times New Roman" w:hAnsi="Times New Roman" w:eastAsia="Times New Roman" w:cs="Times New Roman"/>
                <w:b/>
                <w:bCs/>
                <w:color w:val="000000"/>
                <w:sz w:val="20"/>
                <w:szCs w:val="20"/>
                <w:lang w:eastAsia="pl-PL"/>
              </w:rPr>
              <w:br w:type="textWrapping"/>
            </w:r>
            <w:r>
              <w:rPr>
                <w:rFonts w:ascii="Times New Roman" w:hAnsi="Times New Roman" w:eastAsia="Times New Roman" w:cs="Times New Roman"/>
                <w:b/>
                <w:bCs/>
                <w:color w:val="000000"/>
                <w:sz w:val="20"/>
                <w:szCs w:val="20"/>
                <w:lang w:eastAsia="pl-PL"/>
              </w:rPr>
              <w:t>ogółem ze względu na wielkość</w:t>
            </w:r>
          </w:p>
        </w:tc>
      </w:tr>
      <w:tr w14:paraId="0DBF1371">
        <w:tblPrEx>
          <w:tblCellMar>
            <w:top w:w="0" w:type="dxa"/>
            <w:left w:w="70" w:type="dxa"/>
            <w:bottom w:w="0" w:type="dxa"/>
            <w:right w:w="70" w:type="dxa"/>
          </w:tblCellMar>
        </w:tblPrEx>
        <w:trPr>
          <w:trHeight w:val="340" w:hRule="atLeast"/>
        </w:trPr>
        <w:tc>
          <w:tcPr>
            <w:tcW w:w="14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ABA343">
            <w:pPr>
              <w:spacing w:after="0" w:line="240" w:lineRule="auto"/>
              <w:rPr>
                <w:rFonts w:ascii="Times New Roman" w:hAnsi="Times New Roman" w:eastAsia="Times New Roman" w:cs="Times New Roman"/>
                <w:b/>
                <w:bCs/>
                <w:color w:val="000000"/>
                <w:sz w:val="20"/>
                <w:szCs w:val="20"/>
                <w:lang w:eastAsia="pl-PL"/>
              </w:rPr>
            </w:pPr>
          </w:p>
        </w:tc>
        <w:tc>
          <w:tcPr>
            <w:tcW w:w="10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A30466">
            <w:pPr>
              <w:spacing w:after="0" w:line="240" w:lineRule="auto"/>
              <w:rPr>
                <w:rFonts w:ascii="Times New Roman" w:hAnsi="Times New Roman" w:eastAsia="Times New Roman" w:cs="Times New Roman"/>
                <w:b/>
                <w:bCs/>
                <w:color w:val="000000"/>
                <w:sz w:val="20"/>
                <w:szCs w:val="20"/>
                <w:lang w:eastAsia="pl-PL"/>
              </w:rPr>
            </w:pPr>
          </w:p>
        </w:tc>
        <w:tc>
          <w:tcPr>
            <w:tcW w:w="625" w:type="pct"/>
            <w:tcBorders>
              <w:top w:val="nil"/>
              <w:left w:val="nil"/>
              <w:bottom w:val="single" w:color="auto" w:sz="4" w:space="0"/>
              <w:right w:val="single" w:color="auto" w:sz="4" w:space="0"/>
            </w:tcBorders>
            <w:shd w:val="clear" w:color="auto" w:fill="auto"/>
            <w:vAlign w:val="center"/>
          </w:tcPr>
          <w:p w14:paraId="15ECACB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1–5 ha</w:t>
            </w:r>
          </w:p>
        </w:tc>
        <w:tc>
          <w:tcPr>
            <w:tcW w:w="625" w:type="pct"/>
            <w:tcBorders>
              <w:top w:val="nil"/>
              <w:left w:val="nil"/>
              <w:bottom w:val="single" w:color="auto" w:sz="4" w:space="0"/>
              <w:right w:val="single" w:color="auto" w:sz="4" w:space="0"/>
            </w:tcBorders>
            <w:shd w:val="clear" w:color="auto" w:fill="auto"/>
            <w:vAlign w:val="center"/>
          </w:tcPr>
          <w:p w14:paraId="33AA1B6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5–10 ha</w:t>
            </w:r>
          </w:p>
        </w:tc>
        <w:tc>
          <w:tcPr>
            <w:tcW w:w="625" w:type="pct"/>
            <w:tcBorders>
              <w:top w:val="nil"/>
              <w:left w:val="nil"/>
              <w:bottom w:val="single" w:color="auto" w:sz="4" w:space="0"/>
              <w:right w:val="single" w:color="auto" w:sz="4" w:space="0"/>
            </w:tcBorders>
            <w:shd w:val="clear" w:color="auto" w:fill="auto"/>
            <w:vAlign w:val="center"/>
          </w:tcPr>
          <w:p w14:paraId="1FE9359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10–15 ha</w:t>
            </w:r>
          </w:p>
        </w:tc>
        <w:tc>
          <w:tcPr>
            <w:tcW w:w="625" w:type="pct"/>
            <w:tcBorders>
              <w:top w:val="nil"/>
              <w:left w:val="nil"/>
              <w:bottom w:val="single" w:color="auto" w:sz="4" w:space="0"/>
              <w:right w:val="single" w:color="auto" w:sz="4" w:space="0"/>
            </w:tcBorders>
            <w:shd w:val="clear" w:color="auto" w:fill="auto"/>
            <w:vAlign w:val="center"/>
          </w:tcPr>
          <w:p w14:paraId="50BA14D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15 ha i więcej</w:t>
            </w:r>
          </w:p>
        </w:tc>
      </w:tr>
      <w:tr w14:paraId="052FE187">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76598F85">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1026" w:type="pct"/>
            <w:tcBorders>
              <w:top w:val="nil"/>
              <w:left w:val="nil"/>
              <w:bottom w:val="single" w:color="auto" w:sz="4" w:space="0"/>
              <w:right w:val="single" w:color="auto" w:sz="4" w:space="0"/>
            </w:tcBorders>
            <w:shd w:val="clear" w:color="auto" w:fill="auto"/>
            <w:vAlign w:val="center"/>
          </w:tcPr>
          <w:p w14:paraId="64E3C75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22,5</w:t>
            </w:r>
          </w:p>
        </w:tc>
        <w:tc>
          <w:tcPr>
            <w:tcW w:w="625" w:type="pct"/>
            <w:tcBorders>
              <w:top w:val="nil"/>
              <w:left w:val="nil"/>
              <w:bottom w:val="single" w:color="auto" w:sz="4" w:space="0"/>
              <w:right w:val="single" w:color="auto" w:sz="4" w:space="0"/>
            </w:tcBorders>
            <w:shd w:val="clear" w:color="auto" w:fill="auto"/>
            <w:vAlign w:val="center"/>
          </w:tcPr>
          <w:p w14:paraId="11644A4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65,1</w:t>
            </w:r>
          </w:p>
        </w:tc>
        <w:tc>
          <w:tcPr>
            <w:tcW w:w="625" w:type="pct"/>
            <w:tcBorders>
              <w:top w:val="nil"/>
              <w:left w:val="nil"/>
              <w:bottom w:val="single" w:color="auto" w:sz="4" w:space="0"/>
              <w:right w:val="single" w:color="auto" w:sz="4" w:space="0"/>
            </w:tcBorders>
            <w:shd w:val="clear" w:color="auto" w:fill="auto"/>
            <w:vAlign w:val="center"/>
          </w:tcPr>
          <w:p w14:paraId="4F82333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14,2</w:t>
            </w:r>
          </w:p>
        </w:tc>
        <w:tc>
          <w:tcPr>
            <w:tcW w:w="625" w:type="pct"/>
            <w:tcBorders>
              <w:top w:val="nil"/>
              <w:left w:val="nil"/>
              <w:bottom w:val="single" w:color="auto" w:sz="4" w:space="0"/>
              <w:right w:val="single" w:color="auto" w:sz="4" w:space="0"/>
            </w:tcBorders>
            <w:shd w:val="clear" w:color="auto" w:fill="auto"/>
            <w:vAlign w:val="center"/>
          </w:tcPr>
          <w:p w14:paraId="50F3083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brak danych</w:t>
            </w:r>
          </w:p>
        </w:tc>
        <w:tc>
          <w:tcPr>
            <w:tcW w:w="625" w:type="pct"/>
            <w:tcBorders>
              <w:top w:val="nil"/>
              <w:left w:val="nil"/>
              <w:bottom w:val="single" w:color="auto" w:sz="4" w:space="0"/>
              <w:right w:val="single" w:color="auto" w:sz="4" w:space="0"/>
            </w:tcBorders>
            <w:shd w:val="clear" w:color="auto" w:fill="auto"/>
            <w:vAlign w:val="center"/>
          </w:tcPr>
          <w:p w14:paraId="168EF3E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brak danych</w:t>
            </w:r>
          </w:p>
        </w:tc>
      </w:tr>
      <w:tr w14:paraId="0227DD63">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18EBAE25">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1026" w:type="pct"/>
            <w:tcBorders>
              <w:top w:val="nil"/>
              <w:left w:val="nil"/>
              <w:bottom w:val="single" w:color="auto" w:sz="4" w:space="0"/>
              <w:right w:val="single" w:color="auto" w:sz="4" w:space="0"/>
            </w:tcBorders>
            <w:shd w:val="clear" w:color="auto" w:fill="auto"/>
            <w:vAlign w:val="center"/>
          </w:tcPr>
          <w:p w14:paraId="24847A7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22,6</w:t>
            </w:r>
          </w:p>
        </w:tc>
        <w:tc>
          <w:tcPr>
            <w:tcW w:w="625" w:type="pct"/>
            <w:tcBorders>
              <w:top w:val="nil"/>
              <w:left w:val="nil"/>
              <w:bottom w:val="single" w:color="auto" w:sz="4" w:space="0"/>
              <w:right w:val="single" w:color="auto" w:sz="4" w:space="0"/>
            </w:tcBorders>
            <w:shd w:val="clear" w:color="auto" w:fill="auto"/>
            <w:vAlign w:val="center"/>
          </w:tcPr>
          <w:p w14:paraId="095AE37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73,7</w:t>
            </w:r>
          </w:p>
        </w:tc>
        <w:tc>
          <w:tcPr>
            <w:tcW w:w="625" w:type="pct"/>
            <w:tcBorders>
              <w:top w:val="nil"/>
              <w:left w:val="nil"/>
              <w:bottom w:val="single" w:color="auto" w:sz="4" w:space="0"/>
              <w:right w:val="single" w:color="auto" w:sz="4" w:space="0"/>
            </w:tcBorders>
            <w:shd w:val="clear" w:color="auto" w:fill="auto"/>
            <w:vAlign w:val="center"/>
          </w:tcPr>
          <w:p w14:paraId="7ED5744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7,5</w:t>
            </w:r>
          </w:p>
        </w:tc>
        <w:tc>
          <w:tcPr>
            <w:tcW w:w="625" w:type="pct"/>
            <w:tcBorders>
              <w:top w:val="nil"/>
              <w:left w:val="nil"/>
              <w:bottom w:val="single" w:color="auto" w:sz="4" w:space="0"/>
              <w:right w:val="single" w:color="auto" w:sz="4" w:space="0"/>
            </w:tcBorders>
            <w:shd w:val="clear" w:color="auto" w:fill="auto"/>
            <w:vAlign w:val="center"/>
          </w:tcPr>
          <w:p w14:paraId="5DDB4B3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2,4</w:t>
            </w:r>
          </w:p>
        </w:tc>
        <w:tc>
          <w:tcPr>
            <w:tcW w:w="625" w:type="pct"/>
            <w:tcBorders>
              <w:top w:val="nil"/>
              <w:left w:val="nil"/>
              <w:bottom w:val="single" w:color="auto" w:sz="4" w:space="0"/>
              <w:right w:val="single" w:color="auto" w:sz="4" w:space="0"/>
            </w:tcBorders>
            <w:shd w:val="clear" w:color="auto" w:fill="auto"/>
            <w:vAlign w:val="center"/>
          </w:tcPr>
          <w:p w14:paraId="40E0910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14,9</w:t>
            </w:r>
          </w:p>
        </w:tc>
      </w:tr>
      <w:tr w14:paraId="2EE60A83">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4E64C268">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1026" w:type="pct"/>
            <w:tcBorders>
              <w:top w:val="nil"/>
              <w:left w:val="nil"/>
              <w:bottom w:val="single" w:color="auto" w:sz="4" w:space="0"/>
              <w:right w:val="single" w:color="auto" w:sz="4" w:space="0"/>
            </w:tcBorders>
            <w:shd w:val="clear" w:color="auto" w:fill="auto"/>
            <w:vAlign w:val="center"/>
          </w:tcPr>
          <w:p w14:paraId="0A82E66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17,3</w:t>
            </w:r>
          </w:p>
        </w:tc>
        <w:tc>
          <w:tcPr>
            <w:tcW w:w="625" w:type="pct"/>
            <w:tcBorders>
              <w:top w:val="nil"/>
              <w:left w:val="nil"/>
              <w:bottom w:val="single" w:color="auto" w:sz="4" w:space="0"/>
              <w:right w:val="single" w:color="auto" w:sz="4" w:space="0"/>
            </w:tcBorders>
            <w:shd w:val="clear" w:color="auto" w:fill="auto"/>
            <w:vAlign w:val="center"/>
          </w:tcPr>
          <w:p w14:paraId="5ACDC6F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86,8</w:t>
            </w:r>
          </w:p>
        </w:tc>
        <w:tc>
          <w:tcPr>
            <w:tcW w:w="625" w:type="pct"/>
            <w:tcBorders>
              <w:top w:val="nil"/>
              <w:left w:val="nil"/>
              <w:bottom w:val="single" w:color="auto" w:sz="4" w:space="0"/>
              <w:right w:val="single" w:color="auto" w:sz="4" w:space="0"/>
            </w:tcBorders>
            <w:shd w:val="clear" w:color="auto" w:fill="auto"/>
            <w:vAlign w:val="center"/>
          </w:tcPr>
          <w:p w14:paraId="23580CB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w:t>
            </w:r>
          </w:p>
        </w:tc>
        <w:tc>
          <w:tcPr>
            <w:tcW w:w="625" w:type="pct"/>
            <w:tcBorders>
              <w:top w:val="nil"/>
              <w:left w:val="nil"/>
              <w:bottom w:val="single" w:color="auto" w:sz="4" w:space="0"/>
              <w:right w:val="single" w:color="auto" w:sz="4" w:space="0"/>
            </w:tcBorders>
            <w:shd w:val="clear" w:color="auto" w:fill="auto"/>
            <w:vAlign w:val="center"/>
          </w:tcPr>
          <w:p w14:paraId="03EC876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brak danych</w:t>
            </w:r>
          </w:p>
        </w:tc>
        <w:tc>
          <w:tcPr>
            <w:tcW w:w="625" w:type="pct"/>
            <w:tcBorders>
              <w:top w:val="nil"/>
              <w:left w:val="nil"/>
              <w:bottom w:val="single" w:color="auto" w:sz="4" w:space="0"/>
              <w:right w:val="single" w:color="auto" w:sz="4" w:space="0"/>
            </w:tcBorders>
            <w:shd w:val="clear" w:color="auto" w:fill="auto"/>
            <w:vAlign w:val="center"/>
          </w:tcPr>
          <w:p w14:paraId="241403E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brak danych</w:t>
            </w:r>
          </w:p>
        </w:tc>
      </w:tr>
      <w:tr w14:paraId="48D4880B">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4A2DFE69">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1026" w:type="pct"/>
            <w:tcBorders>
              <w:top w:val="nil"/>
              <w:left w:val="nil"/>
              <w:bottom w:val="single" w:color="auto" w:sz="4" w:space="0"/>
              <w:right w:val="single" w:color="auto" w:sz="4" w:space="0"/>
            </w:tcBorders>
            <w:shd w:val="clear" w:color="auto" w:fill="auto"/>
            <w:vAlign w:val="center"/>
          </w:tcPr>
          <w:p w14:paraId="6185CC2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48,8</w:t>
            </w:r>
          </w:p>
        </w:tc>
        <w:tc>
          <w:tcPr>
            <w:tcW w:w="625" w:type="pct"/>
            <w:tcBorders>
              <w:top w:val="nil"/>
              <w:left w:val="nil"/>
              <w:bottom w:val="single" w:color="auto" w:sz="4" w:space="0"/>
              <w:right w:val="single" w:color="auto" w:sz="4" w:space="0"/>
            </w:tcBorders>
            <w:shd w:val="clear" w:color="auto" w:fill="auto"/>
            <w:vAlign w:val="center"/>
          </w:tcPr>
          <w:p w14:paraId="64F69F8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55,0</w:t>
            </w:r>
          </w:p>
        </w:tc>
        <w:tc>
          <w:tcPr>
            <w:tcW w:w="625" w:type="pct"/>
            <w:tcBorders>
              <w:top w:val="nil"/>
              <w:left w:val="nil"/>
              <w:bottom w:val="single" w:color="auto" w:sz="4" w:space="0"/>
              <w:right w:val="single" w:color="auto" w:sz="4" w:space="0"/>
            </w:tcBorders>
            <w:shd w:val="clear" w:color="auto" w:fill="auto"/>
            <w:vAlign w:val="center"/>
          </w:tcPr>
          <w:p w14:paraId="64520AC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26,9</w:t>
            </w:r>
          </w:p>
        </w:tc>
        <w:tc>
          <w:tcPr>
            <w:tcW w:w="625" w:type="pct"/>
            <w:tcBorders>
              <w:top w:val="nil"/>
              <w:left w:val="nil"/>
              <w:bottom w:val="single" w:color="auto" w:sz="4" w:space="0"/>
              <w:right w:val="single" w:color="auto" w:sz="4" w:space="0"/>
            </w:tcBorders>
            <w:shd w:val="clear" w:color="auto" w:fill="auto"/>
            <w:vAlign w:val="center"/>
          </w:tcPr>
          <w:p w14:paraId="3A754CB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6,3</w:t>
            </w:r>
          </w:p>
        </w:tc>
        <w:tc>
          <w:tcPr>
            <w:tcW w:w="625" w:type="pct"/>
            <w:tcBorders>
              <w:top w:val="nil"/>
              <w:left w:val="nil"/>
              <w:bottom w:val="single" w:color="auto" w:sz="4" w:space="0"/>
              <w:right w:val="single" w:color="auto" w:sz="4" w:space="0"/>
            </w:tcBorders>
            <w:shd w:val="clear" w:color="auto" w:fill="auto"/>
            <w:vAlign w:val="center"/>
          </w:tcPr>
          <w:p w14:paraId="410DC89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11,2</w:t>
            </w:r>
          </w:p>
        </w:tc>
      </w:tr>
      <w:tr w14:paraId="45BEC2B9">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1C73E344">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1026" w:type="pct"/>
            <w:tcBorders>
              <w:top w:val="nil"/>
              <w:left w:val="nil"/>
              <w:bottom w:val="single" w:color="auto" w:sz="4" w:space="0"/>
              <w:right w:val="single" w:color="auto" w:sz="4" w:space="0"/>
            </w:tcBorders>
            <w:shd w:val="clear" w:color="auto" w:fill="auto"/>
            <w:vAlign w:val="center"/>
          </w:tcPr>
          <w:p w14:paraId="24E2764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14,3</w:t>
            </w:r>
          </w:p>
        </w:tc>
        <w:tc>
          <w:tcPr>
            <w:tcW w:w="625" w:type="pct"/>
            <w:tcBorders>
              <w:top w:val="nil"/>
              <w:left w:val="nil"/>
              <w:bottom w:val="single" w:color="auto" w:sz="4" w:space="0"/>
              <w:right w:val="single" w:color="auto" w:sz="4" w:space="0"/>
            </w:tcBorders>
            <w:shd w:val="clear" w:color="auto" w:fill="auto"/>
            <w:vAlign w:val="center"/>
          </w:tcPr>
          <w:p w14:paraId="1EE1569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89,6</w:t>
            </w:r>
          </w:p>
        </w:tc>
        <w:tc>
          <w:tcPr>
            <w:tcW w:w="625" w:type="pct"/>
            <w:tcBorders>
              <w:top w:val="nil"/>
              <w:left w:val="nil"/>
              <w:bottom w:val="single" w:color="auto" w:sz="4" w:space="0"/>
              <w:right w:val="single" w:color="auto" w:sz="4" w:space="0"/>
            </w:tcBorders>
            <w:shd w:val="clear" w:color="auto" w:fill="auto"/>
            <w:vAlign w:val="center"/>
          </w:tcPr>
          <w:p w14:paraId="45C2D66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8,6</w:t>
            </w:r>
          </w:p>
        </w:tc>
        <w:tc>
          <w:tcPr>
            <w:tcW w:w="625" w:type="pct"/>
            <w:tcBorders>
              <w:top w:val="nil"/>
              <w:left w:val="nil"/>
              <w:bottom w:val="single" w:color="auto" w:sz="4" w:space="0"/>
              <w:right w:val="single" w:color="auto" w:sz="4" w:space="0"/>
            </w:tcBorders>
            <w:shd w:val="clear" w:color="auto" w:fill="auto"/>
            <w:vAlign w:val="center"/>
          </w:tcPr>
          <w:p w14:paraId="5EA85CE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0,0</w:t>
            </w:r>
          </w:p>
        </w:tc>
        <w:tc>
          <w:tcPr>
            <w:tcW w:w="625" w:type="pct"/>
            <w:tcBorders>
              <w:top w:val="nil"/>
              <w:left w:val="nil"/>
              <w:bottom w:val="single" w:color="auto" w:sz="4" w:space="0"/>
              <w:right w:val="single" w:color="auto" w:sz="4" w:space="0"/>
            </w:tcBorders>
            <w:shd w:val="clear" w:color="auto" w:fill="auto"/>
            <w:vAlign w:val="center"/>
          </w:tcPr>
          <w:p w14:paraId="7C00CCD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0,0</w:t>
            </w:r>
          </w:p>
        </w:tc>
      </w:tr>
      <w:tr w14:paraId="382D034C">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424107A7">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1026" w:type="pct"/>
            <w:tcBorders>
              <w:top w:val="nil"/>
              <w:left w:val="nil"/>
              <w:bottom w:val="single" w:color="auto" w:sz="4" w:space="0"/>
              <w:right w:val="single" w:color="auto" w:sz="4" w:space="0"/>
            </w:tcBorders>
            <w:shd w:val="clear" w:color="auto" w:fill="auto"/>
            <w:vAlign w:val="center"/>
          </w:tcPr>
          <w:p w14:paraId="53CF605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19,3</w:t>
            </w:r>
          </w:p>
        </w:tc>
        <w:tc>
          <w:tcPr>
            <w:tcW w:w="625" w:type="pct"/>
            <w:tcBorders>
              <w:top w:val="nil"/>
              <w:left w:val="nil"/>
              <w:bottom w:val="single" w:color="auto" w:sz="4" w:space="0"/>
              <w:right w:val="single" w:color="auto" w:sz="4" w:space="0"/>
            </w:tcBorders>
            <w:shd w:val="clear" w:color="auto" w:fill="auto"/>
            <w:vAlign w:val="center"/>
          </w:tcPr>
          <w:p w14:paraId="55AFDF2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85,1</w:t>
            </w:r>
          </w:p>
        </w:tc>
        <w:tc>
          <w:tcPr>
            <w:tcW w:w="625" w:type="pct"/>
            <w:tcBorders>
              <w:top w:val="nil"/>
              <w:left w:val="nil"/>
              <w:bottom w:val="single" w:color="auto" w:sz="4" w:space="0"/>
              <w:right w:val="single" w:color="auto" w:sz="4" w:space="0"/>
            </w:tcBorders>
            <w:shd w:val="clear" w:color="auto" w:fill="auto"/>
            <w:vAlign w:val="center"/>
          </w:tcPr>
          <w:p w14:paraId="57114E3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12,4</w:t>
            </w:r>
          </w:p>
        </w:tc>
        <w:tc>
          <w:tcPr>
            <w:tcW w:w="625" w:type="pct"/>
            <w:tcBorders>
              <w:top w:val="nil"/>
              <w:left w:val="nil"/>
              <w:bottom w:val="single" w:color="auto" w:sz="4" w:space="0"/>
              <w:right w:val="single" w:color="auto" w:sz="4" w:space="0"/>
            </w:tcBorders>
            <w:shd w:val="clear" w:color="auto" w:fill="auto"/>
            <w:vAlign w:val="center"/>
          </w:tcPr>
          <w:p w14:paraId="4DF336E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brak danych</w:t>
            </w:r>
          </w:p>
        </w:tc>
        <w:tc>
          <w:tcPr>
            <w:tcW w:w="625" w:type="pct"/>
            <w:tcBorders>
              <w:top w:val="nil"/>
              <w:left w:val="nil"/>
              <w:bottom w:val="single" w:color="auto" w:sz="4" w:space="0"/>
              <w:right w:val="single" w:color="auto" w:sz="4" w:space="0"/>
            </w:tcBorders>
            <w:shd w:val="clear" w:color="auto" w:fill="auto"/>
            <w:vAlign w:val="center"/>
          </w:tcPr>
          <w:p w14:paraId="068F07D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brak danych</w:t>
            </w:r>
          </w:p>
        </w:tc>
      </w:tr>
      <w:tr w14:paraId="7AAC7037">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31E450EE">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1026" w:type="pct"/>
            <w:tcBorders>
              <w:top w:val="nil"/>
              <w:left w:val="nil"/>
              <w:bottom w:val="single" w:color="auto" w:sz="4" w:space="0"/>
              <w:right w:val="single" w:color="auto" w:sz="4" w:space="0"/>
            </w:tcBorders>
            <w:shd w:val="clear" w:color="auto" w:fill="auto"/>
            <w:vAlign w:val="center"/>
          </w:tcPr>
          <w:p w14:paraId="1F01778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37,3</w:t>
            </w:r>
          </w:p>
        </w:tc>
        <w:tc>
          <w:tcPr>
            <w:tcW w:w="625" w:type="pct"/>
            <w:tcBorders>
              <w:top w:val="nil"/>
              <w:left w:val="nil"/>
              <w:bottom w:val="single" w:color="auto" w:sz="4" w:space="0"/>
              <w:right w:val="single" w:color="auto" w:sz="4" w:space="0"/>
            </w:tcBorders>
            <w:shd w:val="clear" w:color="auto" w:fill="auto"/>
            <w:vAlign w:val="center"/>
          </w:tcPr>
          <w:p w14:paraId="1653514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67,6</w:t>
            </w:r>
          </w:p>
        </w:tc>
        <w:tc>
          <w:tcPr>
            <w:tcW w:w="625" w:type="pct"/>
            <w:tcBorders>
              <w:top w:val="nil"/>
              <w:left w:val="nil"/>
              <w:bottom w:val="single" w:color="auto" w:sz="4" w:space="0"/>
              <w:right w:val="single" w:color="auto" w:sz="4" w:space="0"/>
            </w:tcBorders>
            <w:shd w:val="clear" w:color="auto" w:fill="auto"/>
            <w:vAlign w:val="center"/>
          </w:tcPr>
          <w:p w14:paraId="1563005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26,2</w:t>
            </w:r>
          </w:p>
        </w:tc>
        <w:tc>
          <w:tcPr>
            <w:tcW w:w="625" w:type="pct"/>
            <w:tcBorders>
              <w:top w:val="nil"/>
              <w:left w:val="nil"/>
              <w:bottom w:val="single" w:color="auto" w:sz="4" w:space="0"/>
              <w:right w:val="single" w:color="auto" w:sz="4" w:space="0"/>
            </w:tcBorders>
            <w:shd w:val="clear" w:color="auto" w:fill="auto"/>
            <w:vAlign w:val="center"/>
          </w:tcPr>
          <w:p w14:paraId="120FFB3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2,8</w:t>
            </w:r>
          </w:p>
        </w:tc>
        <w:tc>
          <w:tcPr>
            <w:tcW w:w="625" w:type="pct"/>
            <w:tcBorders>
              <w:top w:val="nil"/>
              <w:left w:val="nil"/>
              <w:bottom w:val="single" w:color="auto" w:sz="4" w:space="0"/>
              <w:right w:val="single" w:color="auto" w:sz="4" w:space="0"/>
            </w:tcBorders>
            <w:shd w:val="clear" w:color="auto" w:fill="auto"/>
            <w:vAlign w:val="center"/>
          </w:tcPr>
          <w:p w14:paraId="0A264ED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3,1</w:t>
            </w:r>
          </w:p>
        </w:tc>
      </w:tr>
      <w:tr w14:paraId="777110F2">
        <w:tblPrEx>
          <w:tblCellMar>
            <w:top w:w="0" w:type="dxa"/>
            <w:left w:w="70" w:type="dxa"/>
            <w:bottom w:w="0" w:type="dxa"/>
            <w:right w:w="70" w:type="dxa"/>
          </w:tblCellMar>
        </w:tblPrEx>
        <w:trPr>
          <w:trHeight w:val="340" w:hRule="atLeast"/>
        </w:trPr>
        <w:tc>
          <w:tcPr>
            <w:tcW w:w="1474" w:type="pct"/>
            <w:tcBorders>
              <w:top w:val="nil"/>
              <w:left w:val="single" w:color="auto" w:sz="4" w:space="0"/>
              <w:bottom w:val="nil"/>
              <w:right w:val="single" w:color="auto" w:sz="4" w:space="0"/>
            </w:tcBorders>
            <w:shd w:val="clear" w:color="auto" w:fill="auto"/>
            <w:vAlign w:val="center"/>
          </w:tcPr>
          <w:p w14:paraId="4459D874">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1026" w:type="pct"/>
            <w:tcBorders>
              <w:top w:val="nil"/>
              <w:left w:val="nil"/>
              <w:bottom w:val="single" w:color="auto" w:sz="4" w:space="0"/>
              <w:right w:val="single" w:color="auto" w:sz="4" w:space="0"/>
            </w:tcBorders>
            <w:shd w:val="clear" w:color="auto" w:fill="auto"/>
            <w:vAlign w:val="center"/>
          </w:tcPr>
          <w:p w14:paraId="45D1B85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25,0</w:t>
            </w:r>
          </w:p>
        </w:tc>
        <w:tc>
          <w:tcPr>
            <w:tcW w:w="625" w:type="pct"/>
            <w:tcBorders>
              <w:top w:val="nil"/>
              <w:left w:val="nil"/>
              <w:bottom w:val="nil"/>
              <w:right w:val="single" w:color="auto" w:sz="4" w:space="0"/>
            </w:tcBorders>
            <w:shd w:val="clear" w:color="auto" w:fill="auto"/>
            <w:vAlign w:val="center"/>
          </w:tcPr>
          <w:p w14:paraId="19992E5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71,2</w:t>
            </w:r>
          </w:p>
        </w:tc>
        <w:tc>
          <w:tcPr>
            <w:tcW w:w="625" w:type="pct"/>
            <w:tcBorders>
              <w:top w:val="nil"/>
              <w:left w:val="nil"/>
              <w:bottom w:val="single" w:color="auto" w:sz="4" w:space="0"/>
              <w:right w:val="single" w:color="auto" w:sz="4" w:space="0"/>
            </w:tcBorders>
            <w:shd w:val="clear" w:color="auto" w:fill="auto"/>
            <w:vAlign w:val="center"/>
          </w:tcPr>
          <w:p w14:paraId="2494299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16,3</w:t>
            </w:r>
          </w:p>
        </w:tc>
        <w:tc>
          <w:tcPr>
            <w:tcW w:w="625" w:type="pct"/>
            <w:tcBorders>
              <w:top w:val="nil"/>
              <w:left w:val="nil"/>
              <w:bottom w:val="single" w:color="auto" w:sz="4" w:space="0"/>
              <w:right w:val="single" w:color="auto" w:sz="4" w:space="0"/>
            </w:tcBorders>
            <w:shd w:val="clear" w:color="auto" w:fill="auto"/>
            <w:vAlign w:val="center"/>
          </w:tcPr>
          <w:p w14:paraId="630D034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2,4</w:t>
            </w:r>
          </w:p>
        </w:tc>
        <w:tc>
          <w:tcPr>
            <w:tcW w:w="625" w:type="pct"/>
            <w:tcBorders>
              <w:top w:val="nil"/>
              <w:left w:val="nil"/>
              <w:bottom w:val="single" w:color="auto" w:sz="4" w:space="0"/>
              <w:right w:val="single" w:color="auto" w:sz="4" w:space="0"/>
            </w:tcBorders>
            <w:shd w:val="clear" w:color="auto" w:fill="auto"/>
            <w:vAlign w:val="center"/>
          </w:tcPr>
          <w:p w14:paraId="0543070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6,5</w:t>
            </w:r>
          </w:p>
        </w:tc>
      </w:tr>
      <w:tr w14:paraId="7E720376">
        <w:tblPrEx>
          <w:tblCellMar>
            <w:top w:w="0" w:type="dxa"/>
            <w:left w:w="70" w:type="dxa"/>
            <w:bottom w:w="0" w:type="dxa"/>
            <w:right w:w="70" w:type="dxa"/>
          </w:tblCellMar>
        </w:tblPrEx>
        <w:trPr>
          <w:trHeight w:val="340" w:hRule="atLeast"/>
        </w:trPr>
        <w:tc>
          <w:tcPr>
            <w:tcW w:w="1474" w:type="pct"/>
            <w:tcBorders>
              <w:top w:val="single" w:color="auto" w:sz="4" w:space="0"/>
              <w:left w:val="single" w:color="auto" w:sz="4" w:space="0"/>
              <w:bottom w:val="single" w:color="auto" w:sz="4" w:space="0"/>
              <w:right w:val="single" w:color="auto" w:sz="4" w:space="0"/>
            </w:tcBorders>
            <w:shd w:val="clear" w:color="auto" w:fill="auto"/>
            <w:vAlign w:val="center"/>
          </w:tcPr>
          <w:p w14:paraId="47A414B7">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1026" w:type="pct"/>
            <w:tcBorders>
              <w:top w:val="nil"/>
              <w:left w:val="nil"/>
              <w:bottom w:val="single" w:color="auto" w:sz="4" w:space="0"/>
              <w:right w:val="single" w:color="auto" w:sz="4" w:space="0"/>
            </w:tcBorders>
            <w:shd w:val="clear" w:color="auto" w:fill="auto"/>
            <w:vAlign w:val="center"/>
          </w:tcPr>
          <w:p w14:paraId="7CBB939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36,3</w:t>
            </w:r>
          </w:p>
        </w:tc>
        <w:tc>
          <w:tcPr>
            <w:tcW w:w="625" w:type="pct"/>
            <w:tcBorders>
              <w:top w:val="single" w:color="auto" w:sz="4" w:space="0"/>
              <w:left w:val="nil"/>
              <w:bottom w:val="single" w:color="auto" w:sz="4" w:space="0"/>
              <w:right w:val="single" w:color="auto" w:sz="4" w:space="0"/>
            </w:tcBorders>
            <w:shd w:val="clear" w:color="auto" w:fill="auto"/>
            <w:vAlign w:val="center"/>
          </w:tcPr>
          <w:p w14:paraId="431AAD6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43,8</w:t>
            </w:r>
          </w:p>
        </w:tc>
        <w:tc>
          <w:tcPr>
            <w:tcW w:w="625" w:type="pct"/>
            <w:tcBorders>
              <w:top w:val="nil"/>
              <w:left w:val="nil"/>
              <w:bottom w:val="single" w:color="auto" w:sz="4" w:space="0"/>
              <w:right w:val="single" w:color="auto" w:sz="4" w:space="0"/>
            </w:tcBorders>
            <w:shd w:val="clear" w:color="auto" w:fill="auto"/>
            <w:vAlign w:val="center"/>
          </w:tcPr>
          <w:p w14:paraId="717BFBD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20,2</w:t>
            </w:r>
          </w:p>
        </w:tc>
        <w:tc>
          <w:tcPr>
            <w:tcW w:w="625" w:type="pct"/>
            <w:tcBorders>
              <w:top w:val="nil"/>
              <w:left w:val="nil"/>
              <w:bottom w:val="single" w:color="auto" w:sz="4" w:space="0"/>
              <w:right w:val="single" w:color="auto" w:sz="4" w:space="0"/>
            </w:tcBorders>
            <w:shd w:val="clear" w:color="auto" w:fill="auto"/>
            <w:vAlign w:val="center"/>
          </w:tcPr>
          <w:p w14:paraId="3C79981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7,6</w:t>
            </w:r>
          </w:p>
        </w:tc>
        <w:tc>
          <w:tcPr>
            <w:tcW w:w="625" w:type="pct"/>
            <w:tcBorders>
              <w:top w:val="nil"/>
              <w:left w:val="nil"/>
              <w:bottom w:val="single" w:color="auto" w:sz="4" w:space="0"/>
              <w:right w:val="single" w:color="auto" w:sz="4" w:space="0"/>
            </w:tcBorders>
            <w:shd w:val="clear" w:color="auto" w:fill="auto"/>
            <w:vAlign w:val="center"/>
          </w:tcPr>
          <w:p w14:paraId="1FCC5F5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27,9</w:t>
            </w:r>
          </w:p>
        </w:tc>
      </w:tr>
      <w:tr w14:paraId="7D138D9C">
        <w:tblPrEx>
          <w:tblCellMar>
            <w:top w:w="0" w:type="dxa"/>
            <w:left w:w="70" w:type="dxa"/>
            <w:bottom w:w="0" w:type="dxa"/>
            <w:right w:w="70" w:type="dxa"/>
          </w:tblCellMar>
        </w:tblPrEx>
        <w:trPr>
          <w:trHeight w:val="340" w:hRule="atLeast"/>
        </w:trPr>
        <w:tc>
          <w:tcPr>
            <w:tcW w:w="1474" w:type="pct"/>
            <w:tcBorders>
              <w:top w:val="nil"/>
              <w:left w:val="single" w:color="auto" w:sz="4" w:space="0"/>
              <w:bottom w:val="single" w:color="auto" w:sz="4" w:space="0"/>
              <w:right w:val="single" w:color="auto" w:sz="4" w:space="0"/>
            </w:tcBorders>
            <w:shd w:val="clear" w:color="auto" w:fill="auto"/>
            <w:vAlign w:val="center"/>
          </w:tcPr>
          <w:p w14:paraId="76FBBFEC">
            <w:pPr>
              <w:spacing w:after="0" w:line="240" w:lineRule="auto"/>
              <w:jc w:val="both"/>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1026" w:type="pct"/>
            <w:tcBorders>
              <w:top w:val="nil"/>
              <w:left w:val="nil"/>
              <w:bottom w:val="single" w:color="auto" w:sz="4" w:space="0"/>
              <w:right w:val="single" w:color="auto" w:sz="4" w:space="0"/>
            </w:tcBorders>
            <w:shd w:val="clear" w:color="auto" w:fill="auto"/>
            <w:vAlign w:val="center"/>
          </w:tcPr>
          <w:p w14:paraId="32FEBCE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47,8</w:t>
            </w:r>
          </w:p>
        </w:tc>
        <w:tc>
          <w:tcPr>
            <w:tcW w:w="625" w:type="pct"/>
            <w:tcBorders>
              <w:top w:val="nil"/>
              <w:left w:val="nil"/>
              <w:bottom w:val="single" w:color="auto" w:sz="4" w:space="0"/>
              <w:right w:val="single" w:color="auto" w:sz="4" w:space="0"/>
            </w:tcBorders>
            <w:shd w:val="clear" w:color="auto" w:fill="auto"/>
            <w:vAlign w:val="center"/>
          </w:tcPr>
          <w:p w14:paraId="71A14FE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11,6</w:t>
            </w:r>
          </w:p>
        </w:tc>
        <w:tc>
          <w:tcPr>
            <w:tcW w:w="625" w:type="pct"/>
            <w:tcBorders>
              <w:top w:val="nil"/>
              <w:left w:val="nil"/>
              <w:bottom w:val="single" w:color="auto" w:sz="4" w:space="0"/>
              <w:right w:val="single" w:color="auto" w:sz="4" w:space="0"/>
            </w:tcBorders>
            <w:shd w:val="clear" w:color="auto" w:fill="auto"/>
            <w:vAlign w:val="center"/>
          </w:tcPr>
          <w:p w14:paraId="5483C31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13,7</w:t>
            </w:r>
          </w:p>
        </w:tc>
        <w:tc>
          <w:tcPr>
            <w:tcW w:w="625" w:type="pct"/>
            <w:tcBorders>
              <w:top w:val="nil"/>
              <w:left w:val="nil"/>
              <w:bottom w:val="single" w:color="auto" w:sz="4" w:space="0"/>
              <w:right w:val="single" w:color="auto" w:sz="4" w:space="0"/>
            </w:tcBorders>
            <w:shd w:val="clear" w:color="auto" w:fill="auto"/>
            <w:vAlign w:val="center"/>
          </w:tcPr>
          <w:p w14:paraId="5DDFFF3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10,6</w:t>
            </w:r>
          </w:p>
        </w:tc>
        <w:tc>
          <w:tcPr>
            <w:tcW w:w="625" w:type="pct"/>
            <w:tcBorders>
              <w:top w:val="nil"/>
              <w:left w:val="nil"/>
              <w:bottom w:val="single" w:color="auto" w:sz="4" w:space="0"/>
              <w:right w:val="single" w:color="auto" w:sz="4" w:space="0"/>
            </w:tcBorders>
            <w:shd w:val="clear" w:color="auto" w:fill="auto"/>
            <w:vAlign w:val="center"/>
          </w:tcPr>
          <w:p w14:paraId="754F44E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64,0</w:t>
            </w:r>
          </w:p>
        </w:tc>
      </w:tr>
    </w:tbl>
    <w:p w14:paraId="4AAAA15E">
      <w:pPr>
        <w:spacing w:line="276"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1055E2D2">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 2012 roku rozpoczął się wieloletni projekt badawczy pn. Monitoring Rozwoju Obszarów Wiejskich (MROW) finansowany przez Fundację Europejski Fundusz Rozwoju Wsi Polskiej</w:t>
      </w:r>
      <w:r>
        <w:rPr>
          <w:rFonts w:ascii="Times New Roman" w:hAnsi="Times New Roman" w:cs="Times New Roman"/>
          <w:color w:val="000000" w:themeColor="text1"/>
          <w:vertAlign w:val="superscript"/>
          <w14:textFill>
            <w14:solidFill>
              <w14:schemeClr w14:val="tx1"/>
            </w14:solidFill>
          </w14:textFill>
        </w:rPr>
        <w:footnoteReference w:id="31"/>
      </w:r>
      <w:r>
        <w:rPr>
          <w:rFonts w:ascii="Times New Roman" w:hAnsi="Times New Roman" w:cs="Times New Roman"/>
          <w:color w:val="000000" w:themeColor="text1"/>
          <w14:textFill>
            <w14:solidFill>
              <w14:schemeClr w14:val="tx1"/>
            </w14:solidFill>
          </w14:textFill>
        </w:rPr>
        <w:t xml:space="preserve">. Celem projektu jest stała obserwacja zmian społeczno-gospodarczych dokonujących się na obszarach wiejskich w Polsce. W wyniku zastosowania procedur statystycznych, wykorzystujących przyjęty schemat analizy, zdefiniowano typy gmin podobnych pod względem struktury rozwoju, a więc charakteryzujących się podobną kombinacją ocen dla jedenastu składowych definiujących operacyjnie rozwój obszarów wiejskich. Przyjęta metoda pozwoliła wydzielić 7 typów gmin, które w MROW stały się przedmiotem analizy. Zgodnie z przyjętą metodologią, gminy LGD Między Dalinem i Gościbią zostały zakwalifikowane jako następujące typy: </w:t>
      </w:r>
    </w:p>
    <w:p w14:paraId="49EB54AD">
      <w:pPr>
        <w:numPr>
          <w:ilvl w:val="0"/>
          <w:numId w:val="20"/>
        </w:numPr>
        <w:spacing w:after="0"/>
        <w:contextualSpacing/>
        <w:rPr>
          <w:rFonts w:ascii="Times New Roman" w:hAnsi="Times New Roman"/>
        </w:rPr>
      </w:pPr>
      <w:r>
        <w:rPr>
          <w:rFonts w:ascii="Times New Roman" w:hAnsi="Times New Roman" w:cs="Times New Roman"/>
          <w:i/>
          <w:iCs/>
          <w:color w:val="000000" w:themeColor="text1"/>
          <w14:textFill>
            <w14:solidFill>
              <w14:schemeClr w14:val="tx1"/>
            </w14:solidFill>
          </w14:textFill>
        </w:rPr>
        <w:t xml:space="preserve">zurbanizowane, redukcja funkcji rolniczej </w:t>
      </w:r>
      <w:r>
        <w:rPr>
          <w:rFonts w:ascii="Times New Roman" w:hAnsi="Times New Roman"/>
        </w:rPr>
        <w:t>– Gmina Myślenice;</w:t>
      </w:r>
    </w:p>
    <w:p w14:paraId="641C4823">
      <w:pPr>
        <w:numPr>
          <w:ilvl w:val="0"/>
          <w:numId w:val="20"/>
        </w:numPr>
        <w:spacing w:after="0"/>
        <w:contextualSpacing/>
        <w:rPr>
          <w:rFonts w:ascii="Times New Roman" w:hAnsi="Times New Roman"/>
        </w:rPr>
      </w:pPr>
      <w:r>
        <w:rPr>
          <w:rFonts w:ascii="Times New Roman" w:hAnsi="Times New Roman" w:cs="Times New Roman"/>
          <w:i/>
          <w:iCs/>
          <w:color w:val="000000" w:themeColor="text1"/>
          <w14:textFill>
            <w14:solidFill>
              <w14:schemeClr w14:val="tx1"/>
            </w14:solidFill>
          </w14:textFill>
        </w:rPr>
        <w:t xml:space="preserve">wielodochodowe, rozdrobnione rolnictwo </w:t>
      </w:r>
      <w:r>
        <w:rPr>
          <w:rFonts w:ascii="Times New Roman" w:hAnsi="Times New Roman"/>
        </w:rPr>
        <w:t>– gminy: Sułkowice, Wiśniowa, Pcim, Tokarnia, Lubień;</w:t>
      </w:r>
    </w:p>
    <w:p w14:paraId="38F1C0D4">
      <w:pPr>
        <w:numPr>
          <w:ilvl w:val="0"/>
          <w:numId w:val="20"/>
        </w:numPr>
        <w:ind w:left="714" w:hanging="357"/>
        <w:rPr>
          <w:rFonts w:ascii="Times New Roman" w:hAnsi="Times New Roman"/>
        </w:rPr>
      </w:pPr>
      <w:r>
        <w:rPr>
          <w:rFonts w:ascii="Times New Roman" w:hAnsi="Times New Roman" w:cs="Times New Roman"/>
          <w:i/>
          <w:iCs/>
          <w:color w:val="000000" w:themeColor="text1"/>
          <w14:textFill>
            <w14:solidFill>
              <w14:schemeClr w14:val="tx1"/>
            </w14:solidFill>
          </w14:textFill>
        </w:rPr>
        <w:t xml:space="preserve">przewaga funkcji rolniczej, pośredni </w:t>
      </w:r>
      <w:r>
        <w:rPr>
          <w:rFonts w:ascii="Times New Roman" w:hAnsi="Times New Roman"/>
        </w:rPr>
        <w:t>– Gmina Raciechowice.</w:t>
      </w:r>
    </w:p>
    <w:p w14:paraId="367BCA16">
      <w:pPr>
        <w:spacing w:after="0" w:line="276" w:lineRule="auto"/>
        <w:ind w:firstLine="708"/>
        <w:jc w:val="both"/>
        <w:rPr>
          <w:rFonts w:ascii="Times New Roman" w:hAnsi="Times New Roman" w:cs="Times New Roman"/>
        </w:rPr>
      </w:pPr>
      <w:r>
        <w:rPr>
          <w:rFonts w:ascii="Times New Roman" w:hAnsi="Times New Roman" w:cs="Times New Roman"/>
        </w:rPr>
        <w:t>Jakość rolniczej przestrzeni produkcyjnej została zwaloryzowana przez Instytut Uprawy Nawożenia i Gleboznawstwa w Puławach w latach 70. XX w. Wskaźnik Waloryzacji Rolniczej Przestrzeni Produkcyjnej (WWRPP) pozwala na ilościową i przestrzenną ocenę czynników naturalnych, decydujących o potencjalnej wydajności plonów na poziomie lokalnym. WWRPP jest wskaźnikiem złożonym, przyjmującym wartość maksymalną 120. Średnia wartość wskaźnika dla województwa małopolskiego wynosi 69,3 punktu, przy średniej dla kraju 66,6 punktu. Jakość przestrzeni rolniczej jest jednak zróżnicowana przestrzennie</w:t>
      </w:r>
      <w:bookmarkStart w:id="113" w:name="_Toc112838935"/>
      <w:r>
        <w:rPr>
          <w:rFonts w:ascii="Times New Roman" w:hAnsi="Times New Roman" w:cs="Times New Roman"/>
        </w:rPr>
        <w:t>.</w:t>
      </w:r>
    </w:p>
    <w:bookmarkEnd w:id="113"/>
    <w:p w14:paraId="6302F166">
      <w:pPr>
        <w:spacing w:before="240" w:after="0" w:line="276" w:lineRule="auto"/>
        <w:ind w:firstLine="709"/>
        <w:jc w:val="both"/>
        <w:rPr>
          <w:rFonts w:ascii="Times New Roman" w:hAnsi="Times New Roman" w:eastAsia="Calibri" w:cs="Times New Roman"/>
        </w:rPr>
      </w:pPr>
      <w:r>
        <w:rPr>
          <w:rFonts w:ascii="Times New Roman" w:hAnsi="Times New Roman" w:eastAsia="Calibri" w:cs="Times New Roman"/>
        </w:rPr>
        <w:t xml:space="preserve">Zdecydowana większość obszaru LGD została zakwalifikowana do ONW z ograniczeniami naturalnymi. Na terenie LGD Między Dalinem i Gościbią wyodrębniono następujące obszary, które zostały sklasyfikowane jako obszary ONW z ograniczeniami naturalnymi: </w:t>
      </w:r>
    </w:p>
    <w:p w14:paraId="02F3C4BA">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Gmina Myślenice: 11 obszarów ONW specyficzne (strefa 2) oraz 7 obszarów ONW specyficzne (strefa 1);</w:t>
      </w:r>
    </w:p>
    <w:p w14:paraId="5CCED1E9">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Gminie Sułkowice: cały obszar miejski został sklasyfikowany jako teren poza ONW, pozostała część gminy to obszary specyficzne (strefa 2);</w:t>
      </w:r>
    </w:p>
    <w:p w14:paraId="0557B649">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Gmina Lubień – cały obszar: ONW typu górskiego;</w:t>
      </w:r>
    </w:p>
    <w:p w14:paraId="10F8C273">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Gmina Pcim – cały obszar ONW specyficzne (strefa 2);</w:t>
      </w:r>
    </w:p>
    <w:p w14:paraId="32486489">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Gmina Raciechowice – 2 obszary ONW specyficzne (strefa 2), 2 obszary ONW z ograniczeniami naturalnymi (strefa 1), 11 obszarów poza ONW;</w:t>
      </w:r>
    </w:p>
    <w:p w14:paraId="1E459C6F">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Gmina Tokarnia – cały obszar ONW typu górskiego;</w:t>
      </w:r>
    </w:p>
    <w:p w14:paraId="6F8F1ECB">
      <w:pPr>
        <w:numPr>
          <w:ilvl w:val="0"/>
          <w:numId w:val="21"/>
        </w:numPr>
        <w:spacing w:after="0" w:line="276" w:lineRule="auto"/>
        <w:ind w:left="1134" w:hanging="425"/>
        <w:jc w:val="both"/>
        <w:rPr>
          <w:rFonts w:ascii="Times New Roman" w:hAnsi="Times New Roman" w:eastAsia="Calibri" w:cs="Times New Roman"/>
        </w:rPr>
      </w:pPr>
      <w:r>
        <w:rPr>
          <w:rFonts w:ascii="Times New Roman" w:hAnsi="Times New Roman" w:eastAsia="Calibri" w:cs="Times New Roman"/>
        </w:rPr>
        <w:t>Gmina Wiśniowa – 1 obszar ONW typu górskiego, 6 obszarów ONW specyficzne (strefa 2).</w:t>
      </w:r>
    </w:p>
    <w:p w14:paraId="48201615">
      <w:pPr>
        <w:pStyle w:val="28"/>
        <w:numPr>
          <w:ilvl w:val="1"/>
          <w:numId w:val="15"/>
        </w:numPr>
        <w:spacing w:before="240"/>
        <w:ind w:left="1701" w:hanging="567"/>
        <w:rPr>
          <w:rFonts w:ascii="Times New Roman" w:hAnsi="Times New Roman" w:cs="Times New Roman"/>
          <w:b/>
          <w:bCs/>
        </w:rPr>
      </w:pPr>
      <w:r>
        <w:rPr>
          <w:rFonts w:ascii="Times New Roman" w:hAnsi="Times New Roman" w:cs="Times New Roman"/>
          <w:b/>
          <w:bCs/>
        </w:rPr>
        <w:t>Produkty lokalne</w:t>
      </w:r>
    </w:p>
    <w:p w14:paraId="555E3F89">
      <w:pPr>
        <w:spacing w:before="240" w:after="0" w:line="276" w:lineRule="auto"/>
        <w:ind w:firstLine="708"/>
        <w:jc w:val="both"/>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Cały obszar LGD charakteryzuje się bogatym dziedzictwem kulturowym, walorami naturalnymi oraz rzeźbą terenu, która sprzyja rozwojowi turystyki rekreacyjnej, rowerowej, pieszej, konnej czy ekoturystyki. Na terenie gmin obszaru funkcjonują podmioty tworzące bazę dla rozwoju turystyki i stanowią one bazę rozwoju tego obszaru. Są to m.in. ścieżki turystyczne, gospodarstwa turystyczne, ośrodki jazdy konnej. Żadna z gmin obszaru nie jest jednak rozpoznawalna pod względem turystycznym i nie posiada unikatowego produktu turystycznego.</w:t>
      </w:r>
      <w:r>
        <w:rPr>
          <w:rFonts w:ascii="Times New Roman" w:hAnsi="Times New Roman" w:cs="Times New Roman"/>
        </w:rPr>
        <w:t xml:space="preserve"> </w:t>
      </w:r>
    </w:p>
    <w:p w14:paraId="4D90C5BF">
      <w:pPr>
        <w:spacing w:after="0" w:line="276" w:lineRule="auto"/>
        <w:ind w:firstLine="708"/>
        <w:jc w:val="both"/>
        <w:rPr>
          <w:rFonts w:ascii="Times New Roman" w:hAnsi="Times New Roman" w:cs="Times New Roman"/>
          <w:b/>
          <w:bCs/>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 xml:space="preserve">Poza specyficznymi i rozpoznawalnymi na większą skalę produktami, wytwarzane są tutaj produkty tradycyjne, w tym te wpisane na Listę Produktów Tradycyjnych Ministerstwa Rolnictwa i Rozwoju Wsi </w:t>
      </w:r>
      <w:r>
        <w:rPr>
          <w:rFonts w:ascii="Times New Roman" w:hAnsi="Times New Roman" w:eastAsia="Calibri" w:cs="Times New Roman"/>
          <w:color w:val="000000" w:themeColor="text1"/>
          <w14:textFill>
            <w14:solidFill>
              <w14:schemeClr w14:val="tx1"/>
            </w14:solidFill>
          </w14:textFill>
        </w:rPr>
        <w:br w:type="textWrapping"/>
      </w:r>
      <w:r>
        <w:rPr>
          <w:rFonts w:ascii="Times New Roman" w:hAnsi="Times New Roman" w:eastAsia="Calibri" w:cs="Times New Roman"/>
          <w:color w:val="000000" w:themeColor="text1"/>
          <w14:textFill>
            <w14:solidFill>
              <w14:schemeClr w14:val="tx1"/>
            </w14:solidFill>
          </w14:textFill>
        </w:rPr>
        <w:t>z Województwa Małopolskiego. Są to</w:t>
      </w:r>
      <w:r>
        <w:rPr>
          <w:rFonts w:ascii="Times New Roman" w:hAnsi="Times New Roman" w:eastAsia="Calibri" w:cs="Times New Roman"/>
          <w:color w:val="000000" w:themeColor="text1"/>
          <w:vertAlign w:val="superscript"/>
          <w14:textFill>
            <w14:solidFill>
              <w14:schemeClr w14:val="tx1"/>
            </w14:solidFill>
          </w14:textFill>
        </w:rPr>
        <w:footnoteReference w:id="32"/>
      </w:r>
      <w:r>
        <w:rPr>
          <w:rFonts w:ascii="Times New Roman" w:hAnsi="Times New Roman" w:eastAsia="Calibri" w:cs="Times New Roman"/>
          <w:color w:val="000000" w:themeColor="text1"/>
          <w14:textFill>
            <w14:solidFill>
              <w14:schemeClr w14:val="tx1"/>
            </w14:solidFill>
          </w14:textFill>
        </w:rPr>
        <w:t>: Sułkowicka Krzonówka (</w:t>
      </w:r>
      <w:r>
        <w:rPr>
          <w:rFonts w:ascii="Times New Roman" w:hAnsi="Times New Roman" w:cs="Times New Roman"/>
          <w:color w:val="000000" w:themeColor="text1"/>
          <w14:textFill>
            <w14:solidFill>
              <w14:schemeClr w14:val="tx1"/>
            </w14:solidFill>
          </w14:textFill>
        </w:rPr>
        <w:t>wpisana na Listę Produktów Tradycyjnych w dniu 1 grudnia 2010 r. w kategorii gotowe dania i potrawy), boczek tradycyjny raciechowicki (wpisany na Listę Produktów Tradycyjnych w dniu 9 marca 2016 r. w kategorii mięso i wędliny), kiełbasa wiejska raciechowicka (wpisana na Listę Produktów Tradycyjnych w dniu 9 marca 2016 r. w kategorii mięso i wędliny), schab tradycyjny raciechowicki (wpisany na Listę Produktów Tradycyjnych w dniu 9 marca 2016 r. w kategorii mięso i wędliny), szynka tradycyjna raciechowicka (wpisana na Listę Produktów Tradycyjnych w dniu 9 marca 2016 r. w kategorii mięso i wędliny), jabłko z Raciechowic (wpisane na Listę Produktów Tradycyjnych w dniu 27 kwietnia 2006 r. w kategorii wyroby owoce i warzywa).</w:t>
      </w:r>
    </w:p>
    <w:p w14:paraId="203A6B14">
      <w:pPr>
        <w:spacing w:after="0" w:line="276" w:lineRule="auto"/>
        <w:ind w:firstLine="708"/>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 xml:space="preserve">Na obszarze organizowane są również różne wydarzenia kulturalne, sportowe oraz promujące lokalne tradycje, skierowane zarówno do mieszkańców jak i turystów. Podczas </w:t>
      </w:r>
      <w:r>
        <w:rPr>
          <w:rFonts w:ascii="Times New Roman" w:hAnsi="Times New Roman" w:cs="Times New Roman"/>
        </w:rPr>
        <w:t xml:space="preserve">organizowanych przez gminy LGD imprez cyklicznych, odbywają się konkursy potraw regionalnych, w których uczestniczą Koła Gospodyń Wiejskich </w:t>
      </w:r>
      <w:r>
        <w:rPr>
          <w:rFonts w:ascii="Times New Roman" w:hAnsi="Times New Roman" w:cs="Times New Roman"/>
        </w:rPr>
        <w:br w:type="textWrapping"/>
      </w:r>
      <w:r>
        <w:rPr>
          <w:rFonts w:ascii="Times New Roman" w:hAnsi="Times New Roman" w:cs="Times New Roman"/>
        </w:rPr>
        <w:t xml:space="preserve">i gospodarstwa agroturystyczne. </w:t>
      </w:r>
    </w:p>
    <w:p w14:paraId="6F5AAEE2">
      <w:pPr>
        <w:suppressAutoHyphens/>
        <w:autoSpaceDN w:val="0"/>
        <w:spacing w:after="0" w:line="276" w:lineRule="auto"/>
        <w:ind w:firstLine="708"/>
        <w:jc w:val="both"/>
        <w:textAlignment w:val="baseline"/>
        <w:rPr>
          <w:rFonts w:ascii="Times New Roman" w:hAnsi="Times New Roman" w:eastAsia="Times New Roman" w:cs="Times New Roman"/>
          <w:lang w:eastAsia="pl-PL"/>
        </w:rPr>
      </w:pPr>
      <w:r>
        <w:rPr>
          <w:rFonts w:ascii="Times New Roman" w:hAnsi="Times New Roman" w:eastAsia="Times New Roman" w:cs="Times New Roman"/>
          <w:lang w:eastAsia="pl-PL"/>
        </w:rPr>
        <w:t xml:space="preserve">Zdaniem mieszkańców najważniejszy dla obszaru jest rozwój turystyki, która wygeneruje popyt również w innych branżach. Szansy rozwoju mieszkańcy upatrują w rozwoju turystyki i agroturystyki, które przyczynią się do promocji zdrowych i naturalnych produktów lokalnych oraz zdrowego stylu życia. Moda na produkty lokalne oraz ich certyfikacja, a także ogólnie panująca tendencja promowania zdrowej i ekologicznej żywności, mogą być szansą dla zwiększenia rozpoznawalności obszaru. Rosnąca mobilność ludności i zwiększająca się ilość osób podróżujących po Polsce, wpłynie na wzrost liczby turystów na obszarze LGD. </w:t>
      </w:r>
    </w:p>
    <w:p w14:paraId="04F4082B">
      <w:pPr>
        <w:suppressAutoHyphens/>
        <w:autoSpaceDN w:val="0"/>
        <w:spacing w:after="0" w:line="276" w:lineRule="auto"/>
        <w:ind w:firstLine="708"/>
        <w:jc w:val="both"/>
        <w:textAlignment w:val="baseline"/>
        <w:rPr>
          <w:rFonts w:ascii="Times New Roman" w:hAnsi="Times New Roman" w:eastAsia="Times New Roman" w:cs="Times New Roman"/>
          <w:lang w:eastAsia="pl-PL"/>
        </w:rPr>
      </w:pPr>
      <w:r>
        <w:rPr>
          <w:rFonts w:ascii="Times New Roman" w:hAnsi="Times New Roman" w:eastAsia="Times New Roman" w:cs="Times New Roman"/>
          <w:lang w:eastAsia="pl-PL"/>
        </w:rPr>
        <w:t>Jako przykładowe rozwiązanie wskazano tworzenie wiosek tematycznych. Jest to innowacyjny sposób na ożywienie gospodarki wiejskiej oraz zapewnienie mieszkańcom wsi alternatywnych dochodów. Oferta wiosek tematycznych – budowana na bazie zasobów przyrodniczych, kulturowych i historycznych danej miejscowości – pozwala przyciągnąć na tereny wiejskie turystów oraz zintegrować lokalną społeczność.</w:t>
      </w:r>
    </w:p>
    <w:p w14:paraId="20EA1B09">
      <w:pPr>
        <w:suppressAutoHyphens/>
        <w:autoSpaceDN w:val="0"/>
        <w:spacing w:after="0" w:line="276" w:lineRule="auto"/>
        <w:ind w:firstLine="708"/>
        <w:jc w:val="both"/>
        <w:textAlignment w:val="baseline"/>
        <w:rPr>
          <w:rFonts w:ascii="Times New Roman" w:hAnsi="Times New Roman" w:eastAsia="Times New Roman" w:cs="Times New Roman"/>
          <w:color w:val="000000" w:themeColor="text1"/>
          <w:lang w:eastAsia="pl-PL"/>
          <w14:textFill>
            <w14:solidFill>
              <w14:schemeClr w14:val="tx1"/>
            </w14:solidFill>
          </w14:textFill>
        </w:rPr>
      </w:pPr>
      <w:r>
        <w:rPr>
          <w:rFonts w:ascii="Times New Roman" w:hAnsi="Times New Roman" w:eastAsia="Times New Roman" w:cs="Times New Roman"/>
          <w:color w:val="000000" w:themeColor="text1"/>
          <w:lang w:eastAsia="pl-PL"/>
          <w14:textFill>
            <w14:solidFill>
              <w14:schemeClr w14:val="tx1"/>
            </w14:solidFill>
          </w14:textFill>
        </w:rPr>
        <w:t xml:space="preserve">Ważne jest, aby wykorzystać potencjały obszaru do dalszego rozwoju agroturystyki na obszarze LGD poprzez tworzenie odpowiednich warunków do rozwoju działalności gospodarczej. Uzupełnieniem gospodarstw agroturystycznych może być prowadzenie zagrody edukacyjnej na rzecz edukacji poprzez organizowanie warsztatów w swoim gospodarstwie rolnym. </w:t>
      </w:r>
    </w:p>
    <w:p w14:paraId="123C82AA">
      <w:pPr>
        <w:spacing w:line="276" w:lineRule="auto"/>
        <w:ind w:firstLine="708"/>
        <w:jc w:val="both"/>
        <w:rPr>
          <w:rFonts w:ascii="Times New Roman" w:hAnsi="Times New Roman" w:eastAsia="Times New Roman" w:cs="Times New Roman"/>
          <w:color w:val="000000" w:themeColor="text1"/>
          <w:lang w:eastAsia="pl-PL"/>
          <w14:textFill>
            <w14:solidFill>
              <w14:schemeClr w14:val="tx1"/>
            </w14:solidFill>
          </w14:textFill>
        </w:rPr>
        <w:sectPr>
          <w:pgSz w:w="11906" w:h="16838"/>
          <w:pgMar w:top="851" w:right="851" w:bottom="851" w:left="851" w:header="709" w:footer="709" w:gutter="0"/>
          <w:cols w:space="708" w:num="1"/>
          <w:titlePg/>
          <w:docGrid w:linePitch="360" w:charSpace="0"/>
        </w:sectPr>
      </w:pPr>
      <w:r>
        <w:rPr>
          <w:rFonts w:ascii="Times New Roman" w:hAnsi="Times New Roman" w:eastAsia="Times New Roman" w:cs="Times New Roman"/>
          <w:color w:val="000000" w:themeColor="text1"/>
          <w:lang w:eastAsia="pl-PL"/>
          <w14:textFill>
            <w14:solidFill>
              <w14:schemeClr w14:val="tx1"/>
            </w14:solidFill>
          </w14:textFill>
        </w:rPr>
        <w:t xml:space="preserve">Obszar LSR charakteryzuje się terenami sprzyjającymi prowadzeniu działalności agroturystycznej oraz związanej z wypoczynkiem i rekreacją oraz niewykorzystanym w pełni potencjałem zasobów ludzkich. Zapotrzebowanie na tego typu działania związane jest z zainteresowaniem mieszkańców do rozwoju swoich gospodarstw rolnych, co licznie podkreślano podczas spotkań z mieszkańcami na etapie opracowania LSR. </w:t>
      </w:r>
    </w:p>
    <w:p w14:paraId="543D3A29">
      <w:pPr>
        <w:pStyle w:val="28"/>
        <w:numPr>
          <w:ilvl w:val="1"/>
          <w:numId w:val="15"/>
        </w:numPr>
        <w:spacing w:before="240"/>
        <w:ind w:left="1701" w:hanging="567"/>
        <w:rPr>
          <w:rFonts w:ascii="Times New Roman" w:hAnsi="Times New Roman" w:cs="Times New Roman"/>
          <w:b/>
          <w:bCs/>
        </w:rPr>
      </w:pPr>
      <w:r>
        <w:rPr>
          <w:rFonts w:ascii="Times New Roman" w:hAnsi="Times New Roman" w:cs="Times New Roman"/>
          <w:b/>
          <w:bCs/>
        </w:rPr>
        <w:t>Edukacja</w:t>
      </w:r>
    </w:p>
    <w:p w14:paraId="14A61A53">
      <w:pPr>
        <w:spacing w:after="0" w:line="276" w:lineRule="auto"/>
        <w:ind w:firstLine="709"/>
        <w:jc w:val="both"/>
        <w:rPr>
          <w:rFonts w:ascii="Times New Roman" w:hAnsi="Times New Roman"/>
          <w:szCs w:val="20"/>
        </w:rPr>
      </w:pPr>
      <w:r>
        <w:rPr>
          <w:rFonts w:ascii="Times New Roman" w:hAnsi="Times New Roman" w:cs="Times New Roman"/>
          <w:color w:val="000000" w:themeColor="text1"/>
          <w14:textFill>
            <w14:solidFill>
              <w14:schemeClr w14:val="tx1"/>
            </w14:solidFill>
          </w14:textFill>
        </w:rPr>
        <w:t xml:space="preserve">W zakresie szkolnictwa podstawowego, na obszarze </w:t>
      </w:r>
      <w:r>
        <w:rPr>
          <w:rFonts w:ascii="Times New Roman" w:hAnsi="Times New Roman"/>
          <w:szCs w:val="20"/>
        </w:rPr>
        <w:t>LGD Między Dalinem i Gościbią zlokalizowane są następujące placówki oświatowe</w:t>
      </w:r>
      <w:r>
        <w:rPr>
          <w:rFonts w:ascii="Times New Roman" w:hAnsi="Times New Roman"/>
          <w:szCs w:val="20"/>
          <w:vertAlign w:val="superscript"/>
        </w:rPr>
        <w:footnoteReference w:id="33"/>
      </w:r>
      <w:r>
        <w:rPr>
          <w:rFonts w:ascii="Times New Roman" w:hAnsi="Times New Roman"/>
          <w:szCs w:val="20"/>
        </w:rPr>
        <w:t>:</w:t>
      </w:r>
    </w:p>
    <w:p w14:paraId="434CA91C">
      <w:pPr>
        <w:numPr>
          <w:ilvl w:val="0"/>
          <w:numId w:val="16"/>
        </w:numPr>
        <w:spacing w:after="0" w:line="276" w:lineRule="auto"/>
        <w:ind w:left="1134" w:hanging="425"/>
        <w:contextualSpacing/>
        <w:jc w:val="both"/>
        <w:rPr>
          <w:rFonts w:ascii="Times New Roman" w:hAnsi="Times New Roman"/>
          <w:szCs w:val="20"/>
        </w:rPr>
      </w:pPr>
      <w:r>
        <w:rPr>
          <w:rFonts w:ascii="Times New Roman" w:hAnsi="Times New Roman"/>
          <w:szCs w:val="20"/>
        </w:rPr>
        <w:t>Gmina Lubień: cztery publiczne placówki oświatowe – po jednej w Lubniu, Tenczynie, Krzeczowie oraz Skomielnej Białej;</w:t>
      </w:r>
    </w:p>
    <w:p w14:paraId="6F007188">
      <w:pPr>
        <w:numPr>
          <w:ilvl w:val="0"/>
          <w:numId w:val="22"/>
        </w:numPr>
        <w:spacing w:after="200" w:line="276" w:lineRule="auto"/>
        <w:ind w:left="1134" w:hanging="425"/>
        <w:contextualSpacing/>
        <w:jc w:val="both"/>
        <w:rPr>
          <w:rFonts w:ascii="Times New Roman" w:hAnsi="Times New Roman"/>
          <w:szCs w:val="20"/>
        </w:rPr>
      </w:pPr>
      <w:r>
        <w:rPr>
          <w:rFonts w:ascii="Times New Roman" w:hAnsi="Times New Roman"/>
          <w:szCs w:val="20"/>
        </w:rPr>
        <w:t>Gmina Myślenice: osiemnaście publicznych placówek oświatowych – cztery w Myślenicach, po jednej w Bęczarce, Borzęcie, Bysinie, Drogini, Głogoczowie, Jasienicy, Jaworniku, Krzyszkowicach, Osieczanach, Polance, Porębie, Trzemeśni, Zasani oraz Zawadzie;</w:t>
      </w:r>
    </w:p>
    <w:p w14:paraId="7F1070DA">
      <w:pPr>
        <w:numPr>
          <w:ilvl w:val="0"/>
          <w:numId w:val="22"/>
        </w:numPr>
        <w:spacing w:after="200" w:line="276" w:lineRule="auto"/>
        <w:ind w:left="1134" w:hanging="425"/>
        <w:contextualSpacing/>
        <w:jc w:val="both"/>
        <w:rPr>
          <w:rFonts w:ascii="Times New Roman" w:hAnsi="Times New Roman"/>
          <w:szCs w:val="20"/>
        </w:rPr>
      </w:pPr>
      <w:r>
        <w:rPr>
          <w:rFonts w:ascii="Times New Roman" w:hAnsi="Times New Roman"/>
          <w:szCs w:val="20"/>
        </w:rPr>
        <w:t xml:space="preserve">Gmina Pcim: pięć publicznych placówek oświatowych – dwie w Stróży, dwie w Pcimiu oraz jedna </w:t>
      </w:r>
      <w:r>
        <w:rPr>
          <w:rFonts w:ascii="Times New Roman" w:hAnsi="Times New Roman"/>
          <w:szCs w:val="20"/>
        </w:rPr>
        <w:br w:type="textWrapping"/>
      </w:r>
      <w:r>
        <w:rPr>
          <w:rFonts w:ascii="Times New Roman" w:hAnsi="Times New Roman"/>
          <w:szCs w:val="20"/>
        </w:rPr>
        <w:t>w Trzebuni;</w:t>
      </w:r>
    </w:p>
    <w:p w14:paraId="34C6648A">
      <w:pPr>
        <w:numPr>
          <w:ilvl w:val="0"/>
          <w:numId w:val="22"/>
        </w:numPr>
        <w:spacing w:after="200" w:line="276" w:lineRule="auto"/>
        <w:ind w:left="1134" w:hanging="425"/>
        <w:contextualSpacing/>
        <w:jc w:val="both"/>
        <w:rPr>
          <w:rFonts w:ascii="Times New Roman" w:hAnsi="Times New Roman"/>
          <w:szCs w:val="20"/>
        </w:rPr>
      </w:pPr>
      <w:r>
        <w:rPr>
          <w:rFonts w:ascii="Times New Roman" w:hAnsi="Times New Roman"/>
          <w:szCs w:val="20"/>
        </w:rPr>
        <w:t xml:space="preserve">Gmina Raciechowice: pięć publicznych placówek oświatowych – po jednej w Raciechowicach, Gruszowie, Krzesławicach, Czasławiu oraz Zegartowicach; </w:t>
      </w:r>
    </w:p>
    <w:p w14:paraId="3A0BDA06">
      <w:pPr>
        <w:numPr>
          <w:ilvl w:val="0"/>
          <w:numId w:val="22"/>
        </w:numPr>
        <w:spacing w:after="200" w:line="276" w:lineRule="auto"/>
        <w:ind w:left="1134" w:hanging="425"/>
        <w:contextualSpacing/>
        <w:jc w:val="both"/>
        <w:rPr>
          <w:rFonts w:ascii="Times New Roman" w:hAnsi="Times New Roman"/>
          <w:szCs w:val="20"/>
        </w:rPr>
      </w:pPr>
      <w:r>
        <w:rPr>
          <w:rFonts w:ascii="Times New Roman" w:hAnsi="Times New Roman"/>
          <w:szCs w:val="20"/>
        </w:rPr>
        <w:t xml:space="preserve">Gmina Sułkowice: sześć publicznych placówek oświatowych – dwie w Sułkowicach, po jednej </w:t>
      </w:r>
      <w:r>
        <w:rPr>
          <w:rFonts w:ascii="Times New Roman" w:hAnsi="Times New Roman"/>
          <w:szCs w:val="20"/>
        </w:rPr>
        <w:br w:type="textWrapping"/>
      </w:r>
      <w:r>
        <w:rPr>
          <w:rFonts w:ascii="Times New Roman" w:hAnsi="Times New Roman"/>
          <w:szCs w:val="20"/>
        </w:rPr>
        <w:t>w Rudniku, Harbutowicach, Biertowicach, Krzywaczce;</w:t>
      </w:r>
    </w:p>
    <w:p w14:paraId="6E2D6E9B">
      <w:pPr>
        <w:numPr>
          <w:ilvl w:val="0"/>
          <w:numId w:val="22"/>
        </w:numPr>
        <w:spacing w:after="200" w:line="276" w:lineRule="auto"/>
        <w:ind w:left="1134" w:hanging="425"/>
        <w:contextualSpacing/>
        <w:jc w:val="both"/>
        <w:rPr>
          <w:rFonts w:ascii="Times New Roman" w:hAnsi="Times New Roman"/>
          <w:szCs w:val="20"/>
        </w:rPr>
      </w:pPr>
      <w:r>
        <w:rPr>
          <w:rFonts w:ascii="Times New Roman" w:hAnsi="Times New Roman"/>
          <w:szCs w:val="20"/>
        </w:rPr>
        <w:t>Gmina Tokarnia: pięć publicznych placówek oświatowych – dwie w Tokarni, po jednej w Krzczonowie, Skomielnej Czarnej oraz w Bogdanówce;</w:t>
      </w:r>
    </w:p>
    <w:p w14:paraId="22520756">
      <w:pPr>
        <w:numPr>
          <w:ilvl w:val="0"/>
          <w:numId w:val="22"/>
        </w:numPr>
        <w:spacing w:line="276" w:lineRule="auto"/>
        <w:ind w:left="1134" w:hanging="425"/>
        <w:jc w:val="both"/>
        <w:rPr>
          <w:rFonts w:ascii="Times New Roman" w:hAnsi="Times New Roman"/>
          <w:szCs w:val="20"/>
        </w:rPr>
      </w:pPr>
      <w:r>
        <w:rPr>
          <w:rFonts w:ascii="Times New Roman" w:hAnsi="Times New Roman"/>
          <w:szCs w:val="20"/>
        </w:rPr>
        <w:t>Gmina Wiśniowa: pięć publicznych placówek oświatowych – po jednej w Glichowie, Kobielniku, Lipniku, Wiśniowej</w:t>
      </w:r>
      <w:r>
        <w:rPr>
          <w:rFonts w:ascii="Times New Roman" w:hAnsi="Times New Roman" w:cs="Times New Roman"/>
        </w:rPr>
        <w:t xml:space="preserve"> oraz </w:t>
      </w:r>
      <w:r>
        <w:rPr>
          <w:rFonts w:ascii="Times New Roman" w:hAnsi="Times New Roman" w:cs="Times New Roman"/>
          <w:shd w:val="clear" w:color="auto" w:fill="FFFFFF"/>
        </w:rPr>
        <w:t>Węglówce</w:t>
      </w:r>
      <w:r>
        <w:rPr>
          <w:rFonts w:ascii="Times New Roman" w:hAnsi="Times New Roman" w:eastAsia="Calibri" w:cs="Times New Roman"/>
          <w:lang w:eastAsia="pl-PL"/>
        </w:rPr>
        <w:t>.</w:t>
      </w:r>
    </w:p>
    <w:p w14:paraId="1949912B">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W tabeli 16 przedstawiony został </w:t>
      </w:r>
      <w:r>
        <w:rPr>
          <w:rFonts w:ascii="Times New Roman" w:hAnsi="Times New Roman" w:cs="Times New Roman"/>
          <w:i/>
          <w:iCs/>
          <w:color w:val="000000" w:themeColor="text1"/>
          <w14:textFill>
            <w14:solidFill>
              <w14:schemeClr w14:val="tx1"/>
            </w14:solidFill>
          </w14:textFill>
        </w:rPr>
        <w:t>współczynnik skolaryzacji brutto</w:t>
      </w:r>
      <w:r>
        <w:rPr>
          <w:rFonts w:ascii="Times New Roman" w:hAnsi="Times New Roman" w:cs="Times New Roman"/>
          <w:color w:val="000000" w:themeColor="text1"/>
          <w14:textFill>
            <w14:solidFill>
              <w14:schemeClr w14:val="tx1"/>
            </w14:solidFill>
          </w14:textFill>
        </w:rPr>
        <w:t xml:space="preserve"> oraz </w:t>
      </w:r>
      <w:r>
        <w:rPr>
          <w:rFonts w:ascii="Times New Roman" w:hAnsi="Times New Roman" w:cs="Times New Roman"/>
          <w:i/>
          <w:iCs/>
          <w:color w:val="000000" w:themeColor="text1"/>
          <w14:textFill>
            <w14:solidFill>
              <w14:schemeClr w14:val="tx1"/>
            </w14:solidFill>
          </w14:textFill>
        </w:rPr>
        <w:t xml:space="preserve">liczba uczniów w przeliczeniu na 1 000 mieszkańców. </w:t>
      </w:r>
      <w:r>
        <w:rPr>
          <w:rFonts w:ascii="Times New Roman" w:hAnsi="Times New Roman" w:cs="Times New Roman"/>
          <w:color w:val="000000" w:themeColor="text1"/>
          <w14:textFill>
            <w14:solidFill>
              <w14:schemeClr w14:val="tx1"/>
            </w14:solidFill>
          </w14:textFill>
        </w:rPr>
        <w:t xml:space="preserve">Współczynnik skolaryzacji jest miarą powszechności nauczania, tj. służy do oceny aktywności edukacyjnej ludności. </w:t>
      </w:r>
      <w:r>
        <w:rPr>
          <w:rFonts w:ascii="Times New Roman" w:hAnsi="Times New Roman" w:cs="Times New Roman"/>
          <w:color w:val="000000"/>
          <w:szCs w:val="20"/>
        </w:rPr>
        <w:t xml:space="preserve">Wartość wskaźnika poniżej 100% nie oznacza, że dzieci nie uczęszczają do szkół w ogóle, ale może wynikać z faktu, że kształcą się w szkołach zlokalizowanych na obszarze innych jednostek terytorialnych lub też kształcą się za granicą. W drugą stronę – współczynnik powyżej 100% oznacza, że do szkół na terenie gminy uczęszczają osoby zameldowane poza nią i jest to charakterystyczne dla miast, ale może też oznaczać, że w tych szkołach uczą się osoby, które przekroczyły wiek nominalnie przypisany temu poziomowi edukacji. Im niższy współczynnik skolaryzacji, tym mniej dzieci, które w danej gminie powinny realizować obowiązek szkolny. Można założyć, że jeśli dzieci z danej gminy nie uczęszczają w niej do szkoły, to istnieje duże prawdopodobieństwo, że w ogóle fizycznie ich tam nie ma, a co za tym idzie – nie ma też rodziców (wyjazd za granicę, praca i nauka w większych ośrodkach miejskich). </w:t>
      </w:r>
    </w:p>
    <w:p w14:paraId="7D1EC0EC">
      <w:pPr>
        <w:pStyle w:val="9"/>
        <w:spacing w:after="0"/>
        <w:jc w:val="center"/>
        <w:rPr>
          <w:rFonts w:ascii="Times New Roman" w:hAnsi="Times New Roman" w:cs="Times New Roman"/>
          <w:color w:val="000000" w:themeColor="text1"/>
          <w14:textFill>
            <w14:solidFill>
              <w14:schemeClr w14:val="tx1"/>
            </w14:solidFill>
          </w14:textFill>
        </w:rPr>
      </w:pPr>
      <w:bookmarkStart w:id="114" w:name="_Toc112152416"/>
      <w:bookmarkStart w:id="115" w:name="_Toc136241404"/>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16</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Współczynnik skolaryzacji brutto oraz liczba uczniów w przeliczeniu na 1 000 mieszkańców </w:t>
      </w:r>
      <w:r>
        <w:rPr>
          <w:rFonts w:ascii="Times New Roman" w:hAnsi="Times New Roman" w:cs="Times New Roman"/>
          <w:b/>
          <w:bCs/>
          <w:i w:val="0"/>
          <w:iCs w:val="0"/>
          <w:color w:val="000000" w:themeColor="text1"/>
          <w:sz w:val="20"/>
          <w:szCs w:val="20"/>
          <w14:textFill>
            <w14:solidFill>
              <w14:schemeClr w14:val="tx1"/>
            </w14:solidFill>
          </w14:textFill>
        </w:rPr>
        <w:br w:type="textWrapping"/>
      </w:r>
      <w:r>
        <w:rPr>
          <w:rFonts w:ascii="Times New Roman" w:hAnsi="Times New Roman" w:cs="Times New Roman"/>
          <w:b/>
          <w:bCs/>
          <w:i w:val="0"/>
          <w:iCs w:val="0"/>
          <w:color w:val="000000" w:themeColor="text1"/>
          <w:sz w:val="20"/>
          <w:szCs w:val="20"/>
          <w14:textFill>
            <w14:solidFill>
              <w14:schemeClr w14:val="tx1"/>
            </w14:solidFill>
          </w14:textFill>
        </w:rPr>
        <w:t>w poszczególnych gminach LGD oraz porównanie średniej obszaru LGD do województwa i kraju w latach 2016–2020</w:t>
      </w:r>
      <w:bookmarkEnd w:id="114"/>
      <w:bookmarkEnd w:id="115"/>
    </w:p>
    <w:tbl>
      <w:tblPr>
        <w:tblStyle w:val="6"/>
        <w:tblW w:w="5000" w:type="pct"/>
        <w:tblInd w:w="0" w:type="dxa"/>
        <w:tblLayout w:type="autofit"/>
        <w:tblCellMar>
          <w:top w:w="0" w:type="dxa"/>
          <w:left w:w="70" w:type="dxa"/>
          <w:bottom w:w="0" w:type="dxa"/>
          <w:right w:w="70" w:type="dxa"/>
        </w:tblCellMar>
      </w:tblPr>
      <w:tblGrid>
        <w:gridCol w:w="2929"/>
        <w:gridCol w:w="712"/>
        <w:gridCol w:w="712"/>
        <w:gridCol w:w="712"/>
        <w:gridCol w:w="712"/>
        <w:gridCol w:w="712"/>
        <w:gridCol w:w="772"/>
        <w:gridCol w:w="772"/>
        <w:gridCol w:w="772"/>
        <w:gridCol w:w="772"/>
        <w:gridCol w:w="767"/>
      </w:tblGrid>
      <w:tr w14:paraId="0A18B5F7">
        <w:tblPrEx>
          <w:tblCellMar>
            <w:top w:w="0" w:type="dxa"/>
            <w:left w:w="70" w:type="dxa"/>
            <w:bottom w:w="0" w:type="dxa"/>
            <w:right w:w="70" w:type="dxa"/>
          </w:tblCellMar>
        </w:tblPrEx>
        <w:trPr>
          <w:trHeight w:val="340" w:hRule="atLeast"/>
        </w:trPr>
        <w:tc>
          <w:tcPr>
            <w:tcW w:w="109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E66EAA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880" w:type="pct"/>
            <w:gridSpan w:val="5"/>
            <w:tcBorders>
              <w:top w:val="single" w:color="auto" w:sz="4" w:space="0"/>
              <w:left w:val="nil"/>
              <w:bottom w:val="single" w:color="auto" w:sz="4" w:space="0"/>
              <w:right w:val="single" w:color="auto" w:sz="4" w:space="0"/>
            </w:tcBorders>
            <w:shd w:val="clear" w:color="auto" w:fill="auto"/>
            <w:vAlign w:val="center"/>
          </w:tcPr>
          <w:p w14:paraId="4D44574A">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Współczynnik skolaryzacji brutto</w:t>
            </w:r>
          </w:p>
        </w:tc>
        <w:tc>
          <w:tcPr>
            <w:tcW w:w="2023" w:type="pct"/>
            <w:gridSpan w:val="5"/>
            <w:tcBorders>
              <w:top w:val="single" w:color="auto" w:sz="4" w:space="0"/>
              <w:left w:val="nil"/>
              <w:bottom w:val="single" w:color="auto" w:sz="4" w:space="0"/>
              <w:right w:val="single" w:color="auto" w:sz="4" w:space="0"/>
            </w:tcBorders>
            <w:shd w:val="clear" w:color="auto" w:fill="auto"/>
            <w:vAlign w:val="center"/>
          </w:tcPr>
          <w:p w14:paraId="51D5974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Liczba uczniów w przeliczeniu na 1 000 mieszkańców</w:t>
            </w:r>
          </w:p>
        </w:tc>
      </w:tr>
      <w:tr w14:paraId="3C0B46B8">
        <w:tblPrEx>
          <w:tblCellMar>
            <w:top w:w="0" w:type="dxa"/>
            <w:left w:w="70" w:type="dxa"/>
            <w:bottom w:w="0" w:type="dxa"/>
            <w:right w:w="70" w:type="dxa"/>
          </w:tblCellMar>
        </w:tblPrEx>
        <w:trPr>
          <w:trHeight w:val="340" w:hRule="atLeast"/>
        </w:trPr>
        <w:tc>
          <w:tcPr>
            <w:tcW w:w="10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09894A">
            <w:pPr>
              <w:spacing w:after="0" w:line="240" w:lineRule="auto"/>
              <w:rPr>
                <w:rFonts w:ascii="Times New Roman" w:hAnsi="Times New Roman" w:eastAsia="Times New Roman" w:cs="Times New Roman"/>
                <w:b/>
                <w:bCs/>
                <w:color w:val="000000"/>
                <w:sz w:val="20"/>
                <w:szCs w:val="20"/>
                <w:lang w:eastAsia="pl-PL"/>
              </w:rPr>
            </w:pPr>
          </w:p>
        </w:tc>
        <w:tc>
          <w:tcPr>
            <w:tcW w:w="376" w:type="pct"/>
            <w:tcBorders>
              <w:top w:val="nil"/>
              <w:left w:val="nil"/>
              <w:bottom w:val="single" w:color="auto" w:sz="4" w:space="0"/>
              <w:right w:val="single" w:color="auto" w:sz="4" w:space="0"/>
            </w:tcBorders>
            <w:shd w:val="clear" w:color="auto" w:fill="auto"/>
            <w:noWrap/>
            <w:vAlign w:val="center"/>
          </w:tcPr>
          <w:p w14:paraId="15E4BD7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376" w:type="pct"/>
            <w:tcBorders>
              <w:top w:val="nil"/>
              <w:left w:val="nil"/>
              <w:bottom w:val="single" w:color="auto" w:sz="4" w:space="0"/>
              <w:right w:val="single" w:color="auto" w:sz="4" w:space="0"/>
            </w:tcBorders>
            <w:shd w:val="clear" w:color="auto" w:fill="auto"/>
            <w:noWrap/>
            <w:vAlign w:val="center"/>
          </w:tcPr>
          <w:p w14:paraId="03445EB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376" w:type="pct"/>
            <w:tcBorders>
              <w:top w:val="nil"/>
              <w:left w:val="nil"/>
              <w:bottom w:val="single" w:color="auto" w:sz="4" w:space="0"/>
              <w:right w:val="single" w:color="auto" w:sz="4" w:space="0"/>
            </w:tcBorders>
            <w:shd w:val="clear" w:color="auto" w:fill="auto"/>
            <w:noWrap/>
            <w:vAlign w:val="center"/>
          </w:tcPr>
          <w:p w14:paraId="70F22A9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376" w:type="pct"/>
            <w:tcBorders>
              <w:top w:val="nil"/>
              <w:left w:val="nil"/>
              <w:bottom w:val="single" w:color="auto" w:sz="4" w:space="0"/>
              <w:right w:val="single" w:color="auto" w:sz="4" w:space="0"/>
            </w:tcBorders>
            <w:shd w:val="clear" w:color="auto" w:fill="auto"/>
            <w:noWrap/>
            <w:vAlign w:val="center"/>
          </w:tcPr>
          <w:p w14:paraId="155968E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376" w:type="pct"/>
            <w:tcBorders>
              <w:top w:val="nil"/>
              <w:left w:val="nil"/>
              <w:bottom w:val="single" w:color="auto" w:sz="4" w:space="0"/>
              <w:right w:val="single" w:color="auto" w:sz="4" w:space="0"/>
            </w:tcBorders>
            <w:shd w:val="clear" w:color="auto" w:fill="auto"/>
            <w:noWrap/>
            <w:vAlign w:val="center"/>
          </w:tcPr>
          <w:p w14:paraId="2219782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405" w:type="pct"/>
            <w:tcBorders>
              <w:top w:val="nil"/>
              <w:left w:val="nil"/>
              <w:bottom w:val="single" w:color="auto" w:sz="4" w:space="0"/>
              <w:right w:val="single" w:color="auto" w:sz="4" w:space="0"/>
            </w:tcBorders>
            <w:shd w:val="clear" w:color="auto" w:fill="auto"/>
            <w:noWrap/>
            <w:vAlign w:val="center"/>
          </w:tcPr>
          <w:p w14:paraId="46231FA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2016</w:t>
            </w:r>
          </w:p>
        </w:tc>
        <w:tc>
          <w:tcPr>
            <w:tcW w:w="405" w:type="pct"/>
            <w:tcBorders>
              <w:top w:val="nil"/>
              <w:left w:val="nil"/>
              <w:bottom w:val="single" w:color="auto" w:sz="4" w:space="0"/>
              <w:right w:val="single" w:color="auto" w:sz="4" w:space="0"/>
            </w:tcBorders>
            <w:shd w:val="clear" w:color="auto" w:fill="auto"/>
            <w:noWrap/>
            <w:vAlign w:val="center"/>
          </w:tcPr>
          <w:p w14:paraId="4C82E97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2017</w:t>
            </w:r>
          </w:p>
        </w:tc>
        <w:tc>
          <w:tcPr>
            <w:tcW w:w="405" w:type="pct"/>
            <w:tcBorders>
              <w:top w:val="nil"/>
              <w:left w:val="nil"/>
              <w:bottom w:val="single" w:color="auto" w:sz="4" w:space="0"/>
              <w:right w:val="single" w:color="auto" w:sz="4" w:space="0"/>
            </w:tcBorders>
            <w:shd w:val="clear" w:color="auto" w:fill="auto"/>
            <w:noWrap/>
            <w:vAlign w:val="center"/>
          </w:tcPr>
          <w:p w14:paraId="55436E3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2018</w:t>
            </w:r>
          </w:p>
        </w:tc>
        <w:tc>
          <w:tcPr>
            <w:tcW w:w="405" w:type="pct"/>
            <w:tcBorders>
              <w:top w:val="nil"/>
              <w:left w:val="nil"/>
              <w:bottom w:val="single" w:color="auto" w:sz="4" w:space="0"/>
              <w:right w:val="single" w:color="auto" w:sz="4" w:space="0"/>
            </w:tcBorders>
            <w:shd w:val="clear" w:color="auto" w:fill="auto"/>
            <w:noWrap/>
            <w:vAlign w:val="center"/>
          </w:tcPr>
          <w:p w14:paraId="16E83B1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405" w:type="pct"/>
            <w:tcBorders>
              <w:top w:val="nil"/>
              <w:left w:val="nil"/>
              <w:bottom w:val="single" w:color="auto" w:sz="4" w:space="0"/>
              <w:right w:val="single" w:color="auto" w:sz="4" w:space="0"/>
            </w:tcBorders>
            <w:shd w:val="clear" w:color="auto" w:fill="auto"/>
            <w:noWrap/>
            <w:vAlign w:val="center"/>
          </w:tcPr>
          <w:p w14:paraId="662F34D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r>
      <w:tr w14:paraId="5862DE5B">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17A4CB2D">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376" w:type="pct"/>
            <w:tcBorders>
              <w:top w:val="nil"/>
              <w:left w:val="nil"/>
              <w:bottom w:val="single" w:color="auto" w:sz="4" w:space="0"/>
              <w:right w:val="single" w:color="auto" w:sz="4" w:space="0"/>
            </w:tcBorders>
            <w:shd w:val="clear" w:color="auto" w:fill="auto"/>
            <w:noWrap/>
            <w:vAlign w:val="center"/>
          </w:tcPr>
          <w:p w14:paraId="2813380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92,8</w:t>
            </w:r>
          </w:p>
        </w:tc>
        <w:tc>
          <w:tcPr>
            <w:tcW w:w="376" w:type="pct"/>
            <w:tcBorders>
              <w:top w:val="nil"/>
              <w:left w:val="nil"/>
              <w:bottom w:val="single" w:color="auto" w:sz="4" w:space="0"/>
              <w:right w:val="single" w:color="auto" w:sz="4" w:space="0"/>
            </w:tcBorders>
            <w:shd w:val="clear" w:color="auto" w:fill="auto"/>
            <w:noWrap/>
            <w:vAlign w:val="center"/>
          </w:tcPr>
          <w:p w14:paraId="0458D3E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91,9</w:t>
            </w:r>
          </w:p>
        </w:tc>
        <w:tc>
          <w:tcPr>
            <w:tcW w:w="376" w:type="pct"/>
            <w:tcBorders>
              <w:top w:val="nil"/>
              <w:left w:val="nil"/>
              <w:bottom w:val="single" w:color="auto" w:sz="4" w:space="0"/>
              <w:right w:val="single" w:color="auto" w:sz="4" w:space="0"/>
            </w:tcBorders>
            <w:shd w:val="clear" w:color="auto" w:fill="auto"/>
            <w:noWrap/>
            <w:vAlign w:val="center"/>
          </w:tcPr>
          <w:p w14:paraId="5EC65F0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94,5</w:t>
            </w:r>
          </w:p>
        </w:tc>
        <w:tc>
          <w:tcPr>
            <w:tcW w:w="376" w:type="pct"/>
            <w:tcBorders>
              <w:top w:val="nil"/>
              <w:left w:val="nil"/>
              <w:bottom w:val="single" w:color="auto" w:sz="4" w:space="0"/>
              <w:right w:val="single" w:color="auto" w:sz="4" w:space="0"/>
            </w:tcBorders>
            <w:shd w:val="clear" w:color="auto" w:fill="auto"/>
            <w:noWrap/>
            <w:vAlign w:val="center"/>
          </w:tcPr>
          <w:p w14:paraId="7B391B2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93,1</w:t>
            </w:r>
          </w:p>
        </w:tc>
        <w:tc>
          <w:tcPr>
            <w:tcW w:w="376" w:type="pct"/>
            <w:tcBorders>
              <w:top w:val="nil"/>
              <w:left w:val="nil"/>
              <w:bottom w:val="single" w:color="auto" w:sz="4" w:space="0"/>
              <w:right w:val="single" w:color="auto" w:sz="4" w:space="0"/>
            </w:tcBorders>
            <w:shd w:val="clear" w:color="auto" w:fill="auto"/>
            <w:noWrap/>
            <w:vAlign w:val="center"/>
          </w:tcPr>
          <w:p w14:paraId="58D4D36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94,8</w:t>
            </w:r>
          </w:p>
        </w:tc>
        <w:tc>
          <w:tcPr>
            <w:tcW w:w="405" w:type="pct"/>
            <w:tcBorders>
              <w:top w:val="nil"/>
              <w:left w:val="nil"/>
              <w:bottom w:val="single" w:color="auto" w:sz="4" w:space="0"/>
              <w:right w:val="single" w:color="auto" w:sz="4" w:space="0"/>
            </w:tcBorders>
            <w:shd w:val="clear" w:color="auto" w:fill="auto"/>
            <w:noWrap/>
            <w:vAlign w:val="center"/>
          </w:tcPr>
          <w:p w14:paraId="77BE336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72</w:t>
            </w:r>
          </w:p>
        </w:tc>
        <w:tc>
          <w:tcPr>
            <w:tcW w:w="405" w:type="pct"/>
            <w:tcBorders>
              <w:top w:val="nil"/>
              <w:left w:val="nil"/>
              <w:bottom w:val="single" w:color="auto" w:sz="4" w:space="0"/>
              <w:right w:val="single" w:color="auto" w:sz="4" w:space="0"/>
            </w:tcBorders>
            <w:shd w:val="clear" w:color="auto" w:fill="auto"/>
            <w:noWrap/>
            <w:vAlign w:val="center"/>
          </w:tcPr>
          <w:p w14:paraId="56C82B8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405" w:type="pct"/>
            <w:tcBorders>
              <w:top w:val="nil"/>
              <w:left w:val="nil"/>
              <w:bottom w:val="single" w:color="auto" w:sz="4" w:space="0"/>
              <w:right w:val="single" w:color="auto" w:sz="4" w:space="0"/>
            </w:tcBorders>
            <w:shd w:val="clear" w:color="auto" w:fill="auto"/>
            <w:noWrap/>
            <w:vAlign w:val="center"/>
          </w:tcPr>
          <w:p w14:paraId="583B8E5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w:t>
            </w:r>
          </w:p>
        </w:tc>
        <w:tc>
          <w:tcPr>
            <w:tcW w:w="405" w:type="pct"/>
            <w:tcBorders>
              <w:top w:val="nil"/>
              <w:left w:val="nil"/>
              <w:bottom w:val="single" w:color="auto" w:sz="4" w:space="0"/>
              <w:right w:val="single" w:color="auto" w:sz="4" w:space="0"/>
            </w:tcBorders>
            <w:shd w:val="clear" w:color="auto" w:fill="auto"/>
            <w:noWrap/>
            <w:vAlign w:val="center"/>
          </w:tcPr>
          <w:p w14:paraId="7FD1BDA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97</w:t>
            </w:r>
          </w:p>
        </w:tc>
        <w:tc>
          <w:tcPr>
            <w:tcW w:w="405" w:type="pct"/>
            <w:tcBorders>
              <w:top w:val="nil"/>
              <w:left w:val="nil"/>
              <w:bottom w:val="single" w:color="auto" w:sz="4" w:space="0"/>
              <w:right w:val="single" w:color="auto" w:sz="4" w:space="0"/>
            </w:tcBorders>
            <w:shd w:val="clear" w:color="auto" w:fill="auto"/>
            <w:noWrap/>
            <w:vAlign w:val="center"/>
          </w:tcPr>
          <w:p w14:paraId="2C65CC7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98</w:t>
            </w:r>
          </w:p>
        </w:tc>
      </w:tr>
      <w:tr w14:paraId="305453C7">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63F92811">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376" w:type="pct"/>
            <w:tcBorders>
              <w:top w:val="nil"/>
              <w:left w:val="nil"/>
              <w:bottom w:val="single" w:color="auto" w:sz="4" w:space="0"/>
              <w:right w:val="single" w:color="auto" w:sz="4" w:space="0"/>
            </w:tcBorders>
            <w:shd w:val="clear" w:color="auto" w:fill="auto"/>
            <w:noWrap/>
            <w:vAlign w:val="center"/>
          </w:tcPr>
          <w:p w14:paraId="6882FA4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100,6</w:t>
            </w:r>
          </w:p>
        </w:tc>
        <w:tc>
          <w:tcPr>
            <w:tcW w:w="376" w:type="pct"/>
            <w:tcBorders>
              <w:top w:val="nil"/>
              <w:left w:val="nil"/>
              <w:bottom w:val="single" w:color="auto" w:sz="4" w:space="0"/>
              <w:right w:val="single" w:color="auto" w:sz="4" w:space="0"/>
            </w:tcBorders>
            <w:shd w:val="clear" w:color="auto" w:fill="auto"/>
            <w:noWrap/>
            <w:vAlign w:val="center"/>
          </w:tcPr>
          <w:p w14:paraId="03C94BE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99,3</w:t>
            </w:r>
          </w:p>
        </w:tc>
        <w:tc>
          <w:tcPr>
            <w:tcW w:w="376" w:type="pct"/>
            <w:tcBorders>
              <w:top w:val="nil"/>
              <w:left w:val="nil"/>
              <w:bottom w:val="single" w:color="auto" w:sz="4" w:space="0"/>
              <w:right w:val="single" w:color="auto" w:sz="4" w:space="0"/>
            </w:tcBorders>
            <w:shd w:val="clear" w:color="auto" w:fill="auto"/>
            <w:noWrap/>
            <w:vAlign w:val="center"/>
          </w:tcPr>
          <w:p w14:paraId="5C72381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101,1</w:t>
            </w:r>
          </w:p>
        </w:tc>
        <w:tc>
          <w:tcPr>
            <w:tcW w:w="376" w:type="pct"/>
            <w:tcBorders>
              <w:top w:val="nil"/>
              <w:left w:val="nil"/>
              <w:bottom w:val="single" w:color="auto" w:sz="4" w:space="0"/>
              <w:right w:val="single" w:color="auto" w:sz="4" w:space="0"/>
            </w:tcBorders>
            <w:shd w:val="clear" w:color="auto" w:fill="auto"/>
            <w:noWrap/>
            <w:vAlign w:val="center"/>
          </w:tcPr>
          <w:p w14:paraId="24DE62E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100,5</w:t>
            </w:r>
          </w:p>
        </w:tc>
        <w:tc>
          <w:tcPr>
            <w:tcW w:w="376" w:type="pct"/>
            <w:tcBorders>
              <w:top w:val="nil"/>
              <w:left w:val="nil"/>
              <w:bottom w:val="single" w:color="auto" w:sz="4" w:space="0"/>
              <w:right w:val="single" w:color="auto" w:sz="4" w:space="0"/>
            </w:tcBorders>
            <w:shd w:val="clear" w:color="auto" w:fill="auto"/>
            <w:noWrap/>
            <w:vAlign w:val="center"/>
          </w:tcPr>
          <w:p w14:paraId="028634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103,8</w:t>
            </w:r>
          </w:p>
        </w:tc>
        <w:tc>
          <w:tcPr>
            <w:tcW w:w="405" w:type="pct"/>
            <w:tcBorders>
              <w:top w:val="nil"/>
              <w:left w:val="nil"/>
              <w:bottom w:val="single" w:color="auto" w:sz="4" w:space="0"/>
              <w:right w:val="single" w:color="auto" w:sz="4" w:space="0"/>
            </w:tcBorders>
            <w:shd w:val="clear" w:color="auto" w:fill="auto"/>
            <w:noWrap/>
            <w:vAlign w:val="center"/>
          </w:tcPr>
          <w:p w14:paraId="71981B5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71</w:t>
            </w:r>
          </w:p>
        </w:tc>
        <w:tc>
          <w:tcPr>
            <w:tcW w:w="405" w:type="pct"/>
            <w:tcBorders>
              <w:top w:val="nil"/>
              <w:left w:val="nil"/>
              <w:bottom w:val="single" w:color="auto" w:sz="4" w:space="0"/>
              <w:right w:val="single" w:color="auto" w:sz="4" w:space="0"/>
            </w:tcBorders>
            <w:shd w:val="clear" w:color="auto" w:fill="auto"/>
            <w:noWrap/>
            <w:vAlign w:val="center"/>
          </w:tcPr>
          <w:p w14:paraId="735E9FF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405" w:type="pct"/>
            <w:tcBorders>
              <w:top w:val="nil"/>
              <w:left w:val="nil"/>
              <w:bottom w:val="single" w:color="auto" w:sz="4" w:space="0"/>
              <w:right w:val="single" w:color="auto" w:sz="4" w:space="0"/>
            </w:tcBorders>
            <w:shd w:val="clear" w:color="auto" w:fill="auto"/>
            <w:noWrap/>
            <w:vAlign w:val="center"/>
          </w:tcPr>
          <w:p w14:paraId="102BCE2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w:t>
            </w:r>
          </w:p>
        </w:tc>
        <w:tc>
          <w:tcPr>
            <w:tcW w:w="405" w:type="pct"/>
            <w:tcBorders>
              <w:top w:val="nil"/>
              <w:left w:val="nil"/>
              <w:bottom w:val="single" w:color="auto" w:sz="4" w:space="0"/>
              <w:right w:val="single" w:color="auto" w:sz="4" w:space="0"/>
            </w:tcBorders>
            <w:shd w:val="clear" w:color="auto" w:fill="auto"/>
            <w:noWrap/>
            <w:vAlign w:val="center"/>
          </w:tcPr>
          <w:p w14:paraId="7B8F842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94</w:t>
            </w:r>
          </w:p>
        </w:tc>
        <w:tc>
          <w:tcPr>
            <w:tcW w:w="405" w:type="pct"/>
            <w:tcBorders>
              <w:top w:val="nil"/>
              <w:left w:val="nil"/>
              <w:bottom w:val="single" w:color="auto" w:sz="4" w:space="0"/>
              <w:right w:val="single" w:color="auto" w:sz="4" w:space="0"/>
            </w:tcBorders>
            <w:shd w:val="clear" w:color="auto" w:fill="auto"/>
            <w:noWrap/>
            <w:vAlign w:val="center"/>
          </w:tcPr>
          <w:p w14:paraId="4BCDC6E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w:t>
            </w:r>
          </w:p>
        </w:tc>
      </w:tr>
      <w:tr w14:paraId="11E59D70">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2E1EB430">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376" w:type="pct"/>
            <w:tcBorders>
              <w:top w:val="nil"/>
              <w:left w:val="nil"/>
              <w:bottom w:val="single" w:color="auto" w:sz="4" w:space="0"/>
              <w:right w:val="single" w:color="auto" w:sz="4" w:space="0"/>
            </w:tcBorders>
            <w:shd w:val="clear" w:color="auto" w:fill="auto"/>
            <w:noWrap/>
            <w:vAlign w:val="center"/>
          </w:tcPr>
          <w:p w14:paraId="6AF3666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95,6</w:t>
            </w:r>
          </w:p>
        </w:tc>
        <w:tc>
          <w:tcPr>
            <w:tcW w:w="376" w:type="pct"/>
            <w:tcBorders>
              <w:top w:val="nil"/>
              <w:left w:val="nil"/>
              <w:bottom w:val="single" w:color="auto" w:sz="4" w:space="0"/>
              <w:right w:val="single" w:color="auto" w:sz="4" w:space="0"/>
            </w:tcBorders>
            <w:shd w:val="clear" w:color="auto" w:fill="auto"/>
            <w:noWrap/>
            <w:vAlign w:val="center"/>
          </w:tcPr>
          <w:p w14:paraId="16AD97B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95,4</w:t>
            </w:r>
          </w:p>
        </w:tc>
        <w:tc>
          <w:tcPr>
            <w:tcW w:w="376" w:type="pct"/>
            <w:tcBorders>
              <w:top w:val="nil"/>
              <w:left w:val="nil"/>
              <w:bottom w:val="single" w:color="auto" w:sz="4" w:space="0"/>
              <w:right w:val="single" w:color="auto" w:sz="4" w:space="0"/>
            </w:tcBorders>
            <w:shd w:val="clear" w:color="auto" w:fill="auto"/>
            <w:noWrap/>
            <w:vAlign w:val="center"/>
          </w:tcPr>
          <w:p w14:paraId="1CA2878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94,9</w:t>
            </w:r>
          </w:p>
        </w:tc>
        <w:tc>
          <w:tcPr>
            <w:tcW w:w="376" w:type="pct"/>
            <w:tcBorders>
              <w:top w:val="nil"/>
              <w:left w:val="nil"/>
              <w:bottom w:val="single" w:color="auto" w:sz="4" w:space="0"/>
              <w:right w:val="single" w:color="auto" w:sz="4" w:space="0"/>
            </w:tcBorders>
            <w:shd w:val="clear" w:color="auto" w:fill="auto"/>
            <w:noWrap/>
            <w:vAlign w:val="center"/>
          </w:tcPr>
          <w:p w14:paraId="2235E81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92,8</w:t>
            </w:r>
          </w:p>
        </w:tc>
        <w:tc>
          <w:tcPr>
            <w:tcW w:w="376" w:type="pct"/>
            <w:tcBorders>
              <w:top w:val="nil"/>
              <w:left w:val="nil"/>
              <w:bottom w:val="single" w:color="auto" w:sz="4" w:space="0"/>
              <w:right w:val="single" w:color="auto" w:sz="4" w:space="0"/>
            </w:tcBorders>
            <w:shd w:val="clear" w:color="auto" w:fill="auto"/>
            <w:noWrap/>
            <w:vAlign w:val="center"/>
          </w:tcPr>
          <w:p w14:paraId="0914732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92,7</w:t>
            </w:r>
          </w:p>
        </w:tc>
        <w:tc>
          <w:tcPr>
            <w:tcW w:w="405" w:type="pct"/>
            <w:tcBorders>
              <w:top w:val="nil"/>
              <w:left w:val="nil"/>
              <w:bottom w:val="single" w:color="auto" w:sz="4" w:space="0"/>
              <w:right w:val="single" w:color="auto" w:sz="4" w:space="0"/>
            </w:tcBorders>
            <w:shd w:val="clear" w:color="auto" w:fill="auto"/>
            <w:noWrap/>
            <w:vAlign w:val="center"/>
          </w:tcPr>
          <w:p w14:paraId="709146C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72</w:t>
            </w:r>
          </w:p>
        </w:tc>
        <w:tc>
          <w:tcPr>
            <w:tcW w:w="405" w:type="pct"/>
            <w:tcBorders>
              <w:top w:val="nil"/>
              <w:left w:val="nil"/>
              <w:bottom w:val="single" w:color="auto" w:sz="4" w:space="0"/>
              <w:right w:val="single" w:color="auto" w:sz="4" w:space="0"/>
            </w:tcBorders>
            <w:shd w:val="clear" w:color="auto" w:fill="auto"/>
            <w:noWrap/>
            <w:vAlign w:val="center"/>
          </w:tcPr>
          <w:p w14:paraId="105503F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405" w:type="pct"/>
            <w:tcBorders>
              <w:top w:val="nil"/>
              <w:left w:val="nil"/>
              <w:bottom w:val="single" w:color="auto" w:sz="4" w:space="0"/>
              <w:right w:val="single" w:color="auto" w:sz="4" w:space="0"/>
            </w:tcBorders>
            <w:shd w:val="clear" w:color="auto" w:fill="auto"/>
            <w:noWrap/>
            <w:vAlign w:val="center"/>
          </w:tcPr>
          <w:p w14:paraId="2885826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93</w:t>
            </w:r>
          </w:p>
        </w:tc>
        <w:tc>
          <w:tcPr>
            <w:tcW w:w="405" w:type="pct"/>
            <w:tcBorders>
              <w:top w:val="nil"/>
              <w:left w:val="nil"/>
              <w:bottom w:val="single" w:color="auto" w:sz="4" w:space="0"/>
              <w:right w:val="single" w:color="auto" w:sz="4" w:space="0"/>
            </w:tcBorders>
            <w:shd w:val="clear" w:color="auto" w:fill="auto"/>
            <w:noWrap/>
            <w:vAlign w:val="center"/>
          </w:tcPr>
          <w:p w14:paraId="24E79BC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90</w:t>
            </w:r>
          </w:p>
        </w:tc>
        <w:tc>
          <w:tcPr>
            <w:tcW w:w="405" w:type="pct"/>
            <w:tcBorders>
              <w:top w:val="nil"/>
              <w:left w:val="nil"/>
              <w:bottom w:val="single" w:color="auto" w:sz="4" w:space="0"/>
              <w:right w:val="single" w:color="auto" w:sz="4" w:space="0"/>
            </w:tcBorders>
            <w:shd w:val="clear" w:color="auto" w:fill="auto"/>
            <w:noWrap/>
            <w:vAlign w:val="center"/>
          </w:tcPr>
          <w:p w14:paraId="6450FC2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r>
      <w:tr w14:paraId="1425CE17">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30D5998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376" w:type="pct"/>
            <w:tcBorders>
              <w:top w:val="nil"/>
              <w:left w:val="nil"/>
              <w:bottom w:val="single" w:color="auto" w:sz="4" w:space="0"/>
              <w:right w:val="single" w:color="auto" w:sz="4" w:space="0"/>
            </w:tcBorders>
            <w:shd w:val="clear" w:color="auto" w:fill="auto"/>
            <w:noWrap/>
            <w:vAlign w:val="center"/>
          </w:tcPr>
          <w:p w14:paraId="0D704AC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100,0</w:t>
            </w:r>
          </w:p>
        </w:tc>
        <w:tc>
          <w:tcPr>
            <w:tcW w:w="376" w:type="pct"/>
            <w:tcBorders>
              <w:top w:val="nil"/>
              <w:left w:val="nil"/>
              <w:bottom w:val="single" w:color="auto" w:sz="4" w:space="0"/>
              <w:right w:val="single" w:color="auto" w:sz="4" w:space="0"/>
            </w:tcBorders>
            <w:shd w:val="clear" w:color="auto" w:fill="auto"/>
            <w:noWrap/>
            <w:vAlign w:val="center"/>
          </w:tcPr>
          <w:p w14:paraId="27F09F1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105,6</w:t>
            </w:r>
          </w:p>
        </w:tc>
        <w:tc>
          <w:tcPr>
            <w:tcW w:w="376" w:type="pct"/>
            <w:tcBorders>
              <w:top w:val="nil"/>
              <w:left w:val="nil"/>
              <w:bottom w:val="single" w:color="auto" w:sz="4" w:space="0"/>
              <w:right w:val="single" w:color="auto" w:sz="4" w:space="0"/>
            </w:tcBorders>
            <w:shd w:val="clear" w:color="auto" w:fill="auto"/>
            <w:noWrap/>
            <w:vAlign w:val="center"/>
          </w:tcPr>
          <w:p w14:paraId="5514DC9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98,0</w:t>
            </w:r>
          </w:p>
        </w:tc>
        <w:tc>
          <w:tcPr>
            <w:tcW w:w="376" w:type="pct"/>
            <w:tcBorders>
              <w:top w:val="nil"/>
              <w:left w:val="nil"/>
              <w:bottom w:val="single" w:color="auto" w:sz="4" w:space="0"/>
              <w:right w:val="single" w:color="auto" w:sz="4" w:space="0"/>
            </w:tcBorders>
            <w:shd w:val="clear" w:color="auto" w:fill="auto"/>
            <w:noWrap/>
            <w:vAlign w:val="center"/>
          </w:tcPr>
          <w:p w14:paraId="1C5EC05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95,0</w:t>
            </w:r>
          </w:p>
        </w:tc>
        <w:tc>
          <w:tcPr>
            <w:tcW w:w="376" w:type="pct"/>
            <w:tcBorders>
              <w:top w:val="nil"/>
              <w:left w:val="nil"/>
              <w:bottom w:val="single" w:color="auto" w:sz="4" w:space="0"/>
              <w:right w:val="single" w:color="auto" w:sz="4" w:space="0"/>
            </w:tcBorders>
            <w:shd w:val="clear" w:color="auto" w:fill="auto"/>
            <w:noWrap/>
            <w:vAlign w:val="center"/>
          </w:tcPr>
          <w:p w14:paraId="7A062B7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95,8</w:t>
            </w:r>
          </w:p>
        </w:tc>
        <w:tc>
          <w:tcPr>
            <w:tcW w:w="405" w:type="pct"/>
            <w:tcBorders>
              <w:top w:val="nil"/>
              <w:left w:val="nil"/>
              <w:bottom w:val="single" w:color="auto" w:sz="4" w:space="0"/>
              <w:right w:val="single" w:color="auto" w:sz="4" w:space="0"/>
            </w:tcBorders>
            <w:shd w:val="clear" w:color="auto" w:fill="auto"/>
            <w:noWrap/>
            <w:vAlign w:val="center"/>
          </w:tcPr>
          <w:p w14:paraId="59BD535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66</w:t>
            </w:r>
          </w:p>
        </w:tc>
        <w:tc>
          <w:tcPr>
            <w:tcW w:w="405" w:type="pct"/>
            <w:tcBorders>
              <w:top w:val="nil"/>
              <w:left w:val="nil"/>
              <w:bottom w:val="single" w:color="auto" w:sz="4" w:space="0"/>
              <w:right w:val="single" w:color="auto" w:sz="4" w:space="0"/>
            </w:tcBorders>
            <w:shd w:val="clear" w:color="auto" w:fill="auto"/>
            <w:noWrap/>
            <w:vAlign w:val="center"/>
          </w:tcPr>
          <w:p w14:paraId="4F33CB0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c>
          <w:tcPr>
            <w:tcW w:w="405" w:type="pct"/>
            <w:tcBorders>
              <w:top w:val="nil"/>
              <w:left w:val="nil"/>
              <w:bottom w:val="single" w:color="auto" w:sz="4" w:space="0"/>
              <w:right w:val="single" w:color="auto" w:sz="4" w:space="0"/>
            </w:tcBorders>
            <w:shd w:val="clear" w:color="auto" w:fill="auto"/>
            <w:noWrap/>
            <w:vAlign w:val="center"/>
          </w:tcPr>
          <w:p w14:paraId="10FFFCB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91</w:t>
            </w:r>
          </w:p>
        </w:tc>
        <w:tc>
          <w:tcPr>
            <w:tcW w:w="405" w:type="pct"/>
            <w:tcBorders>
              <w:top w:val="nil"/>
              <w:left w:val="nil"/>
              <w:bottom w:val="single" w:color="auto" w:sz="4" w:space="0"/>
              <w:right w:val="single" w:color="auto" w:sz="4" w:space="0"/>
            </w:tcBorders>
            <w:shd w:val="clear" w:color="auto" w:fill="auto"/>
            <w:noWrap/>
            <w:vAlign w:val="center"/>
          </w:tcPr>
          <w:p w14:paraId="478EF56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w:t>
            </w:r>
          </w:p>
        </w:tc>
        <w:tc>
          <w:tcPr>
            <w:tcW w:w="405" w:type="pct"/>
            <w:tcBorders>
              <w:top w:val="nil"/>
              <w:left w:val="nil"/>
              <w:bottom w:val="single" w:color="auto" w:sz="4" w:space="0"/>
              <w:right w:val="single" w:color="auto" w:sz="4" w:space="0"/>
            </w:tcBorders>
            <w:shd w:val="clear" w:color="auto" w:fill="auto"/>
            <w:noWrap/>
            <w:vAlign w:val="center"/>
          </w:tcPr>
          <w:p w14:paraId="5268A8F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w:t>
            </w:r>
          </w:p>
        </w:tc>
      </w:tr>
      <w:tr w14:paraId="51B1E2ED">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0960061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376" w:type="pct"/>
            <w:tcBorders>
              <w:top w:val="nil"/>
              <w:left w:val="nil"/>
              <w:bottom w:val="single" w:color="auto" w:sz="4" w:space="0"/>
              <w:right w:val="single" w:color="auto" w:sz="4" w:space="0"/>
            </w:tcBorders>
            <w:shd w:val="clear" w:color="auto" w:fill="auto"/>
            <w:noWrap/>
            <w:vAlign w:val="center"/>
          </w:tcPr>
          <w:p w14:paraId="43D6BA5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93,5</w:t>
            </w:r>
          </w:p>
        </w:tc>
        <w:tc>
          <w:tcPr>
            <w:tcW w:w="376" w:type="pct"/>
            <w:tcBorders>
              <w:top w:val="nil"/>
              <w:left w:val="nil"/>
              <w:bottom w:val="single" w:color="auto" w:sz="4" w:space="0"/>
              <w:right w:val="single" w:color="auto" w:sz="4" w:space="0"/>
            </w:tcBorders>
            <w:shd w:val="clear" w:color="auto" w:fill="auto"/>
            <w:noWrap/>
            <w:vAlign w:val="center"/>
          </w:tcPr>
          <w:p w14:paraId="1FB7332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92,4</w:t>
            </w:r>
          </w:p>
        </w:tc>
        <w:tc>
          <w:tcPr>
            <w:tcW w:w="376" w:type="pct"/>
            <w:tcBorders>
              <w:top w:val="nil"/>
              <w:left w:val="nil"/>
              <w:bottom w:val="single" w:color="auto" w:sz="4" w:space="0"/>
              <w:right w:val="single" w:color="auto" w:sz="4" w:space="0"/>
            </w:tcBorders>
            <w:shd w:val="clear" w:color="auto" w:fill="auto"/>
            <w:noWrap/>
            <w:vAlign w:val="center"/>
          </w:tcPr>
          <w:p w14:paraId="52317A8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92,2</w:t>
            </w:r>
          </w:p>
        </w:tc>
        <w:tc>
          <w:tcPr>
            <w:tcW w:w="376" w:type="pct"/>
            <w:tcBorders>
              <w:top w:val="nil"/>
              <w:left w:val="nil"/>
              <w:bottom w:val="single" w:color="auto" w:sz="4" w:space="0"/>
              <w:right w:val="single" w:color="auto" w:sz="4" w:space="0"/>
            </w:tcBorders>
            <w:shd w:val="clear" w:color="auto" w:fill="auto"/>
            <w:noWrap/>
            <w:vAlign w:val="center"/>
          </w:tcPr>
          <w:p w14:paraId="4F36DC2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91,3</w:t>
            </w:r>
          </w:p>
        </w:tc>
        <w:tc>
          <w:tcPr>
            <w:tcW w:w="376" w:type="pct"/>
            <w:tcBorders>
              <w:top w:val="nil"/>
              <w:left w:val="nil"/>
              <w:bottom w:val="single" w:color="auto" w:sz="4" w:space="0"/>
              <w:right w:val="single" w:color="auto" w:sz="4" w:space="0"/>
            </w:tcBorders>
            <w:shd w:val="clear" w:color="auto" w:fill="auto"/>
            <w:noWrap/>
            <w:vAlign w:val="center"/>
          </w:tcPr>
          <w:p w14:paraId="06A8536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91,5</w:t>
            </w:r>
          </w:p>
        </w:tc>
        <w:tc>
          <w:tcPr>
            <w:tcW w:w="405" w:type="pct"/>
            <w:tcBorders>
              <w:top w:val="nil"/>
              <w:left w:val="nil"/>
              <w:bottom w:val="single" w:color="auto" w:sz="4" w:space="0"/>
              <w:right w:val="single" w:color="auto" w:sz="4" w:space="0"/>
            </w:tcBorders>
            <w:shd w:val="clear" w:color="auto" w:fill="auto"/>
            <w:noWrap/>
            <w:vAlign w:val="center"/>
          </w:tcPr>
          <w:p w14:paraId="0293853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67</w:t>
            </w:r>
          </w:p>
        </w:tc>
        <w:tc>
          <w:tcPr>
            <w:tcW w:w="405" w:type="pct"/>
            <w:tcBorders>
              <w:top w:val="nil"/>
              <w:left w:val="nil"/>
              <w:bottom w:val="single" w:color="auto" w:sz="4" w:space="0"/>
              <w:right w:val="single" w:color="auto" w:sz="4" w:space="0"/>
            </w:tcBorders>
            <w:shd w:val="clear" w:color="auto" w:fill="auto"/>
            <w:noWrap/>
            <w:vAlign w:val="center"/>
          </w:tcPr>
          <w:p w14:paraId="706A1B5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77</w:t>
            </w:r>
          </w:p>
        </w:tc>
        <w:tc>
          <w:tcPr>
            <w:tcW w:w="405" w:type="pct"/>
            <w:tcBorders>
              <w:top w:val="nil"/>
              <w:left w:val="nil"/>
              <w:bottom w:val="single" w:color="auto" w:sz="4" w:space="0"/>
              <w:right w:val="single" w:color="auto" w:sz="4" w:space="0"/>
            </w:tcBorders>
            <w:shd w:val="clear" w:color="auto" w:fill="auto"/>
            <w:noWrap/>
            <w:vAlign w:val="center"/>
          </w:tcPr>
          <w:p w14:paraId="31A7D7B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88</w:t>
            </w:r>
          </w:p>
        </w:tc>
        <w:tc>
          <w:tcPr>
            <w:tcW w:w="405" w:type="pct"/>
            <w:tcBorders>
              <w:top w:val="nil"/>
              <w:left w:val="nil"/>
              <w:bottom w:val="single" w:color="auto" w:sz="4" w:space="0"/>
              <w:right w:val="single" w:color="auto" w:sz="4" w:space="0"/>
            </w:tcBorders>
            <w:shd w:val="clear" w:color="auto" w:fill="auto"/>
            <w:noWrap/>
            <w:vAlign w:val="center"/>
          </w:tcPr>
          <w:p w14:paraId="0F0A47E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w:t>
            </w:r>
          </w:p>
        </w:tc>
        <w:tc>
          <w:tcPr>
            <w:tcW w:w="405" w:type="pct"/>
            <w:tcBorders>
              <w:top w:val="nil"/>
              <w:left w:val="nil"/>
              <w:bottom w:val="single" w:color="auto" w:sz="4" w:space="0"/>
              <w:right w:val="single" w:color="auto" w:sz="4" w:space="0"/>
            </w:tcBorders>
            <w:shd w:val="clear" w:color="auto" w:fill="auto"/>
            <w:noWrap/>
            <w:vAlign w:val="center"/>
          </w:tcPr>
          <w:p w14:paraId="1874BE3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w:t>
            </w:r>
          </w:p>
        </w:tc>
      </w:tr>
      <w:tr w14:paraId="57C514E4">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305B789D">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376" w:type="pct"/>
            <w:tcBorders>
              <w:top w:val="nil"/>
              <w:left w:val="nil"/>
              <w:bottom w:val="single" w:color="auto" w:sz="4" w:space="0"/>
              <w:right w:val="single" w:color="auto" w:sz="4" w:space="0"/>
            </w:tcBorders>
            <w:shd w:val="clear" w:color="auto" w:fill="auto"/>
            <w:noWrap/>
            <w:vAlign w:val="center"/>
          </w:tcPr>
          <w:p w14:paraId="402EE2B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95,7</w:t>
            </w:r>
          </w:p>
        </w:tc>
        <w:tc>
          <w:tcPr>
            <w:tcW w:w="376" w:type="pct"/>
            <w:tcBorders>
              <w:top w:val="nil"/>
              <w:left w:val="nil"/>
              <w:bottom w:val="single" w:color="auto" w:sz="4" w:space="0"/>
              <w:right w:val="single" w:color="auto" w:sz="4" w:space="0"/>
            </w:tcBorders>
            <w:shd w:val="clear" w:color="auto" w:fill="auto"/>
            <w:noWrap/>
            <w:vAlign w:val="center"/>
          </w:tcPr>
          <w:p w14:paraId="61BBA15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96,4</w:t>
            </w:r>
          </w:p>
        </w:tc>
        <w:tc>
          <w:tcPr>
            <w:tcW w:w="376" w:type="pct"/>
            <w:tcBorders>
              <w:top w:val="nil"/>
              <w:left w:val="nil"/>
              <w:bottom w:val="single" w:color="auto" w:sz="4" w:space="0"/>
              <w:right w:val="single" w:color="auto" w:sz="4" w:space="0"/>
            </w:tcBorders>
            <w:shd w:val="clear" w:color="auto" w:fill="auto"/>
            <w:noWrap/>
            <w:vAlign w:val="center"/>
          </w:tcPr>
          <w:p w14:paraId="7628E51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95,2</w:t>
            </w:r>
          </w:p>
        </w:tc>
        <w:tc>
          <w:tcPr>
            <w:tcW w:w="376" w:type="pct"/>
            <w:tcBorders>
              <w:top w:val="nil"/>
              <w:left w:val="nil"/>
              <w:bottom w:val="single" w:color="auto" w:sz="4" w:space="0"/>
              <w:right w:val="single" w:color="auto" w:sz="4" w:space="0"/>
            </w:tcBorders>
            <w:shd w:val="clear" w:color="auto" w:fill="auto"/>
            <w:noWrap/>
            <w:vAlign w:val="center"/>
          </w:tcPr>
          <w:p w14:paraId="19EA5BF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94,5</w:t>
            </w:r>
          </w:p>
        </w:tc>
        <w:tc>
          <w:tcPr>
            <w:tcW w:w="376" w:type="pct"/>
            <w:tcBorders>
              <w:top w:val="nil"/>
              <w:left w:val="nil"/>
              <w:bottom w:val="single" w:color="auto" w:sz="4" w:space="0"/>
              <w:right w:val="single" w:color="auto" w:sz="4" w:space="0"/>
            </w:tcBorders>
            <w:shd w:val="clear" w:color="auto" w:fill="auto"/>
            <w:noWrap/>
            <w:vAlign w:val="center"/>
          </w:tcPr>
          <w:p w14:paraId="4ED6985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95,4</w:t>
            </w:r>
          </w:p>
        </w:tc>
        <w:tc>
          <w:tcPr>
            <w:tcW w:w="405" w:type="pct"/>
            <w:tcBorders>
              <w:top w:val="nil"/>
              <w:left w:val="nil"/>
              <w:bottom w:val="single" w:color="auto" w:sz="4" w:space="0"/>
              <w:right w:val="single" w:color="auto" w:sz="4" w:space="0"/>
            </w:tcBorders>
            <w:shd w:val="clear" w:color="auto" w:fill="auto"/>
            <w:noWrap/>
            <w:vAlign w:val="center"/>
          </w:tcPr>
          <w:p w14:paraId="199F801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79</w:t>
            </w:r>
          </w:p>
        </w:tc>
        <w:tc>
          <w:tcPr>
            <w:tcW w:w="405" w:type="pct"/>
            <w:tcBorders>
              <w:top w:val="nil"/>
              <w:left w:val="nil"/>
              <w:bottom w:val="single" w:color="auto" w:sz="4" w:space="0"/>
              <w:right w:val="single" w:color="auto" w:sz="4" w:space="0"/>
            </w:tcBorders>
            <w:shd w:val="clear" w:color="auto" w:fill="auto"/>
            <w:noWrap/>
            <w:vAlign w:val="center"/>
          </w:tcPr>
          <w:p w14:paraId="1701286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91</w:t>
            </w:r>
          </w:p>
        </w:tc>
        <w:tc>
          <w:tcPr>
            <w:tcW w:w="405" w:type="pct"/>
            <w:tcBorders>
              <w:top w:val="nil"/>
              <w:left w:val="nil"/>
              <w:bottom w:val="single" w:color="auto" w:sz="4" w:space="0"/>
              <w:right w:val="single" w:color="auto" w:sz="4" w:space="0"/>
            </w:tcBorders>
            <w:shd w:val="clear" w:color="auto" w:fill="auto"/>
            <w:noWrap/>
            <w:vAlign w:val="center"/>
          </w:tcPr>
          <w:p w14:paraId="2277C68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104</w:t>
            </w:r>
          </w:p>
        </w:tc>
        <w:tc>
          <w:tcPr>
            <w:tcW w:w="405" w:type="pct"/>
            <w:tcBorders>
              <w:top w:val="nil"/>
              <w:left w:val="nil"/>
              <w:bottom w:val="single" w:color="auto" w:sz="4" w:space="0"/>
              <w:right w:val="single" w:color="auto" w:sz="4" w:space="0"/>
            </w:tcBorders>
            <w:shd w:val="clear" w:color="auto" w:fill="auto"/>
            <w:noWrap/>
            <w:vAlign w:val="center"/>
          </w:tcPr>
          <w:p w14:paraId="6808952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100</w:t>
            </w:r>
          </w:p>
        </w:tc>
        <w:tc>
          <w:tcPr>
            <w:tcW w:w="405" w:type="pct"/>
            <w:tcBorders>
              <w:top w:val="nil"/>
              <w:left w:val="nil"/>
              <w:bottom w:val="single" w:color="auto" w:sz="4" w:space="0"/>
              <w:right w:val="single" w:color="auto" w:sz="4" w:space="0"/>
            </w:tcBorders>
            <w:shd w:val="clear" w:color="auto" w:fill="auto"/>
            <w:noWrap/>
            <w:vAlign w:val="center"/>
          </w:tcPr>
          <w:p w14:paraId="2C4E6D5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99</w:t>
            </w:r>
          </w:p>
        </w:tc>
      </w:tr>
      <w:tr w14:paraId="5AB2928F">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3EBF65D1">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376" w:type="pct"/>
            <w:tcBorders>
              <w:top w:val="nil"/>
              <w:left w:val="nil"/>
              <w:bottom w:val="single" w:color="auto" w:sz="4" w:space="0"/>
              <w:right w:val="single" w:color="auto" w:sz="4" w:space="0"/>
            </w:tcBorders>
            <w:shd w:val="clear" w:color="auto" w:fill="auto"/>
            <w:noWrap/>
            <w:vAlign w:val="center"/>
          </w:tcPr>
          <w:p w14:paraId="4FB1C7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97,9</w:t>
            </w:r>
          </w:p>
        </w:tc>
        <w:tc>
          <w:tcPr>
            <w:tcW w:w="376" w:type="pct"/>
            <w:tcBorders>
              <w:top w:val="nil"/>
              <w:left w:val="nil"/>
              <w:bottom w:val="single" w:color="auto" w:sz="4" w:space="0"/>
              <w:right w:val="single" w:color="auto" w:sz="4" w:space="0"/>
            </w:tcBorders>
            <w:shd w:val="clear" w:color="auto" w:fill="auto"/>
            <w:noWrap/>
            <w:vAlign w:val="center"/>
          </w:tcPr>
          <w:p w14:paraId="723EC19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95,7</w:t>
            </w:r>
          </w:p>
        </w:tc>
        <w:tc>
          <w:tcPr>
            <w:tcW w:w="376" w:type="pct"/>
            <w:tcBorders>
              <w:top w:val="nil"/>
              <w:left w:val="nil"/>
              <w:bottom w:val="single" w:color="auto" w:sz="4" w:space="0"/>
              <w:right w:val="single" w:color="auto" w:sz="4" w:space="0"/>
            </w:tcBorders>
            <w:shd w:val="clear" w:color="auto" w:fill="auto"/>
            <w:noWrap/>
            <w:vAlign w:val="center"/>
          </w:tcPr>
          <w:p w14:paraId="6C961DD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95,8</w:t>
            </w:r>
          </w:p>
        </w:tc>
        <w:tc>
          <w:tcPr>
            <w:tcW w:w="376" w:type="pct"/>
            <w:tcBorders>
              <w:top w:val="nil"/>
              <w:left w:val="nil"/>
              <w:bottom w:val="single" w:color="auto" w:sz="4" w:space="0"/>
              <w:right w:val="single" w:color="auto" w:sz="4" w:space="0"/>
            </w:tcBorders>
            <w:shd w:val="clear" w:color="auto" w:fill="auto"/>
            <w:noWrap/>
            <w:vAlign w:val="center"/>
          </w:tcPr>
          <w:p w14:paraId="5602B1E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97,3</w:t>
            </w:r>
          </w:p>
        </w:tc>
        <w:tc>
          <w:tcPr>
            <w:tcW w:w="376" w:type="pct"/>
            <w:tcBorders>
              <w:top w:val="nil"/>
              <w:left w:val="nil"/>
              <w:bottom w:val="single" w:color="auto" w:sz="4" w:space="0"/>
              <w:right w:val="single" w:color="auto" w:sz="4" w:space="0"/>
            </w:tcBorders>
            <w:shd w:val="clear" w:color="auto" w:fill="auto"/>
            <w:noWrap/>
            <w:vAlign w:val="center"/>
          </w:tcPr>
          <w:p w14:paraId="407059D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93,5</w:t>
            </w:r>
          </w:p>
        </w:tc>
        <w:tc>
          <w:tcPr>
            <w:tcW w:w="405" w:type="pct"/>
            <w:tcBorders>
              <w:top w:val="nil"/>
              <w:left w:val="nil"/>
              <w:bottom w:val="single" w:color="auto" w:sz="4" w:space="0"/>
              <w:right w:val="single" w:color="auto" w:sz="4" w:space="0"/>
            </w:tcBorders>
            <w:shd w:val="clear" w:color="auto" w:fill="auto"/>
            <w:noWrap/>
            <w:vAlign w:val="center"/>
          </w:tcPr>
          <w:p w14:paraId="313456C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77</w:t>
            </w:r>
          </w:p>
        </w:tc>
        <w:tc>
          <w:tcPr>
            <w:tcW w:w="405" w:type="pct"/>
            <w:tcBorders>
              <w:top w:val="nil"/>
              <w:left w:val="nil"/>
              <w:bottom w:val="single" w:color="auto" w:sz="4" w:space="0"/>
              <w:right w:val="single" w:color="auto" w:sz="4" w:space="0"/>
            </w:tcBorders>
            <w:shd w:val="clear" w:color="auto" w:fill="auto"/>
            <w:noWrap/>
            <w:vAlign w:val="center"/>
          </w:tcPr>
          <w:p w14:paraId="3FF2659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89</w:t>
            </w:r>
          </w:p>
        </w:tc>
        <w:tc>
          <w:tcPr>
            <w:tcW w:w="405" w:type="pct"/>
            <w:tcBorders>
              <w:top w:val="nil"/>
              <w:left w:val="nil"/>
              <w:bottom w:val="single" w:color="auto" w:sz="4" w:space="0"/>
              <w:right w:val="single" w:color="auto" w:sz="4" w:space="0"/>
            </w:tcBorders>
            <w:shd w:val="clear" w:color="auto" w:fill="auto"/>
            <w:noWrap/>
            <w:vAlign w:val="center"/>
          </w:tcPr>
          <w:p w14:paraId="513116E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101</w:t>
            </w:r>
          </w:p>
        </w:tc>
        <w:tc>
          <w:tcPr>
            <w:tcW w:w="405" w:type="pct"/>
            <w:tcBorders>
              <w:top w:val="nil"/>
              <w:left w:val="nil"/>
              <w:bottom w:val="single" w:color="auto" w:sz="4" w:space="0"/>
              <w:right w:val="single" w:color="auto" w:sz="4" w:space="0"/>
            </w:tcBorders>
            <w:shd w:val="clear" w:color="auto" w:fill="auto"/>
            <w:noWrap/>
            <w:vAlign w:val="center"/>
          </w:tcPr>
          <w:p w14:paraId="6348276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103</w:t>
            </w:r>
          </w:p>
        </w:tc>
        <w:tc>
          <w:tcPr>
            <w:tcW w:w="405" w:type="pct"/>
            <w:tcBorders>
              <w:top w:val="nil"/>
              <w:left w:val="nil"/>
              <w:bottom w:val="single" w:color="auto" w:sz="4" w:space="0"/>
              <w:right w:val="single" w:color="auto" w:sz="4" w:space="0"/>
            </w:tcBorders>
            <w:shd w:val="clear" w:color="auto" w:fill="auto"/>
            <w:noWrap/>
            <w:vAlign w:val="center"/>
          </w:tcPr>
          <w:p w14:paraId="621BAC6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99</w:t>
            </w:r>
          </w:p>
        </w:tc>
      </w:tr>
      <w:tr w14:paraId="0ACDA5A7">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0FAD644C">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376" w:type="pct"/>
            <w:tcBorders>
              <w:top w:val="nil"/>
              <w:left w:val="nil"/>
              <w:bottom w:val="single" w:color="auto" w:sz="4" w:space="0"/>
              <w:right w:val="single" w:color="auto" w:sz="4" w:space="0"/>
            </w:tcBorders>
            <w:shd w:val="clear" w:color="auto" w:fill="auto"/>
            <w:noWrap/>
            <w:vAlign w:val="center"/>
          </w:tcPr>
          <w:p w14:paraId="09ED841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96,6</w:t>
            </w:r>
          </w:p>
        </w:tc>
        <w:tc>
          <w:tcPr>
            <w:tcW w:w="376" w:type="pct"/>
            <w:tcBorders>
              <w:top w:val="nil"/>
              <w:left w:val="nil"/>
              <w:bottom w:val="single" w:color="auto" w:sz="4" w:space="0"/>
              <w:right w:val="single" w:color="auto" w:sz="4" w:space="0"/>
            </w:tcBorders>
            <w:shd w:val="clear" w:color="auto" w:fill="auto"/>
            <w:noWrap/>
            <w:vAlign w:val="center"/>
          </w:tcPr>
          <w:p w14:paraId="77F21177">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96,7</w:t>
            </w:r>
          </w:p>
        </w:tc>
        <w:tc>
          <w:tcPr>
            <w:tcW w:w="376" w:type="pct"/>
            <w:tcBorders>
              <w:top w:val="nil"/>
              <w:left w:val="nil"/>
              <w:bottom w:val="single" w:color="auto" w:sz="4" w:space="0"/>
              <w:right w:val="single" w:color="auto" w:sz="4" w:space="0"/>
            </w:tcBorders>
            <w:shd w:val="clear" w:color="auto" w:fill="auto"/>
            <w:noWrap/>
            <w:vAlign w:val="center"/>
          </w:tcPr>
          <w:p w14:paraId="1C9506A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95,9</w:t>
            </w:r>
          </w:p>
        </w:tc>
        <w:tc>
          <w:tcPr>
            <w:tcW w:w="376" w:type="pct"/>
            <w:tcBorders>
              <w:top w:val="nil"/>
              <w:left w:val="nil"/>
              <w:bottom w:val="single" w:color="auto" w:sz="4" w:space="0"/>
              <w:right w:val="single" w:color="auto" w:sz="4" w:space="0"/>
            </w:tcBorders>
            <w:shd w:val="clear" w:color="auto" w:fill="auto"/>
            <w:noWrap/>
            <w:vAlign w:val="center"/>
          </w:tcPr>
          <w:p w14:paraId="1C2C26D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94,9</w:t>
            </w:r>
          </w:p>
        </w:tc>
        <w:tc>
          <w:tcPr>
            <w:tcW w:w="376" w:type="pct"/>
            <w:tcBorders>
              <w:top w:val="nil"/>
              <w:left w:val="nil"/>
              <w:bottom w:val="single" w:color="auto" w:sz="4" w:space="0"/>
              <w:right w:val="single" w:color="auto" w:sz="4" w:space="0"/>
            </w:tcBorders>
            <w:shd w:val="clear" w:color="auto" w:fill="auto"/>
            <w:noWrap/>
            <w:vAlign w:val="center"/>
          </w:tcPr>
          <w:p w14:paraId="64DA72C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95,4</w:t>
            </w:r>
          </w:p>
        </w:tc>
        <w:tc>
          <w:tcPr>
            <w:tcW w:w="405" w:type="pct"/>
            <w:tcBorders>
              <w:top w:val="nil"/>
              <w:left w:val="nil"/>
              <w:bottom w:val="single" w:color="auto" w:sz="4" w:space="0"/>
              <w:right w:val="single" w:color="auto" w:sz="4" w:space="0"/>
            </w:tcBorders>
            <w:shd w:val="clear" w:color="auto" w:fill="auto"/>
            <w:noWrap/>
            <w:vAlign w:val="center"/>
          </w:tcPr>
          <w:p w14:paraId="2B71F50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72</w:t>
            </w:r>
          </w:p>
        </w:tc>
        <w:tc>
          <w:tcPr>
            <w:tcW w:w="405" w:type="pct"/>
            <w:tcBorders>
              <w:top w:val="nil"/>
              <w:left w:val="nil"/>
              <w:bottom w:val="single" w:color="auto" w:sz="4" w:space="0"/>
              <w:right w:val="single" w:color="auto" w:sz="4" w:space="0"/>
            </w:tcBorders>
            <w:shd w:val="clear" w:color="auto" w:fill="auto"/>
            <w:noWrap/>
            <w:vAlign w:val="center"/>
          </w:tcPr>
          <w:p w14:paraId="4DD1612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83</w:t>
            </w:r>
          </w:p>
        </w:tc>
        <w:tc>
          <w:tcPr>
            <w:tcW w:w="405" w:type="pct"/>
            <w:tcBorders>
              <w:top w:val="nil"/>
              <w:left w:val="nil"/>
              <w:bottom w:val="single" w:color="auto" w:sz="4" w:space="0"/>
              <w:right w:val="single" w:color="auto" w:sz="4" w:space="0"/>
            </w:tcBorders>
            <w:shd w:val="clear" w:color="auto" w:fill="auto"/>
            <w:noWrap/>
            <w:vAlign w:val="center"/>
          </w:tcPr>
          <w:p w14:paraId="748A33E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95</w:t>
            </w:r>
          </w:p>
        </w:tc>
        <w:tc>
          <w:tcPr>
            <w:tcW w:w="405" w:type="pct"/>
            <w:tcBorders>
              <w:top w:val="nil"/>
              <w:left w:val="nil"/>
              <w:bottom w:val="single" w:color="auto" w:sz="4" w:space="0"/>
              <w:right w:val="single" w:color="auto" w:sz="4" w:space="0"/>
            </w:tcBorders>
            <w:shd w:val="clear" w:color="auto" w:fill="auto"/>
            <w:noWrap/>
            <w:vAlign w:val="center"/>
          </w:tcPr>
          <w:p w14:paraId="74F5C0A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94</w:t>
            </w:r>
          </w:p>
        </w:tc>
        <w:tc>
          <w:tcPr>
            <w:tcW w:w="405" w:type="pct"/>
            <w:tcBorders>
              <w:top w:val="nil"/>
              <w:left w:val="nil"/>
              <w:bottom w:val="single" w:color="auto" w:sz="4" w:space="0"/>
              <w:right w:val="single" w:color="auto" w:sz="4" w:space="0"/>
            </w:tcBorders>
            <w:shd w:val="clear" w:color="auto" w:fill="auto"/>
            <w:noWrap/>
            <w:vAlign w:val="center"/>
          </w:tcPr>
          <w:p w14:paraId="12EC358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95</w:t>
            </w:r>
          </w:p>
        </w:tc>
      </w:tr>
      <w:tr w14:paraId="2F0B91A5">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0E58C0F4">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376" w:type="pct"/>
            <w:tcBorders>
              <w:top w:val="nil"/>
              <w:left w:val="nil"/>
              <w:bottom w:val="single" w:color="auto" w:sz="4" w:space="0"/>
              <w:right w:val="single" w:color="auto" w:sz="4" w:space="0"/>
            </w:tcBorders>
            <w:shd w:val="clear" w:color="auto" w:fill="auto"/>
            <w:noWrap/>
            <w:vAlign w:val="center"/>
          </w:tcPr>
          <w:p w14:paraId="7DEEF67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96,1</w:t>
            </w:r>
          </w:p>
        </w:tc>
        <w:tc>
          <w:tcPr>
            <w:tcW w:w="376" w:type="pct"/>
            <w:tcBorders>
              <w:top w:val="nil"/>
              <w:left w:val="nil"/>
              <w:bottom w:val="single" w:color="auto" w:sz="4" w:space="0"/>
              <w:right w:val="single" w:color="auto" w:sz="4" w:space="0"/>
            </w:tcBorders>
            <w:shd w:val="clear" w:color="auto" w:fill="auto"/>
            <w:noWrap/>
            <w:vAlign w:val="center"/>
          </w:tcPr>
          <w:p w14:paraId="53729C1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95,1</w:t>
            </w:r>
          </w:p>
        </w:tc>
        <w:tc>
          <w:tcPr>
            <w:tcW w:w="376" w:type="pct"/>
            <w:tcBorders>
              <w:top w:val="nil"/>
              <w:left w:val="nil"/>
              <w:bottom w:val="single" w:color="auto" w:sz="4" w:space="0"/>
              <w:right w:val="single" w:color="auto" w:sz="4" w:space="0"/>
            </w:tcBorders>
            <w:shd w:val="clear" w:color="auto" w:fill="auto"/>
            <w:noWrap/>
            <w:vAlign w:val="center"/>
          </w:tcPr>
          <w:p w14:paraId="6EDBA65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95,6</w:t>
            </w:r>
          </w:p>
        </w:tc>
        <w:tc>
          <w:tcPr>
            <w:tcW w:w="376" w:type="pct"/>
            <w:tcBorders>
              <w:top w:val="nil"/>
              <w:left w:val="nil"/>
              <w:bottom w:val="single" w:color="auto" w:sz="4" w:space="0"/>
              <w:right w:val="single" w:color="auto" w:sz="4" w:space="0"/>
            </w:tcBorders>
            <w:shd w:val="clear" w:color="auto" w:fill="auto"/>
            <w:noWrap/>
            <w:vAlign w:val="center"/>
          </w:tcPr>
          <w:p w14:paraId="7B88BB4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95,4</w:t>
            </w:r>
          </w:p>
        </w:tc>
        <w:tc>
          <w:tcPr>
            <w:tcW w:w="376" w:type="pct"/>
            <w:tcBorders>
              <w:top w:val="nil"/>
              <w:left w:val="nil"/>
              <w:bottom w:val="single" w:color="auto" w:sz="4" w:space="0"/>
              <w:right w:val="single" w:color="auto" w:sz="4" w:space="0"/>
            </w:tcBorders>
            <w:shd w:val="clear" w:color="auto" w:fill="auto"/>
            <w:noWrap/>
            <w:vAlign w:val="center"/>
          </w:tcPr>
          <w:p w14:paraId="4785A02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96,6</w:t>
            </w:r>
          </w:p>
        </w:tc>
        <w:tc>
          <w:tcPr>
            <w:tcW w:w="405" w:type="pct"/>
            <w:tcBorders>
              <w:top w:val="nil"/>
              <w:left w:val="nil"/>
              <w:bottom w:val="single" w:color="auto" w:sz="4" w:space="0"/>
              <w:right w:val="single" w:color="auto" w:sz="4" w:space="0"/>
            </w:tcBorders>
            <w:shd w:val="clear" w:color="auto" w:fill="auto"/>
            <w:noWrap/>
            <w:vAlign w:val="center"/>
          </w:tcPr>
          <w:p w14:paraId="6C5EFB9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w:t>
            </w:r>
          </w:p>
        </w:tc>
        <w:tc>
          <w:tcPr>
            <w:tcW w:w="405" w:type="pct"/>
            <w:tcBorders>
              <w:top w:val="nil"/>
              <w:left w:val="nil"/>
              <w:bottom w:val="single" w:color="auto" w:sz="4" w:space="0"/>
              <w:right w:val="single" w:color="auto" w:sz="4" w:space="0"/>
            </w:tcBorders>
            <w:shd w:val="clear" w:color="auto" w:fill="auto"/>
            <w:noWrap/>
            <w:vAlign w:val="center"/>
          </w:tcPr>
          <w:p w14:paraId="12E7E6B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71</w:t>
            </w:r>
          </w:p>
        </w:tc>
        <w:tc>
          <w:tcPr>
            <w:tcW w:w="405" w:type="pct"/>
            <w:tcBorders>
              <w:top w:val="nil"/>
              <w:left w:val="nil"/>
              <w:bottom w:val="single" w:color="auto" w:sz="4" w:space="0"/>
              <w:right w:val="single" w:color="auto" w:sz="4" w:space="0"/>
            </w:tcBorders>
            <w:shd w:val="clear" w:color="auto" w:fill="auto"/>
            <w:noWrap/>
            <w:vAlign w:val="center"/>
          </w:tcPr>
          <w:p w14:paraId="658AE04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405" w:type="pct"/>
            <w:tcBorders>
              <w:top w:val="nil"/>
              <w:left w:val="nil"/>
              <w:bottom w:val="single" w:color="auto" w:sz="4" w:space="0"/>
              <w:right w:val="single" w:color="auto" w:sz="4" w:space="0"/>
            </w:tcBorders>
            <w:shd w:val="clear" w:color="auto" w:fill="auto"/>
            <w:noWrap/>
            <w:vAlign w:val="center"/>
          </w:tcPr>
          <w:p w14:paraId="1BCC0AC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82</w:t>
            </w:r>
          </w:p>
        </w:tc>
        <w:tc>
          <w:tcPr>
            <w:tcW w:w="405" w:type="pct"/>
            <w:tcBorders>
              <w:top w:val="nil"/>
              <w:left w:val="nil"/>
              <w:bottom w:val="single" w:color="auto" w:sz="4" w:space="0"/>
              <w:right w:val="single" w:color="auto" w:sz="4" w:space="0"/>
            </w:tcBorders>
            <w:shd w:val="clear" w:color="auto" w:fill="auto"/>
            <w:noWrap/>
            <w:vAlign w:val="center"/>
          </w:tcPr>
          <w:p w14:paraId="7DC5F9C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83</w:t>
            </w:r>
          </w:p>
        </w:tc>
      </w:tr>
      <w:tr w14:paraId="7D5B631D">
        <w:tblPrEx>
          <w:tblCellMar>
            <w:top w:w="0" w:type="dxa"/>
            <w:left w:w="70" w:type="dxa"/>
            <w:bottom w:w="0" w:type="dxa"/>
            <w:right w:w="70" w:type="dxa"/>
          </w:tblCellMar>
        </w:tblPrEx>
        <w:trPr>
          <w:trHeight w:val="340" w:hRule="atLeast"/>
        </w:trPr>
        <w:tc>
          <w:tcPr>
            <w:tcW w:w="1098" w:type="pct"/>
            <w:tcBorders>
              <w:top w:val="nil"/>
              <w:left w:val="single" w:color="auto" w:sz="4" w:space="0"/>
              <w:bottom w:val="single" w:color="auto" w:sz="4" w:space="0"/>
              <w:right w:val="single" w:color="auto" w:sz="4" w:space="0"/>
            </w:tcBorders>
            <w:shd w:val="clear" w:color="auto" w:fill="auto"/>
            <w:noWrap/>
            <w:vAlign w:val="center"/>
          </w:tcPr>
          <w:p w14:paraId="69DF3EAE">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p>
        </w:tc>
        <w:tc>
          <w:tcPr>
            <w:tcW w:w="376" w:type="pct"/>
            <w:tcBorders>
              <w:top w:val="nil"/>
              <w:left w:val="nil"/>
              <w:bottom w:val="single" w:color="auto" w:sz="4" w:space="0"/>
              <w:right w:val="single" w:color="auto" w:sz="4" w:space="0"/>
            </w:tcBorders>
            <w:shd w:val="clear" w:color="auto" w:fill="auto"/>
            <w:noWrap/>
            <w:vAlign w:val="center"/>
          </w:tcPr>
          <w:p w14:paraId="34748DF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96,6</w:t>
            </w:r>
          </w:p>
        </w:tc>
        <w:tc>
          <w:tcPr>
            <w:tcW w:w="376" w:type="pct"/>
            <w:tcBorders>
              <w:top w:val="nil"/>
              <w:left w:val="nil"/>
              <w:bottom w:val="single" w:color="auto" w:sz="4" w:space="0"/>
              <w:right w:val="single" w:color="auto" w:sz="4" w:space="0"/>
            </w:tcBorders>
            <w:shd w:val="clear" w:color="auto" w:fill="auto"/>
            <w:noWrap/>
            <w:vAlign w:val="center"/>
          </w:tcPr>
          <w:p w14:paraId="76767CF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95,2</w:t>
            </w:r>
          </w:p>
        </w:tc>
        <w:tc>
          <w:tcPr>
            <w:tcW w:w="376" w:type="pct"/>
            <w:tcBorders>
              <w:top w:val="nil"/>
              <w:left w:val="nil"/>
              <w:bottom w:val="single" w:color="auto" w:sz="4" w:space="0"/>
              <w:right w:val="single" w:color="auto" w:sz="4" w:space="0"/>
            </w:tcBorders>
            <w:shd w:val="clear" w:color="auto" w:fill="auto"/>
            <w:noWrap/>
            <w:vAlign w:val="center"/>
          </w:tcPr>
          <w:p w14:paraId="3AA4F9D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95,5</w:t>
            </w:r>
          </w:p>
        </w:tc>
        <w:tc>
          <w:tcPr>
            <w:tcW w:w="376" w:type="pct"/>
            <w:tcBorders>
              <w:top w:val="nil"/>
              <w:left w:val="nil"/>
              <w:bottom w:val="single" w:color="auto" w:sz="4" w:space="0"/>
              <w:right w:val="single" w:color="auto" w:sz="4" w:space="0"/>
            </w:tcBorders>
            <w:shd w:val="clear" w:color="auto" w:fill="auto"/>
            <w:noWrap/>
            <w:vAlign w:val="center"/>
          </w:tcPr>
          <w:p w14:paraId="66111BA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95,1</w:t>
            </w:r>
          </w:p>
        </w:tc>
        <w:tc>
          <w:tcPr>
            <w:tcW w:w="376" w:type="pct"/>
            <w:tcBorders>
              <w:top w:val="nil"/>
              <w:left w:val="nil"/>
              <w:bottom w:val="single" w:color="auto" w:sz="4" w:space="0"/>
              <w:right w:val="single" w:color="auto" w:sz="4" w:space="0"/>
            </w:tcBorders>
            <w:shd w:val="clear" w:color="auto" w:fill="auto"/>
            <w:noWrap/>
            <w:vAlign w:val="center"/>
          </w:tcPr>
          <w:p w14:paraId="395E7CC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96,0</w:t>
            </w:r>
          </w:p>
        </w:tc>
        <w:tc>
          <w:tcPr>
            <w:tcW w:w="405" w:type="pct"/>
            <w:tcBorders>
              <w:top w:val="nil"/>
              <w:left w:val="nil"/>
              <w:bottom w:val="single" w:color="auto" w:sz="4" w:space="0"/>
              <w:right w:val="single" w:color="auto" w:sz="4" w:space="0"/>
            </w:tcBorders>
            <w:shd w:val="clear" w:color="auto" w:fill="auto"/>
            <w:noWrap/>
            <w:vAlign w:val="center"/>
          </w:tcPr>
          <w:p w14:paraId="78E5D77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w:t>
            </w:r>
          </w:p>
        </w:tc>
        <w:tc>
          <w:tcPr>
            <w:tcW w:w="405" w:type="pct"/>
            <w:tcBorders>
              <w:top w:val="nil"/>
              <w:left w:val="nil"/>
              <w:bottom w:val="single" w:color="auto" w:sz="4" w:space="0"/>
              <w:right w:val="single" w:color="auto" w:sz="4" w:space="0"/>
            </w:tcBorders>
            <w:shd w:val="clear" w:color="auto" w:fill="auto"/>
            <w:noWrap/>
            <w:vAlign w:val="center"/>
          </w:tcPr>
          <w:p w14:paraId="24874BF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69</w:t>
            </w:r>
          </w:p>
        </w:tc>
        <w:tc>
          <w:tcPr>
            <w:tcW w:w="405" w:type="pct"/>
            <w:tcBorders>
              <w:top w:val="nil"/>
              <w:left w:val="nil"/>
              <w:bottom w:val="single" w:color="auto" w:sz="4" w:space="0"/>
              <w:right w:val="single" w:color="auto" w:sz="4" w:space="0"/>
            </w:tcBorders>
            <w:shd w:val="clear" w:color="auto" w:fill="auto"/>
            <w:noWrap/>
            <w:vAlign w:val="center"/>
          </w:tcPr>
          <w:p w14:paraId="757A1FD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79</w:t>
            </w:r>
          </w:p>
        </w:tc>
        <w:tc>
          <w:tcPr>
            <w:tcW w:w="405" w:type="pct"/>
            <w:tcBorders>
              <w:top w:val="nil"/>
              <w:left w:val="nil"/>
              <w:bottom w:val="single" w:color="auto" w:sz="4" w:space="0"/>
              <w:right w:val="single" w:color="auto" w:sz="4" w:space="0"/>
            </w:tcBorders>
            <w:shd w:val="clear" w:color="auto" w:fill="auto"/>
            <w:noWrap/>
            <w:vAlign w:val="center"/>
          </w:tcPr>
          <w:p w14:paraId="6925590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80</w:t>
            </w:r>
          </w:p>
        </w:tc>
        <w:tc>
          <w:tcPr>
            <w:tcW w:w="405" w:type="pct"/>
            <w:tcBorders>
              <w:top w:val="nil"/>
              <w:left w:val="nil"/>
              <w:bottom w:val="single" w:color="auto" w:sz="4" w:space="0"/>
              <w:right w:val="single" w:color="auto" w:sz="4" w:space="0"/>
            </w:tcBorders>
            <w:shd w:val="clear" w:color="auto" w:fill="auto"/>
            <w:noWrap/>
            <w:vAlign w:val="center"/>
          </w:tcPr>
          <w:p w14:paraId="58D4F8D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81</w:t>
            </w:r>
          </w:p>
        </w:tc>
      </w:tr>
    </w:tbl>
    <w:p w14:paraId="2CD3CE9D">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Źródło: opracowanie własne na podstawie danych GUS</w:t>
      </w:r>
    </w:p>
    <w:p w14:paraId="6CF8CE45">
      <w:pPr>
        <w:spacing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eastAsia="Calibri" w:cs="Times New Roman"/>
          <w:color w:val="000000"/>
          <w:szCs w:val="20"/>
        </w:rPr>
        <w:t xml:space="preserve">Jakość szkolnictwa w poszczególnych gminach obrazują średnie wyniki z egzaminów w klasie 8 szkoły podstawowej, które są zakończeniem tego etapu nauczania. Według najbardziej aktualnych danych, najlepsze wyniki z egzaminu w roku 2022 osiągnęli uczniowie z Gminy Pcim w zakresie języka polskiego (65,0%), zaś uczniowie z Gminy Myślenice w zakresie matematyki (68,5%) oraz języka angielskiego (72,4%). </w:t>
      </w:r>
      <w:r>
        <w:rPr>
          <w:rFonts w:ascii="Times New Roman" w:hAnsi="Times New Roman" w:cs="Times New Roman"/>
          <w:color w:val="000000" w:themeColor="text1"/>
          <w14:textFill>
            <w14:solidFill>
              <w14:schemeClr w14:val="tx1"/>
            </w14:solidFill>
          </w14:textFill>
        </w:rPr>
        <w:t xml:space="preserve">W tabeli 17 </w:t>
      </w:r>
      <w:r>
        <w:rPr>
          <w:rFonts w:ascii="Times New Roman" w:hAnsi="Times New Roman" w:cs="Times New Roman"/>
          <w:color w:val="000000"/>
          <w:szCs w:val="20"/>
        </w:rPr>
        <w:t>przedstawiono średnie wyniki z egzaminów ósmoklasisty w poszczególnych gminach LGD w porównaniu do średniej wojewódzkiej i krajowej w latach 2019–2022 w ramach trzech podstawowych przedmiotów, tj. język polski, język angielski, matematyka (kolorem zielonym wpisano dwa najlepsze wyniki w danym roku z danego przedmiotu wśród gmin obszaru LGD</w:t>
      </w:r>
      <w:r>
        <w:rPr>
          <w:rFonts w:ascii="Times New Roman" w:hAnsi="Times New Roman" w:cs="Times New Roman"/>
          <w:color w:val="000000" w:themeColor="text1"/>
          <w14:textFill>
            <w14:solidFill>
              <w14:schemeClr w14:val="tx1"/>
            </w14:solidFill>
          </w14:textFill>
        </w:rPr>
        <w:t>).</w:t>
      </w:r>
    </w:p>
    <w:p w14:paraId="20390A5C">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16" w:name="_Toc112152417"/>
      <w:bookmarkStart w:id="117" w:name="_Toc136241405"/>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17</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Wyniki egzaminu ósmoklasisty w poszczególnych gminach LGD oraz porównanie średniej obszaru LGD do województwa i kraju w latach 2019–2022</w:t>
      </w:r>
      <w:bookmarkEnd w:id="116"/>
      <w:bookmarkEnd w:id="117"/>
    </w:p>
    <w:tbl>
      <w:tblPr>
        <w:tblStyle w:val="6"/>
        <w:tblW w:w="5000" w:type="pct"/>
        <w:tblInd w:w="0" w:type="dxa"/>
        <w:tblLayout w:type="autofit"/>
        <w:tblCellMar>
          <w:top w:w="0" w:type="dxa"/>
          <w:left w:w="70" w:type="dxa"/>
          <w:bottom w:w="0" w:type="dxa"/>
          <w:right w:w="70" w:type="dxa"/>
        </w:tblCellMar>
      </w:tblPr>
      <w:tblGrid>
        <w:gridCol w:w="2974"/>
        <w:gridCol w:w="589"/>
        <w:gridCol w:w="590"/>
        <w:gridCol w:w="590"/>
        <w:gridCol w:w="594"/>
        <w:gridCol w:w="590"/>
        <w:gridCol w:w="685"/>
        <w:gridCol w:w="720"/>
        <w:gridCol w:w="598"/>
        <w:gridCol w:w="604"/>
        <w:gridCol w:w="604"/>
        <w:gridCol w:w="604"/>
        <w:gridCol w:w="602"/>
      </w:tblGrid>
      <w:tr w14:paraId="2E2E6E6C">
        <w:tblPrEx>
          <w:tblCellMar>
            <w:top w:w="0" w:type="dxa"/>
            <w:left w:w="70" w:type="dxa"/>
            <w:bottom w:w="0" w:type="dxa"/>
            <w:right w:w="70" w:type="dxa"/>
          </w:tblCellMar>
        </w:tblPrEx>
        <w:trPr>
          <w:trHeight w:val="340" w:hRule="atLeast"/>
        </w:trPr>
        <w:tc>
          <w:tcPr>
            <w:tcW w:w="143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7ADD6D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Jednostka terytorialna</w:t>
            </w:r>
          </w:p>
        </w:tc>
        <w:tc>
          <w:tcPr>
            <w:tcW w:w="1142" w:type="pct"/>
            <w:gridSpan w:val="4"/>
            <w:tcBorders>
              <w:top w:val="single" w:color="auto" w:sz="4" w:space="0"/>
              <w:left w:val="nil"/>
              <w:bottom w:val="single" w:color="auto" w:sz="4" w:space="0"/>
              <w:right w:val="single" w:color="auto" w:sz="4" w:space="0"/>
            </w:tcBorders>
            <w:shd w:val="clear" w:color="auto" w:fill="auto"/>
            <w:vAlign w:val="center"/>
          </w:tcPr>
          <w:p w14:paraId="531760C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Język polski</w:t>
            </w:r>
          </w:p>
        </w:tc>
        <w:tc>
          <w:tcPr>
            <w:tcW w:w="1253" w:type="pct"/>
            <w:gridSpan w:val="4"/>
            <w:tcBorders>
              <w:top w:val="single" w:color="auto" w:sz="4" w:space="0"/>
              <w:left w:val="nil"/>
              <w:bottom w:val="single" w:color="auto" w:sz="4" w:space="0"/>
              <w:right w:val="single" w:color="auto" w:sz="4" w:space="0"/>
            </w:tcBorders>
            <w:shd w:val="clear" w:color="auto" w:fill="auto"/>
            <w:vAlign w:val="center"/>
          </w:tcPr>
          <w:p w14:paraId="42E78881">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Matematyka</w:t>
            </w:r>
          </w:p>
        </w:tc>
        <w:tc>
          <w:tcPr>
            <w:tcW w:w="1167" w:type="pct"/>
            <w:gridSpan w:val="4"/>
            <w:tcBorders>
              <w:top w:val="single" w:color="auto" w:sz="4" w:space="0"/>
              <w:left w:val="nil"/>
              <w:bottom w:val="single" w:color="auto" w:sz="4" w:space="0"/>
              <w:right w:val="single" w:color="auto" w:sz="4" w:space="0"/>
            </w:tcBorders>
            <w:shd w:val="clear" w:color="auto" w:fill="auto"/>
            <w:vAlign w:val="center"/>
          </w:tcPr>
          <w:p w14:paraId="476CA623">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Język angielski</w:t>
            </w:r>
          </w:p>
        </w:tc>
      </w:tr>
      <w:tr w14:paraId="5C2D6124">
        <w:tblPrEx>
          <w:tblCellMar>
            <w:top w:w="0" w:type="dxa"/>
            <w:left w:w="70" w:type="dxa"/>
            <w:bottom w:w="0" w:type="dxa"/>
            <w:right w:w="70" w:type="dxa"/>
          </w:tblCellMar>
        </w:tblPrEx>
        <w:trPr>
          <w:trHeight w:val="340" w:hRule="atLeast"/>
        </w:trPr>
        <w:tc>
          <w:tcPr>
            <w:tcW w:w="14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4EF9AE">
            <w:pPr>
              <w:spacing w:after="0" w:line="240" w:lineRule="auto"/>
              <w:rPr>
                <w:rFonts w:ascii="Times New Roman" w:hAnsi="Times New Roman" w:eastAsia="Times New Roman" w:cs="Times New Roman"/>
                <w:b/>
                <w:bCs/>
                <w:color w:val="000000"/>
                <w:sz w:val="20"/>
                <w:szCs w:val="20"/>
                <w:lang w:eastAsia="pl-PL"/>
              </w:rPr>
            </w:pPr>
          </w:p>
        </w:tc>
        <w:tc>
          <w:tcPr>
            <w:tcW w:w="285" w:type="pct"/>
            <w:tcBorders>
              <w:top w:val="nil"/>
              <w:left w:val="nil"/>
              <w:bottom w:val="single" w:color="auto" w:sz="4" w:space="0"/>
              <w:right w:val="single" w:color="auto" w:sz="4" w:space="0"/>
            </w:tcBorders>
            <w:shd w:val="clear" w:color="auto" w:fill="auto"/>
            <w:vAlign w:val="center"/>
          </w:tcPr>
          <w:p w14:paraId="5ECD56E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85" w:type="pct"/>
            <w:tcBorders>
              <w:top w:val="nil"/>
              <w:left w:val="nil"/>
              <w:bottom w:val="single" w:color="auto" w:sz="4" w:space="0"/>
              <w:right w:val="single" w:color="auto" w:sz="4" w:space="0"/>
            </w:tcBorders>
            <w:shd w:val="clear" w:color="auto" w:fill="auto"/>
            <w:vAlign w:val="center"/>
          </w:tcPr>
          <w:p w14:paraId="068B11A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85" w:type="pct"/>
            <w:tcBorders>
              <w:top w:val="nil"/>
              <w:left w:val="nil"/>
              <w:bottom w:val="single" w:color="auto" w:sz="4" w:space="0"/>
              <w:right w:val="single" w:color="auto" w:sz="4" w:space="0"/>
            </w:tcBorders>
            <w:shd w:val="clear" w:color="auto" w:fill="auto"/>
            <w:vAlign w:val="center"/>
          </w:tcPr>
          <w:p w14:paraId="2031806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287" w:type="pct"/>
            <w:tcBorders>
              <w:top w:val="nil"/>
              <w:left w:val="nil"/>
              <w:bottom w:val="single" w:color="auto" w:sz="4" w:space="0"/>
              <w:right w:val="single" w:color="auto" w:sz="4" w:space="0"/>
            </w:tcBorders>
            <w:shd w:val="clear" w:color="auto" w:fill="auto"/>
            <w:vAlign w:val="center"/>
          </w:tcPr>
          <w:p w14:paraId="26169FA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2022</w:t>
            </w:r>
          </w:p>
        </w:tc>
        <w:tc>
          <w:tcPr>
            <w:tcW w:w="285" w:type="pct"/>
            <w:tcBorders>
              <w:top w:val="nil"/>
              <w:left w:val="nil"/>
              <w:bottom w:val="single" w:color="auto" w:sz="4" w:space="0"/>
              <w:right w:val="single" w:color="auto" w:sz="4" w:space="0"/>
            </w:tcBorders>
            <w:shd w:val="clear" w:color="auto" w:fill="auto"/>
            <w:vAlign w:val="center"/>
          </w:tcPr>
          <w:p w14:paraId="4CF73C5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331" w:type="pct"/>
            <w:tcBorders>
              <w:top w:val="nil"/>
              <w:left w:val="nil"/>
              <w:bottom w:val="single" w:color="auto" w:sz="4" w:space="0"/>
              <w:right w:val="single" w:color="auto" w:sz="4" w:space="0"/>
            </w:tcBorders>
            <w:shd w:val="clear" w:color="auto" w:fill="auto"/>
            <w:vAlign w:val="center"/>
          </w:tcPr>
          <w:p w14:paraId="43D255F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348" w:type="pct"/>
            <w:tcBorders>
              <w:top w:val="nil"/>
              <w:left w:val="nil"/>
              <w:bottom w:val="single" w:color="auto" w:sz="4" w:space="0"/>
              <w:right w:val="single" w:color="auto" w:sz="4" w:space="0"/>
            </w:tcBorders>
            <w:shd w:val="clear" w:color="auto" w:fill="auto"/>
            <w:vAlign w:val="center"/>
          </w:tcPr>
          <w:p w14:paraId="7739547F">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289" w:type="pct"/>
            <w:tcBorders>
              <w:top w:val="nil"/>
              <w:left w:val="nil"/>
              <w:bottom w:val="single" w:color="auto" w:sz="4" w:space="0"/>
              <w:right w:val="single" w:color="auto" w:sz="4" w:space="0"/>
            </w:tcBorders>
            <w:shd w:val="clear" w:color="auto" w:fill="auto"/>
            <w:vAlign w:val="center"/>
          </w:tcPr>
          <w:p w14:paraId="6D6B95ED">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2022</w:t>
            </w:r>
          </w:p>
        </w:tc>
        <w:tc>
          <w:tcPr>
            <w:tcW w:w="292" w:type="pct"/>
            <w:tcBorders>
              <w:top w:val="nil"/>
              <w:left w:val="nil"/>
              <w:bottom w:val="single" w:color="auto" w:sz="4" w:space="0"/>
              <w:right w:val="single" w:color="auto" w:sz="4" w:space="0"/>
            </w:tcBorders>
            <w:shd w:val="clear" w:color="auto" w:fill="auto"/>
            <w:vAlign w:val="center"/>
          </w:tcPr>
          <w:p w14:paraId="5363A6C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2019</w:t>
            </w:r>
          </w:p>
        </w:tc>
        <w:tc>
          <w:tcPr>
            <w:tcW w:w="292" w:type="pct"/>
            <w:tcBorders>
              <w:top w:val="nil"/>
              <w:left w:val="nil"/>
              <w:bottom w:val="single" w:color="auto" w:sz="4" w:space="0"/>
              <w:right w:val="single" w:color="auto" w:sz="4" w:space="0"/>
            </w:tcBorders>
            <w:shd w:val="clear" w:color="auto" w:fill="auto"/>
            <w:vAlign w:val="center"/>
          </w:tcPr>
          <w:p w14:paraId="3102CA22">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2020</w:t>
            </w:r>
          </w:p>
        </w:tc>
        <w:tc>
          <w:tcPr>
            <w:tcW w:w="292" w:type="pct"/>
            <w:tcBorders>
              <w:top w:val="nil"/>
              <w:left w:val="nil"/>
              <w:bottom w:val="single" w:color="auto" w:sz="4" w:space="0"/>
              <w:right w:val="single" w:color="auto" w:sz="4" w:space="0"/>
            </w:tcBorders>
            <w:shd w:val="clear" w:color="auto" w:fill="auto"/>
            <w:vAlign w:val="center"/>
          </w:tcPr>
          <w:p w14:paraId="5311550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2021</w:t>
            </w:r>
          </w:p>
        </w:tc>
        <w:tc>
          <w:tcPr>
            <w:tcW w:w="292" w:type="pct"/>
            <w:tcBorders>
              <w:top w:val="nil"/>
              <w:left w:val="nil"/>
              <w:bottom w:val="single" w:color="auto" w:sz="4" w:space="0"/>
              <w:right w:val="single" w:color="auto" w:sz="4" w:space="0"/>
            </w:tcBorders>
            <w:shd w:val="clear" w:color="auto" w:fill="auto"/>
            <w:vAlign w:val="center"/>
          </w:tcPr>
          <w:p w14:paraId="5AF74C0C">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2022</w:t>
            </w:r>
          </w:p>
        </w:tc>
      </w:tr>
      <w:tr w14:paraId="61AC30C3">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53F49AC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Lubień</w:t>
            </w:r>
          </w:p>
        </w:tc>
        <w:tc>
          <w:tcPr>
            <w:tcW w:w="285" w:type="pct"/>
            <w:tcBorders>
              <w:top w:val="nil"/>
              <w:left w:val="nil"/>
              <w:bottom w:val="single" w:color="auto" w:sz="4" w:space="0"/>
              <w:right w:val="single" w:color="auto" w:sz="4" w:space="0"/>
            </w:tcBorders>
            <w:shd w:val="clear" w:color="auto" w:fill="auto"/>
            <w:noWrap/>
            <w:vAlign w:val="center"/>
          </w:tcPr>
          <w:p w14:paraId="69E302C2">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62,7</w:t>
            </w:r>
          </w:p>
        </w:tc>
        <w:tc>
          <w:tcPr>
            <w:tcW w:w="285" w:type="pct"/>
            <w:tcBorders>
              <w:top w:val="nil"/>
              <w:left w:val="nil"/>
              <w:bottom w:val="single" w:color="auto" w:sz="4" w:space="0"/>
              <w:right w:val="single" w:color="auto" w:sz="4" w:space="0"/>
            </w:tcBorders>
            <w:shd w:val="clear" w:color="auto" w:fill="auto"/>
            <w:vAlign w:val="center"/>
          </w:tcPr>
          <w:p w14:paraId="44EDC257">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62,9</w:t>
            </w:r>
          </w:p>
        </w:tc>
        <w:tc>
          <w:tcPr>
            <w:tcW w:w="285" w:type="pct"/>
            <w:tcBorders>
              <w:top w:val="nil"/>
              <w:left w:val="nil"/>
              <w:bottom w:val="single" w:color="auto" w:sz="4" w:space="0"/>
              <w:right w:val="single" w:color="auto" w:sz="4" w:space="0"/>
            </w:tcBorders>
            <w:shd w:val="clear" w:color="auto" w:fill="auto"/>
            <w:vAlign w:val="center"/>
          </w:tcPr>
          <w:p w14:paraId="704552B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61,3</w:t>
            </w:r>
          </w:p>
        </w:tc>
        <w:tc>
          <w:tcPr>
            <w:tcW w:w="287" w:type="pct"/>
            <w:tcBorders>
              <w:top w:val="nil"/>
              <w:left w:val="nil"/>
              <w:bottom w:val="single" w:color="auto" w:sz="4" w:space="0"/>
              <w:right w:val="single" w:color="auto" w:sz="4" w:space="0"/>
            </w:tcBorders>
            <w:shd w:val="clear" w:color="auto" w:fill="auto"/>
            <w:vAlign w:val="center"/>
          </w:tcPr>
          <w:p w14:paraId="2E83A29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60,0</w:t>
            </w:r>
          </w:p>
        </w:tc>
        <w:tc>
          <w:tcPr>
            <w:tcW w:w="285" w:type="pct"/>
            <w:tcBorders>
              <w:top w:val="nil"/>
              <w:left w:val="nil"/>
              <w:bottom w:val="single" w:color="auto" w:sz="4" w:space="0"/>
              <w:right w:val="single" w:color="auto" w:sz="4" w:space="0"/>
            </w:tcBorders>
            <w:shd w:val="clear" w:color="auto" w:fill="auto"/>
            <w:vAlign w:val="center"/>
          </w:tcPr>
          <w:p w14:paraId="0B00EF1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44,5</w:t>
            </w:r>
          </w:p>
        </w:tc>
        <w:tc>
          <w:tcPr>
            <w:tcW w:w="331" w:type="pct"/>
            <w:tcBorders>
              <w:top w:val="nil"/>
              <w:left w:val="nil"/>
              <w:bottom w:val="single" w:color="auto" w:sz="4" w:space="0"/>
              <w:right w:val="single" w:color="auto" w:sz="4" w:space="0"/>
            </w:tcBorders>
            <w:shd w:val="clear" w:color="auto" w:fill="auto"/>
            <w:vAlign w:val="center"/>
          </w:tcPr>
          <w:p w14:paraId="3DE131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49,2</w:t>
            </w:r>
          </w:p>
        </w:tc>
        <w:tc>
          <w:tcPr>
            <w:tcW w:w="348" w:type="pct"/>
            <w:tcBorders>
              <w:top w:val="nil"/>
              <w:left w:val="nil"/>
              <w:bottom w:val="single" w:color="auto" w:sz="4" w:space="0"/>
              <w:right w:val="single" w:color="auto" w:sz="4" w:space="0"/>
            </w:tcBorders>
            <w:shd w:val="clear" w:color="auto" w:fill="auto"/>
            <w:vAlign w:val="center"/>
          </w:tcPr>
          <w:p w14:paraId="033C92E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48,4</w:t>
            </w:r>
          </w:p>
        </w:tc>
        <w:tc>
          <w:tcPr>
            <w:tcW w:w="289" w:type="pct"/>
            <w:tcBorders>
              <w:top w:val="nil"/>
              <w:left w:val="nil"/>
              <w:bottom w:val="single" w:color="auto" w:sz="4" w:space="0"/>
              <w:right w:val="single" w:color="auto" w:sz="4" w:space="0"/>
            </w:tcBorders>
            <w:shd w:val="clear" w:color="auto" w:fill="auto"/>
            <w:vAlign w:val="center"/>
          </w:tcPr>
          <w:p w14:paraId="45DC202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62,0</w:t>
            </w:r>
          </w:p>
        </w:tc>
        <w:tc>
          <w:tcPr>
            <w:tcW w:w="292" w:type="pct"/>
            <w:tcBorders>
              <w:top w:val="nil"/>
              <w:left w:val="nil"/>
              <w:bottom w:val="single" w:color="auto" w:sz="4" w:space="0"/>
              <w:right w:val="single" w:color="auto" w:sz="4" w:space="0"/>
            </w:tcBorders>
            <w:shd w:val="clear" w:color="auto" w:fill="auto"/>
            <w:vAlign w:val="center"/>
          </w:tcPr>
          <w:p w14:paraId="28C949AA">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62,2</w:t>
            </w:r>
          </w:p>
        </w:tc>
        <w:tc>
          <w:tcPr>
            <w:tcW w:w="292" w:type="pct"/>
            <w:tcBorders>
              <w:top w:val="nil"/>
              <w:left w:val="nil"/>
              <w:bottom w:val="single" w:color="auto" w:sz="4" w:space="0"/>
              <w:right w:val="single" w:color="auto" w:sz="4" w:space="0"/>
            </w:tcBorders>
            <w:shd w:val="clear" w:color="auto" w:fill="auto"/>
            <w:vAlign w:val="center"/>
          </w:tcPr>
          <w:p w14:paraId="4D1BC7A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53,8</w:t>
            </w:r>
          </w:p>
        </w:tc>
        <w:tc>
          <w:tcPr>
            <w:tcW w:w="292" w:type="pct"/>
            <w:tcBorders>
              <w:top w:val="nil"/>
              <w:left w:val="nil"/>
              <w:bottom w:val="single" w:color="auto" w:sz="4" w:space="0"/>
              <w:right w:val="single" w:color="auto" w:sz="4" w:space="0"/>
            </w:tcBorders>
            <w:shd w:val="clear" w:color="auto" w:fill="auto"/>
            <w:vAlign w:val="center"/>
          </w:tcPr>
          <w:p w14:paraId="3DC7947B">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69,5</w:t>
            </w:r>
          </w:p>
        </w:tc>
        <w:tc>
          <w:tcPr>
            <w:tcW w:w="292" w:type="pct"/>
            <w:tcBorders>
              <w:top w:val="nil"/>
              <w:left w:val="nil"/>
              <w:bottom w:val="single" w:color="auto" w:sz="4" w:space="0"/>
              <w:right w:val="single" w:color="auto" w:sz="4" w:space="0"/>
            </w:tcBorders>
            <w:shd w:val="clear" w:color="auto" w:fill="auto"/>
            <w:noWrap/>
            <w:vAlign w:val="center"/>
          </w:tcPr>
          <w:p w14:paraId="2C9816B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64,0</w:t>
            </w:r>
          </w:p>
        </w:tc>
      </w:tr>
      <w:tr w14:paraId="11EABD25">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25D79138">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Myślenice</w:t>
            </w:r>
          </w:p>
        </w:tc>
        <w:tc>
          <w:tcPr>
            <w:tcW w:w="285" w:type="pct"/>
            <w:tcBorders>
              <w:top w:val="nil"/>
              <w:left w:val="nil"/>
              <w:bottom w:val="single" w:color="auto" w:sz="4" w:space="0"/>
              <w:right w:val="single" w:color="auto" w:sz="4" w:space="0"/>
            </w:tcBorders>
            <w:shd w:val="clear" w:color="auto" w:fill="auto"/>
            <w:noWrap/>
            <w:vAlign w:val="center"/>
          </w:tcPr>
          <w:p w14:paraId="59EAC5CB">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70,7</w:t>
            </w:r>
          </w:p>
        </w:tc>
        <w:tc>
          <w:tcPr>
            <w:tcW w:w="285" w:type="pct"/>
            <w:tcBorders>
              <w:top w:val="nil"/>
              <w:left w:val="nil"/>
              <w:bottom w:val="single" w:color="auto" w:sz="4" w:space="0"/>
              <w:right w:val="single" w:color="auto" w:sz="4" w:space="0"/>
            </w:tcBorders>
            <w:shd w:val="clear" w:color="auto" w:fill="auto"/>
            <w:noWrap/>
            <w:vAlign w:val="center"/>
          </w:tcPr>
          <w:p w14:paraId="1EB2DC48">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64,9</w:t>
            </w:r>
          </w:p>
        </w:tc>
        <w:tc>
          <w:tcPr>
            <w:tcW w:w="285" w:type="pct"/>
            <w:tcBorders>
              <w:top w:val="nil"/>
              <w:left w:val="nil"/>
              <w:bottom w:val="single" w:color="auto" w:sz="4" w:space="0"/>
              <w:right w:val="single" w:color="auto" w:sz="4" w:space="0"/>
            </w:tcBorders>
            <w:shd w:val="clear" w:color="auto" w:fill="auto"/>
            <w:noWrap/>
            <w:vAlign w:val="center"/>
          </w:tcPr>
          <w:p w14:paraId="4EB9805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63,1</w:t>
            </w:r>
          </w:p>
        </w:tc>
        <w:tc>
          <w:tcPr>
            <w:tcW w:w="287" w:type="pct"/>
            <w:tcBorders>
              <w:top w:val="nil"/>
              <w:left w:val="nil"/>
              <w:bottom w:val="single" w:color="auto" w:sz="4" w:space="0"/>
              <w:right w:val="single" w:color="auto" w:sz="4" w:space="0"/>
            </w:tcBorders>
            <w:shd w:val="clear" w:color="auto" w:fill="auto"/>
            <w:noWrap/>
            <w:vAlign w:val="center"/>
          </w:tcPr>
          <w:p w14:paraId="3D7D3657">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64,6</w:t>
            </w:r>
          </w:p>
        </w:tc>
        <w:tc>
          <w:tcPr>
            <w:tcW w:w="285" w:type="pct"/>
            <w:tcBorders>
              <w:top w:val="nil"/>
              <w:left w:val="nil"/>
              <w:bottom w:val="single" w:color="auto" w:sz="4" w:space="0"/>
              <w:right w:val="single" w:color="auto" w:sz="4" w:space="0"/>
            </w:tcBorders>
            <w:shd w:val="clear" w:color="auto" w:fill="auto"/>
            <w:noWrap/>
            <w:vAlign w:val="center"/>
          </w:tcPr>
          <w:p w14:paraId="079A6BF2">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55,5</w:t>
            </w:r>
          </w:p>
        </w:tc>
        <w:tc>
          <w:tcPr>
            <w:tcW w:w="331" w:type="pct"/>
            <w:tcBorders>
              <w:top w:val="nil"/>
              <w:left w:val="nil"/>
              <w:bottom w:val="single" w:color="auto" w:sz="4" w:space="0"/>
              <w:right w:val="single" w:color="auto" w:sz="4" w:space="0"/>
            </w:tcBorders>
            <w:shd w:val="clear" w:color="auto" w:fill="auto"/>
            <w:noWrap/>
            <w:vAlign w:val="center"/>
          </w:tcPr>
          <w:p w14:paraId="4A2BC934">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53,8</w:t>
            </w:r>
          </w:p>
        </w:tc>
        <w:tc>
          <w:tcPr>
            <w:tcW w:w="348" w:type="pct"/>
            <w:tcBorders>
              <w:top w:val="nil"/>
              <w:left w:val="nil"/>
              <w:bottom w:val="single" w:color="auto" w:sz="4" w:space="0"/>
              <w:right w:val="single" w:color="auto" w:sz="4" w:space="0"/>
            </w:tcBorders>
            <w:shd w:val="clear" w:color="auto" w:fill="auto"/>
            <w:noWrap/>
            <w:vAlign w:val="center"/>
          </w:tcPr>
          <w:p w14:paraId="0CD2A2C4">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54,6</w:t>
            </w:r>
          </w:p>
        </w:tc>
        <w:tc>
          <w:tcPr>
            <w:tcW w:w="289" w:type="pct"/>
            <w:tcBorders>
              <w:top w:val="nil"/>
              <w:left w:val="nil"/>
              <w:bottom w:val="single" w:color="auto" w:sz="4" w:space="0"/>
              <w:right w:val="single" w:color="auto" w:sz="4" w:space="0"/>
            </w:tcBorders>
            <w:shd w:val="clear" w:color="auto" w:fill="auto"/>
            <w:noWrap/>
            <w:vAlign w:val="center"/>
          </w:tcPr>
          <w:p w14:paraId="07BAE8A3">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68,5</w:t>
            </w:r>
          </w:p>
        </w:tc>
        <w:tc>
          <w:tcPr>
            <w:tcW w:w="292" w:type="pct"/>
            <w:tcBorders>
              <w:top w:val="nil"/>
              <w:left w:val="nil"/>
              <w:bottom w:val="single" w:color="auto" w:sz="4" w:space="0"/>
              <w:right w:val="single" w:color="auto" w:sz="4" w:space="0"/>
            </w:tcBorders>
            <w:shd w:val="clear" w:color="auto" w:fill="auto"/>
            <w:noWrap/>
            <w:vAlign w:val="center"/>
          </w:tcPr>
          <w:p w14:paraId="287B67DE">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66,3</w:t>
            </w:r>
          </w:p>
        </w:tc>
        <w:tc>
          <w:tcPr>
            <w:tcW w:w="292" w:type="pct"/>
            <w:tcBorders>
              <w:top w:val="nil"/>
              <w:left w:val="nil"/>
              <w:bottom w:val="single" w:color="auto" w:sz="4" w:space="0"/>
              <w:right w:val="single" w:color="auto" w:sz="4" w:space="0"/>
            </w:tcBorders>
            <w:shd w:val="clear" w:color="auto" w:fill="auto"/>
            <w:noWrap/>
            <w:vAlign w:val="center"/>
          </w:tcPr>
          <w:p w14:paraId="214C8166">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59,4</w:t>
            </w:r>
          </w:p>
        </w:tc>
        <w:tc>
          <w:tcPr>
            <w:tcW w:w="292" w:type="pct"/>
            <w:tcBorders>
              <w:top w:val="nil"/>
              <w:left w:val="nil"/>
              <w:bottom w:val="single" w:color="auto" w:sz="4" w:space="0"/>
              <w:right w:val="single" w:color="auto" w:sz="4" w:space="0"/>
            </w:tcBorders>
            <w:shd w:val="clear" w:color="auto" w:fill="auto"/>
            <w:noWrap/>
            <w:vAlign w:val="center"/>
          </w:tcPr>
          <w:p w14:paraId="0F0CE00D">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68,9</w:t>
            </w:r>
          </w:p>
        </w:tc>
        <w:tc>
          <w:tcPr>
            <w:tcW w:w="292" w:type="pct"/>
            <w:tcBorders>
              <w:top w:val="nil"/>
              <w:left w:val="nil"/>
              <w:bottom w:val="single" w:color="auto" w:sz="4" w:space="0"/>
              <w:right w:val="single" w:color="auto" w:sz="4" w:space="0"/>
            </w:tcBorders>
            <w:shd w:val="clear" w:color="auto" w:fill="auto"/>
            <w:noWrap/>
            <w:vAlign w:val="center"/>
          </w:tcPr>
          <w:p w14:paraId="7BFC1CD3">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72,4</w:t>
            </w:r>
          </w:p>
        </w:tc>
      </w:tr>
      <w:tr w14:paraId="511B18B9">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7566FCE5">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Pcim</w:t>
            </w:r>
          </w:p>
        </w:tc>
        <w:tc>
          <w:tcPr>
            <w:tcW w:w="285" w:type="pct"/>
            <w:tcBorders>
              <w:top w:val="nil"/>
              <w:left w:val="nil"/>
              <w:bottom w:val="single" w:color="auto" w:sz="4" w:space="0"/>
              <w:right w:val="single" w:color="auto" w:sz="4" w:space="0"/>
            </w:tcBorders>
            <w:shd w:val="clear" w:color="auto" w:fill="auto"/>
            <w:noWrap/>
            <w:vAlign w:val="center"/>
          </w:tcPr>
          <w:p w14:paraId="0B00CFD6">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61,4</w:t>
            </w:r>
          </w:p>
        </w:tc>
        <w:tc>
          <w:tcPr>
            <w:tcW w:w="285" w:type="pct"/>
            <w:tcBorders>
              <w:top w:val="nil"/>
              <w:left w:val="nil"/>
              <w:bottom w:val="single" w:color="auto" w:sz="4" w:space="0"/>
              <w:right w:val="single" w:color="auto" w:sz="4" w:space="0"/>
            </w:tcBorders>
            <w:shd w:val="clear" w:color="auto" w:fill="auto"/>
            <w:noWrap/>
            <w:vAlign w:val="center"/>
          </w:tcPr>
          <w:p w14:paraId="3931F4EC">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60,9</w:t>
            </w:r>
          </w:p>
        </w:tc>
        <w:tc>
          <w:tcPr>
            <w:tcW w:w="285" w:type="pct"/>
            <w:tcBorders>
              <w:top w:val="nil"/>
              <w:left w:val="nil"/>
              <w:bottom w:val="single" w:color="auto" w:sz="4" w:space="0"/>
              <w:right w:val="single" w:color="auto" w:sz="4" w:space="0"/>
            </w:tcBorders>
            <w:shd w:val="clear" w:color="auto" w:fill="auto"/>
            <w:noWrap/>
            <w:vAlign w:val="center"/>
          </w:tcPr>
          <w:p w14:paraId="4C8DD3B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62,9</w:t>
            </w:r>
          </w:p>
        </w:tc>
        <w:tc>
          <w:tcPr>
            <w:tcW w:w="287" w:type="pct"/>
            <w:tcBorders>
              <w:top w:val="nil"/>
              <w:left w:val="nil"/>
              <w:bottom w:val="single" w:color="auto" w:sz="4" w:space="0"/>
              <w:right w:val="single" w:color="auto" w:sz="4" w:space="0"/>
            </w:tcBorders>
            <w:shd w:val="clear" w:color="auto" w:fill="auto"/>
            <w:noWrap/>
            <w:vAlign w:val="center"/>
          </w:tcPr>
          <w:p w14:paraId="77FF95A6">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65,0</w:t>
            </w:r>
          </w:p>
        </w:tc>
        <w:tc>
          <w:tcPr>
            <w:tcW w:w="285" w:type="pct"/>
            <w:tcBorders>
              <w:top w:val="nil"/>
              <w:left w:val="nil"/>
              <w:bottom w:val="single" w:color="auto" w:sz="4" w:space="0"/>
              <w:right w:val="single" w:color="auto" w:sz="4" w:space="0"/>
            </w:tcBorders>
            <w:shd w:val="clear" w:color="auto" w:fill="auto"/>
            <w:noWrap/>
            <w:vAlign w:val="center"/>
          </w:tcPr>
          <w:p w14:paraId="231D0BC6">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47,1</w:t>
            </w:r>
          </w:p>
        </w:tc>
        <w:tc>
          <w:tcPr>
            <w:tcW w:w="331" w:type="pct"/>
            <w:tcBorders>
              <w:top w:val="nil"/>
              <w:left w:val="nil"/>
              <w:bottom w:val="single" w:color="auto" w:sz="4" w:space="0"/>
              <w:right w:val="single" w:color="auto" w:sz="4" w:space="0"/>
            </w:tcBorders>
            <w:shd w:val="clear" w:color="auto" w:fill="auto"/>
            <w:noWrap/>
            <w:vAlign w:val="center"/>
          </w:tcPr>
          <w:p w14:paraId="2C59782F">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50,4</w:t>
            </w:r>
          </w:p>
        </w:tc>
        <w:tc>
          <w:tcPr>
            <w:tcW w:w="348" w:type="pct"/>
            <w:tcBorders>
              <w:top w:val="nil"/>
              <w:left w:val="nil"/>
              <w:bottom w:val="single" w:color="auto" w:sz="4" w:space="0"/>
              <w:right w:val="single" w:color="auto" w:sz="4" w:space="0"/>
            </w:tcBorders>
            <w:shd w:val="clear" w:color="auto" w:fill="auto"/>
            <w:noWrap/>
            <w:vAlign w:val="center"/>
          </w:tcPr>
          <w:p w14:paraId="7F6460F6">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53,1</w:t>
            </w:r>
          </w:p>
        </w:tc>
        <w:tc>
          <w:tcPr>
            <w:tcW w:w="289" w:type="pct"/>
            <w:tcBorders>
              <w:top w:val="nil"/>
              <w:left w:val="nil"/>
              <w:bottom w:val="single" w:color="auto" w:sz="4" w:space="0"/>
              <w:right w:val="single" w:color="auto" w:sz="4" w:space="0"/>
            </w:tcBorders>
            <w:shd w:val="clear" w:color="auto" w:fill="auto"/>
            <w:noWrap/>
            <w:vAlign w:val="center"/>
          </w:tcPr>
          <w:p w14:paraId="48E8BEEB">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61,0</w:t>
            </w:r>
          </w:p>
        </w:tc>
        <w:tc>
          <w:tcPr>
            <w:tcW w:w="292" w:type="pct"/>
            <w:tcBorders>
              <w:top w:val="nil"/>
              <w:left w:val="nil"/>
              <w:bottom w:val="single" w:color="auto" w:sz="4" w:space="0"/>
              <w:right w:val="single" w:color="auto" w:sz="4" w:space="0"/>
            </w:tcBorders>
            <w:shd w:val="clear" w:color="auto" w:fill="auto"/>
            <w:noWrap/>
            <w:vAlign w:val="center"/>
          </w:tcPr>
          <w:p w14:paraId="23F11976">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57,8</w:t>
            </w:r>
          </w:p>
        </w:tc>
        <w:tc>
          <w:tcPr>
            <w:tcW w:w="292" w:type="pct"/>
            <w:tcBorders>
              <w:top w:val="nil"/>
              <w:left w:val="nil"/>
              <w:bottom w:val="single" w:color="auto" w:sz="4" w:space="0"/>
              <w:right w:val="single" w:color="auto" w:sz="4" w:space="0"/>
            </w:tcBorders>
            <w:shd w:val="clear" w:color="auto" w:fill="auto"/>
            <w:noWrap/>
            <w:vAlign w:val="center"/>
          </w:tcPr>
          <w:p w14:paraId="736A8068">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52,7</w:t>
            </w:r>
          </w:p>
        </w:tc>
        <w:tc>
          <w:tcPr>
            <w:tcW w:w="292" w:type="pct"/>
            <w:tcBorders>
              <w:top w:val="nil"/>
              <w:left w:val="nil"/>
              <w:bottom w:val="single" w:color="auto" w:sz="4" w:space="0"/>
              <w:right w:val="single" w:color="auto" w:sz="4" w:space="0"/>
            </w:tcBorders>
            <w:shd w:val="clear" w:color="auto" w:fill="auto"/>
            <w:noWrap/>
            <w:vAlign w:val="center"/>
          </w:tcPr>
          <w:p w14:paraId="57CD0CFE">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72,3</w:t>
            </w:r>
          </w:p>
        </w:tc>
        <w:tc>
          <w:tcPr>
            <w:tcW w:w="292" w:type="pct"/>
            <w:tcBorders>
              <w:top w:val="nil"/>
              <w:left w:val="nil"/>
              <w:bottom w:val="single" w:color="auto" w:sz="4" w:space="0"/>
              <w:right w:val="single" w:color="auto" w:sz="4" w:space="0"/>
            </w:tcBorders>
            <w:shd w:val="clear" w:color="auto" w:fill="auto"/>
            <w:noWrap/>
            <w:vAlign w:val="center"/>
          </w:tcPr>
          <w:p w14:paraId="707845CF">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66,5</w:t>
            </w:r>
          </w:p>
        </w:tc>
      </w:tr>
      <w:tr w14:paraId="578E718F">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17905B3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Raciechowice</w:t>
            </w:r>
          </w:p>
        </w:tc>
        <w:tc>
          <w:tcPr>
            <w:tcW w:w="285" w:type="pct"/>
            <w:tcBorders>
              <w:top w:val="nil"/>
              <w:left w:val="nil"/>
              <w:bottom w:val="single" w:color="auto" w:sz="4" w:space="0"/>
              <w:right w:val="single" w:color="auto" w:sz="4" w:space="0"/>
            </w:tcBorders>
            <w:shd w:val="clear" w:color="auto" w:fill="auto"/>
            <w:noWrap/>
            <w:vAlign w:val="center"/>
          </w:tcPr>
          <w:p w14:paraId="1808C119">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67,4</w:t>
            </w:r>
          </w:p>
        </w:tc>
        <w:tc>
          <w:tcPr>
            <w:tcW w:w="285" w:type="pct"/>
            <w:tcBorders>
              <w:top w:val="nil"/>
              <w:left w:val="nil"/>
              <w:bottom w:val="single" w:color="auto" w:sz="4" w:space="0"/>
              <w:right w:val="single" w:color="auto" w:sz="4" w:space="0"/>
            </w:tcBorders>
            <w:shd w:val="clear" w:color="auto" w:fill="auto"/>
            <w:noWrap/>
            <w:vAlign w:val="center"/>
          </w:tcPr>
          <w:p w14:paraId="22E4ADA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60,4</w:t>
            </w:r>
          </w:p>
        </w:tc>
        <w:tc>
          <w:tcPr>
            <w:tcW w:w="285" w:type="pct"/>
            <w:tcBorders>
              <w:top w:val="nil"/>
              <w:left w:val="nil"/>
              <w:bottom w:val="single" w:color="auto" w:sz="4" w:space="0"/>
              <w:right w:val="single" w:color="auto" w:sz="4" w:space="0"/>
            </w:tcBorders>
            <w:shd w:val="clear" w:color="auto" w:fill="auto"/>
            <w:noWrap/>
            <w:vAlign w:val="center"/>
          </w:tcPr>
          <w:p w14:paraId="39E7BEA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58,0</w:t>
            </w:r>
          </w:p>
        </w:tc>
        <w:tc>
          <w:tcPr>
            <w:tcW w:w="287" w:type="pct"/>
            <w:tcBorders>
              <w:top w:val="nil"/>
              <w:left w:val="nil"/>
              <w:bottom w:val="single" w:color="auto" w:sz="4" w:space="0"/>
              <w:right w:val="single" w:color="auto" w:sz="4" w:space="0"/>
            </w:tcBorders>
            <w:shd w:val="clear" w:color="auto" w:fill="auto"/>
            <w:noWrap/>
            <w:vAlign w:val="center"/>
          </w:tcPr>
          <w:p w14:paraId="0A891F34">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63,8</w:t>
            </w:r>
          </w:p>
        </w:tc>
        <w:tc>
          <w:tcPr>
            <w:tcW w:w="285" w:type="pct"/>
            <w:tcBorders>
              <w:top w:val="nil"/>
              <w:left w:val="nil"/>
              <w:bottom w:val="single" w:color="auto" w:sz="4" w:space="0"/>
              <w:right w:val="single" w:color="auto" w:sz="4" w:space="0"/>
            </w:tcBorders>
            <w:shd w:val="clear" w:color="auto" w:fill="auto"/>
            <w:noWrap/>
            <w:vAlign w:val="center"/>
          </w:tcPr>
          <w:p w14:paraId="497EB2E8">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43,5</w:t>
            </w:r>
          </w:p>
        </w:tc>
        <w:tc>
          <w:tcPr>
            <w:tcW w:w="331" w:type="pct"/>
            <w:tcBorders>
              <w:top w:val="nil"/>
              <w:left w:val="nil"/>
              <w:bottom w:val="single" w:color="auto" w:sz="4" w:space="0"/>
              <w:right w:val="single" w:color="auto" w:sz="4" w:space="0"/>
            </w:tcBorders>
            <w:shd w:val="clear" w:color="auto" w:fill="auto"/>
            <w:noWrap/>
            <w:vAlign w:val="center"/>
          </w:tcPr>
          <w:p w14:paraId="1CA23DC8">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42,6</w:t>
            </w:r>
          </w:p>
        </w:tc>
        <w:tc>
          <w:tcPr>
            <w:tcW w:w="348" w:type="pct"/>
            <w:tcBorders>
              <w:top w:val="nil"/>
              <w:left w:val="nil"/>
              <w:bottom w:val="single" w:color="auto" w:sz="4" w:space="0"/>
              <w:right w:val="single" w:color="auto" w:sz="4" w:space="0"/>
            </w:tcBorders>
            <w:shd w:val="clear" w:color="auto" w:fill="auto"/>
            <w:noWrap/>
            <w:vAlign w:val="center"/>
          </w:tcPr>
          <w:p w14:paraId="1728F0C9">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38,7</w:t>
            </w:r>
          </w:p>
        </w:tc>
        <w:tc>
          <w:tcPr>
            <w:tcW w:w="289" w:type="pct"/>
            <w:tcBorders>
              <w:top w:val="nil"/>
              <w:left w:val="nil"/>
              <w:bottom w:val="single" w:color="auto" w:sz="4" w:space="0"/>
              <w:right w:val="single" w:color="auto" w:sz="4" w:space="0"/>
            </w:tcBorders>
            <w:shd w:val="clear" w:color="auto" w:fill="auto"/>
            <w:noWrap/>
            <w:vAlign w:val="center"/>
          </w:tcPr>
          <w:p w14:paraId="18A9FB4E">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64,7</w:t>
            </w:r>
          </w:p>
        </w:tc>
        <w:tc>
          <w:tcPr>
            <w:tcW w:w="292" w:type="pct"/>
            <w:tcBorders>
              <w:top w:val="nil"/>
              <w:left w:val="nil"/>
              <w:bottom w:val="single" w:color="auto" w:sz="4" w:space="0"/>
              <w:right w:val="single" w:color="auto" w:sz="4" w:space="0"/>
            </w:tcBorders>
            <w:shd w:val="clear" w:color="auto" w:fill="auto"/>
            <w:noWrap/>
            <w:vAlign w:val="center"/>
          </w:tcPr>
          <w:p w14:paraId="4C1AA039">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56,3</w:t>
            </w:r>
          </w:p>
        </w:tc>
        <w:tc>
          <w:tcPr>
            <w:tcW w:w="292" w:type="pct"/>
            <w:tcBorders>
              <w:top w:val="nil"/>
              <w:left w:val="nil"/>
              <w:bottom w:val="single" w:color="auto" w:sz="4" w:space="0"/>
              <w:right w:val="single" w:color="auto" w:sz="4" w:space="0"/>
            </w:tcBorders>
            <w:shd w:val="clear" w:color="auto" w:fill="auto"/>
            <w:noWrap/>
            <w:vAlign w:val="center"/>
          </w:tcPr>
          <w:p w14:paraId="34819016">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47,0</w:t>
            </w:r>
          </w:p>
        </w:tc>
        <w:tc>
          <w:tcPr>
            <w:tcW w:w="292" w:type="pct"/>
            <w:tcBorders>
              <w:top w:val="nil"/>
              <w:left w:val="nil"/>
              <w:bottom w:val="single" w:color="auto" w:sz="4" w:space="0"/>
              <w:right w:val="single" w:color="auto" w:sz="4" w:space="0"/>
            </w:tcBorders>
            <w:shd w:val="clear" w:color="auto" w:fill="auto"/>
            <w:noWrap/>
            <w:vAlign w:val="center"/>
          </w:tcPr>
          <w:p w14:paraId="69816C9D">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49,8</w:t>
            </w:r>
          </w:p>
        </w:tc>
        <w:tc>
          <w:tcPr>
            <w:tcW w:w="292" w:type="pct"/>
            <w:tcBorders>
              <w:top w:val="nil"/>
              <w:left w:val="nil"/>
              <w:bottom w:val="single" w:color="auto" w:sz="4" w:space="0"/>
              <w:right w:val="single" w:color="auto" w:sz="4" w:space="0"/>
            </w:tcBorders>
            <w:shd w:val="clear" w:color="auto" w:fill="auto"/>
            <w:noWrap/>
            <w:vAlign w:val="center"/>
          </w:tcPr>
          <w:p w14:paraId="2530ADF6">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59,4</w:t>
            </w:r>
          </w:p>
        </w:tc>
      </w:tr>
      <w:tr w14:paraId="620F7344">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0EA767D3">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Sułkowice</w:t>
            </w:r>
          </w:p>
        </w:tc>
        <w:tc>
          <w:tcPr>
            <w:tcW w:w="285" w:type="pct"/>
            <w:tcBorders>
              <w:top w:val="nil"/>
              <w:left w:val="nil"/>
              <w:bottom w:val="single" w:color="auto" w:sz="4" w:space="0"/>
              <w:right w:val="single" w:color="auto" w:sz="4" w:space="0"/>
            </w:tcBorders>
            <w:shd w:val="clear" w:color="auto" w:fill="auto"/>
            <w:noWrap/>
            <w:vAlign w:val="center"/>
          </w:tcPr>
          <w:p w14:paraId="4746BA3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65,2</w:t>
            </w:r>
          </w:p>
        </w:tc>
        <w:tc>
          <w:tcPr>
            <w:tcW w:w="285" w:type="pct"/>
            <w:tcBorders>
              <w:top w:val="nil"/>
              <w:left w:val="nil"/>
              <w:bottom w:val="single" w:color="auto" w:sz="4" w:space="0"/>
              <w:right w:val="single" w:color="auto" w:sz="4" w:space="0"/>
            </w:tcBorders>
            <w:shd w:val="clear" w:color="auto" w:fill="auto"/>
            <w:noWrap/>
            <w:vAlign w:val="center"/>
          </w:tcPr>
          <w:p w14:paraId="7F6251B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62,1</w:t>
            </w:r>
          </w:p>
        </w:tc>
        <w:tc>
          <w:tcPr>
            <w:tcW w:w="285" w:type="pct"/>
            <w:tcBorders>
              <w:top w:val="nil"/>
              <w:left w:val="nil"/>
              <w:bottom w:val="single" w:color="auto" w:sz="4" w:space="0"/>
              <w:right w:val="single" w:color="auto" w:sz="4" w:space="0"/>
            </w:tcBorders>
            <w:shd w:val="clear" w:color="auto" w:fill="auto"/>
            <w:noWrap/>
            <w:vAlign w:val="center"/>
          </w:tcPr>
          <w:p w14:paraId="79E5470C">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63,3</w:t>
            </w:r>
          </w:p>
        </w:tc>
        <w:tc>
          <w:tcPr>
            <w:tcW w:w="287" w:type="pct"/>
            <w:tcBorders>
              <w:top w:val="nil"/>
              <w:left w:val="nil"/>
              <w:bottom w:val="single" w:color="auto" w:sz="4" w:space="0"/>
              <w:right w:val="single" w:color="auto" w:sz="4" w:space="0"/>
            </w:tcBorders>
            <w:shd w:val="clear" w:color="auto" w:fill="auto"/>
            <w:noWrap/>
            <w:vAlign w:val="center"/>
          </w:tcPr>
          <w:p w14:paraId="6BE37D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60,7</w:t>
            </w:r>
          </w:p>
        </w:tc>
        <w:tc>
          <w:tcPr>
            <w:tcW w:w="285" w:type="pct"/>
            <w:tcBorders>
              <w:top w:val="nil"/>
              <w:left w:val="nil"/>
              <w:bottom w:val="single" w:color="auto" w:sz="4" w:space="0"/>
              <w:right w:val="single" w:color="auto" w:sz="4" w:space="0"/>
            </w:tcBorders>
            <w:shd w:val="clear" w:color="auto" w:fill="auto"/>
            <w:noWrap/>
            <w:vAlign w:val="center"/>
          </w:tcPr>
          <w:p w14:paraId="1151EE11">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50,0</w:t>
            </w:r>
          </w:p>
        </w:tc>
        <w:tc>
          <w:tcPr>
            <w:tcW w:w="331" w:type="pct"/>
            <w:tcBorders>
              <w:top w:val="nil"/>
              <w:left w:val="nil"/>
              <w:bottom w:val="single" w:color="auto" w:sz="4" w:space="0"/>
              <w:right w:val="single" w:color="auto" w:sz="4" w:space="0"/>
            </w:tcBorders>
            <w:shd w:val="clear" w:color="auto" w:fill="auto"/>
            <w:noWrap/>
            <w:vAlign w:val="center"/>
          </w:tcPr>
          <w:p w14:paraId="0F26CAEF">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51,3</w:t>
            </w:r>
          </w:p>
        </w:tc>
        <w:tc>
          <w:tcPr>
            <w:tcW w:w="348" w:type="pct"/>
            <w:tcBorders>
              <w:top w:val="nil"/>
              <w:left w:val="nil"/>
              <w:bottom w:val="single" w:color="auto" w:sz="4" w:space="0"/>
              <w:right w:val="single" w:color="auto" w:sz="4" w:space="0"/>
            </w:tcBorders>
            <w:shd w:val="clear" w:color="auto" w:fill="auto"/>
            <w:noWrap/>
            <w:vAlign w:val="center"/>
          </w:tcPr>
          <w:p w14:paraId="5E43F49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49,3</w:t>
            </w:r>
          </w:p>
        </w:tc>
        <w:tc>
          <w:tcPr>
            <w:tcW w:w="289" w:type="pct"/>
            <w:tcBorders>
              <w:top w:val="nil"/>
              <w:left w:val="nil"/>
              <w:bottom w:val="single" w:color="auto" w:sz="4" w:space="0"/>
              <w:right w:val="single" w:color="auto" w:sz="4" w:space="0"/>
            </w:tcBorders>
            <w:shd w:val="clear" w:color="auto" w:fill="auto"/>
            <w:noWrap/>
            <w:vAlign w:val="center"/>
          </w:tcPr>
          <w:p w14:paraId="700BF0F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58,9</w:t>
            </w:r>
          </w:p>
        </w:tc>
        <w:tc>
          <w:tcPr>
            <w:tcW w:w="292" w:type="pct"/>
            <w:tcBorders>
              <w:top w:val="nil"/>
              <w:left w:val="nil"/>
              <w:bottom w:val="single" w:color="auto" w:sz="4" w:space="0"/>
              <w:right w:val="single" w:color="auto" w:sz="4" w:space="0"/>
            </w:tcBorders>
            <w:shd w:val="clear" w:color="auto" w:fill="auto"/>
            <w:noWrap/>
            <w:vAlign w:val="center"/>
          </w:tcPr>
          <w:p w14:paraId="15273973">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59,2</w:t>
            </w:r>
          </w:p>
        </w:tc>
        <w:tc>
          <w:tcPr>
            <w:tcW w:w="292" w:type="pct"/>
            <w:tcBorders>
              <w:top w:val="nil"/>
              <w:left w:val="nil"/>
              <w:bottom w:val="single" w:color="auto" w:sz="4" w:space="0"/>
              <w:right w:val="single" w:color="auto" w:sz="4" w:space="0"/>
            </w:tcBorders>
            <w:shd w:val="clear" w:color="auto" w:fill="auto"/>
            <w:noWrap/>
            <w:vAlign w:val="center"/>
          </w:tcPr>
          <w:p w14:paraId="1CD3B9D6">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56,1</w:t>
            </w:r>
          </w:p>
        </w:tc>
        <w:tc>
          <w:tcPr>
            <w:tcW w:w="292" w:type="pct"/>
            <w:tcBorders>
              <w:top w:val="nil"/>
              <w:left w:val="nil"/>
              <w:bottom w:val="single" w:color="auto" w:sz="4" w:space="0"/>
              <w:right w:val="single" w:color="auto" w:sz="4" w:space="0"/>
            </w:tcBorders>
            <w:shd w:val="clear" w:color="auto" w:fill="auto"/>
            <w:noWrap/>
            <w:vAlign w:val="center"/>
          </w:tcPr>
          <w:p w14:paraId="018CFE0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64,8</w:t>
            </w:r>
          </w:p>
        </w:tc>
        <w:tc>
          <w:tcPr>
            <w:tcW w:w="292" w:type="pct"/>
            <w:tcBorders>
              <w:top w:val="nil"/>
              <w:left w:val="nil"/>
              <w:bottom w:val="single" w:color="auto" w:sz="4" w:space="0"/>
              <w:right w:val="single" w:color="auto" w:sz="4" w:space="0"/>
            </w:tcBorders>
            <w:shd w:val="clear" w:color="auto" w:fill="auto"/>
            <w:noWrap/>
            <w:vAlign w:val="center"/>
          </w:tcPr>
          <w:p w14:paraId="18FAA16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62,6</w:t>
            </w:r>
          </w:p>
        </w:tc>
      </w:tr>
      <w:tr w14:paraId="7C471D25">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05C5E48A">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Tokarnia</w:t>
            </w:r>
          </w:p>
        </w:tc>
        <w:tc>
          <w:tcPr>
            <w:tcW w:w="285" w:type="pct"/>
            <w:tcBorders>
              <w:top w:val="nil"/>
              <w:left w:val="nil"/>
              <w:bottom w:val="single" w:color="auto" w:sz="4" w:space="0"/>
              <w:right w:val="single" w:color="auto" w:sz="4" w:space="0"/>
            </w:tcBorders>
            <w:shd w:val="clear" w:color="auto" w:fill="auto"/>
            <w:noWrap/>
            <w:vAlign w:val="center"/>
          </w:tcPr>
          <w:p w14:paraId="13DD426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64,5</w:t>
            </w:r>
          </w:p>
        </w:tc>
        <w:tc>
          <w:tcPr>
            <w:tcW w:w="285" w:type="pct"/>
            <w:tcBorders>
              <w:top w:val="nil"/>
              <w:left w:val="nil"/>
              <w:bottom w:val="single" w:color="auto" w:sz="4" w:space="0"/>
              <w:right w:val="single" w:color="auto" w:sz="4" w:space="0"/>
            </w:tcBorders>
            <w:shd w:val="clear" w:color="auto" w:fill="auto"/>
            <w:noWrap/>
            <w:vAlign w:val="center"/>
          </w:tcPr>
          <w:p w14:paraId="2A49FD3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62,6</w:t>
            </w:r>
          </w:p>
        </w:tc>
        <w:tc>
          <w:tcPr>
            <w:tcW w:w="285" w:type="pct"/>
            <w:tcBorders>
              <w:top w:val="nil"/>
              <w:left w:val="nil"/>
              <w:bottom w:val="single" w:color="auto" w:sz="4" w:space="0"/>
              <w:right w:val="single" w:color="auto" w:sz="4" w:space="0"/>
            </w:tcBorders>
            <w:shd w:val="clear" w:color="auto" w:fill="auto"/>
            <w:noWrap/>
            <w:vAlign w:val="center"/>
          </w:tcPr>
          <w:p w14:paraId="73848BA9">
            <w:pPr>
              <w:spacing w:after="0" w:line="240" w:lineRule="auto"/>
              <w:jc w:val="center"/>
              <w:rPr>
                <w:rFonts w:ascii="Times New Roman" w:hAnsi="Times New Roman" w:eastAsia="Times New Roman" w:cs="Times New Roman"/>
                <w:color w:val="00B050"/>
                <w:sz w:val="20"/>
                <w:szCs w:val="20"/>
                <w:lang w:eastAsia="pl-PL"/>
              </w:rPr>
            </w:pPr>
            <w:r>
              <w:rPr>
                <w:rFonts w:ascii="Times New Roman" w:hAnsi="Times New Roman" w:eastAsia="Times New Roman" w:cs="Times New Roman"/>
                <w:color w:val="00B050"/>
                <w:sz w:val="20"/>
                <w:szCs w:val="20"/>
                <w:lang w:eastAsia="pl-PL"/>
              </w:rPr>
              <w:t>63,4</w:t>
            </w:r>
          </w:p>
        </w:tc>
        <w:tc>
          <w:tcPr>
            <w:tcW w:w="287" w:type="pct"/>
            <w:tcBorders>
              <w:top w:val="nil"/>
              <w:left w:val="nil"/>
              <w:bottom w:val="single" w:color="auto" w:sz="4" w:space="0"/>
              <w:right w:val="single" w:color="auto" w:sz="4" w:space="0"/>
            </w:tcBorders>
            <w:shd w:val="clear" w:color="auto" w:fill="auto"/>
            <w:noWrap/>
            <w:vAlign w:val="center"/>
          </w:tcPr>
          <w:p w14:paraId="3EEEBA5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62,5</w:t>
            </w:r>
          </w:p>
        </w:tc>
        <w:tc>
          <w:tcPr>
            <w:tcW w:w="285" w:type="pct"/>
            <w:tcBorders>
              <w:top w:val="nil"/>
              <w:left w:val="nil"/>
              <w:bottom w:val="single" w:color="auto" w:sz="4" w:space="0"/>
              <w:right w:val="single" w:color="auto" w:sz="4" w:space="0"/>
            </w:tcBorders>
            <w:shd w:val="clear" w:color="auto" w:fill="auto"/>
            <w:noWrap/>
            <w:vAlign w:val="center"/>
          </w:tcPr>
          <w:p w14:paraId="676EB33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45,6</w:t>
            </w:r>
          </w:p>
        </w:tc>
        <w:tc>
          <w:tcPr>
            <w:tcW w:w="331" w:type="pct"/>
            <w:tcBorders>
              <w:top w:val="nil"/>
              <w:left w:val="nil"/>
              <w:bottom w:val="single" w:color="auto" w:sz="4" w:space="0"/>
              <w:right w:val="single" w:color="auto" w:sz="4" w:space="0"/>
            </w:tcBorders>
            <w:shd w:val="clear" w:color="auto" w:fill="auto"/>
            <w:noWrap/>
            <w:vAlign w:val="center"/>
          </w:tcPr>
          <w:p w14:paraId="1CDEB74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45,9</w:t>
            </w:r>
          </w:p>
        </w:tc>
        <w:tc>
          <w:tcPr>
            <w:tcW w:w="348" w:type="pct"/>
            <w:tcBorders>
              <w:top w:val="nil"/>
              <w:left w:val="nil"/>
              <w:bottom w:val="single" w:color="auto" w:sz="4" w:space="0"/>
              <w:right w:val="single" w:color="auto" w:sz="4" w:space="0"/>
            </w:tcBorders>
            <w:shd w:val="clear" w:color="auto" w:fill="auto"/>
            <w:noWrap/>
            <w:vAlign w:val="center"/>
          </w:tcPr>
          <w:p w14:paraId="272AC8C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49,4</w:t>
            </w:r>
          </w:p>
        </w:tc>
        <w:tc>
          <w:tcPr>
            <w:tcW w:w="289" w:type="pct"/>
            <w:tcBorders>
              <w:top w:val="nil"/>
              <w:left w:val="nil"/>
              <w:bottom w:val="single" w:color="auto" w:sz="4" w:space="0"/>
              <w:right w:val="single" w:color="auto" w:sz="4" w:space="0"/>
            </w:tcBorders>
            <w:shd w:val="clear" w:color="auto" w:fill="auto"/>
            <w:noWrap/>
            <w:vAlign w:val="center"/>
          </w:tcPr>
          <w:p w14:paraId="2F65894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61,1</w:t>
            </w:r>
          </w:p>
        </w:tc>
        <w:tc>
          <w:tcPr>
            <w:tcW w:w="292" w:type="pct"/>
            <w:tcBorders>
              <w:top w:val="nil"/>
              <w:left w:val="nil"/>
              <w:bottom w:val="single" w:color="auto" w:sz="4" w:space="0"/>
              <w:right w:val="single" w:color="auto" w:sz="4" w:space="0"/>
            </w:tcBorders>
            <w:shd w:val="clear" w:color="auto" w:fill="auto"/>
            <w:noWrap/>
            <w:vAlign w:val="center"/>
          </w:tcPr>
          <w:p w14:paraId="654F7254">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54,1</w:t>
            </w:r>
          </w:p>
        </w:tc>
        <w:tc>
          <w:tcPr>
            <w:tcW w:w="292" w:type="pct"/>
            <w:tcBorders>
              <w:top w:val="nil"/>
              <w:left w:val="nil"/>
              <w:bottom w:val="single" w:color="auto" w:sz="4" w:space="0"/>
              <w:right w:val="single" w:color="auto" w:sz="4" w:space="0"/>
            </w:tcBorders>
            <w:shd w:val="clear" w:color="auto" w:fill="auto"/>
            <w:noWrap/>
            <w:vAlign w:val="center"/>
          </w:tcPr>
          <w:p w14:paraId="33E1FA0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51,1</w:t>
            </w:r>
          </w:p>
        </w:tc>
        <w:tc>
          <w:tcPr>
            <w:tcW w:w="292" w:type="pct"/>
            <w:tcBorders>
              <w:top w:val="nil"/>
              <w:left w:val="nil"/>
              <w:bottom w:val="single" w:color="auto" w:sz="4" w:space="0"/>
              <w:right w:val="single" w:color="auto" w:sz="4" w:space="0"/>
            </w:tcBorders>
            <w:shd w:val="clear" w:color="auto" w:fill="auto"/>
            <w:noWrap/>
            <w:vAlign w:val="center"/>
          </w:tcPr>
          <w:p w14:paraId="7F42900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66,8</w:t>
            </w:r>
          </w:p>
        </w:tc>
        <w:tc>
          <w:tcPr>
            <w:tcW w:w="292" w:type="pct"/>
            <w:tcBorders>
              <w:top w:val="nil"/>
              <w:left w:val="nil"/>
              <w:bottom w:val="single" w:color="auto" w:sz="4" w:space="0"/>
              <w:right w:val="single" w:color="auto" w:sz="4" w:space="0"/>
            </w:tcBorders>
            <w:shd w:val="clear" w:color="auto" w:fill="auto"/>
            <w:noWrap/>
            <w:vAlign w:val="center"/>
          </w:tcPr>
          <w:p w14:paraId="379C251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59,2</w:t>
            </w:r>
          </w:p>
        </w:tc>
      </w:tr>
      <w:tr w14:paraId="4DD2E7AC">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4F360D13">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Gmina Wiśniowa</w:t>
            </w:r>
          </w:p>
        </w:tc>
        <w:tc>
          <w:tcPr>
            <w:tcW w:w="285" w:type="pct"/>
            <w:tcBorders>
              <w:top w:val="nil"/>
              <w:left w:val="nil"/>
              <w:bottom w:val="single" w:color="auto" w:sz="4" w:space="0"/>
              <w:right w:val="single" w:color="auto" w:sz="4" w:space="0"/>
            </w:tcBorders>
            <w:shd w:val="clear" w:color="auto" w:fill="auto"/>
            <w:noWrap/>
            <w:vAlign w:val="center"/>
          </w:tcPr>
          <w:p w14:paraId="67A07CD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66,6</w:t>
            </w:r>
          </w:p>
        </w:tc>
        <w:tc>
          <w:tcPr>
            <w:tcW w:w="285" w:type="pct"/>
            <w:tcBorders>
              <w:top w:val="nil"/>
              <w:left w:val="nil"/>
              <w:bottom w:val="single" w:color="auto" w:sz="4" w:space="0"/>
              <w:right w:val="single" w:color="auto" w:sz="4" w:space="0"/>
            </w:tcBorders>
            <w:shd w:val="clear" w:color="auto" w:fill="auto"/>
            <w:noWrap/>
            <w:vAlign w:val="center"/>
          </w:tcPr>
          <w:p w14:paraId="12E18C3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58,5</w:t>
            </w:r>
          </w:p>
        </w:tc>
        <w:tc>
          <w:tcPr>
            <w:tcW w:w="285" w:type="pct"/>
            <w:tcBorders>
              <w:top w:val="nil"/>
              <w:left w:val="nil"/>
              <w:bottom w:val="single" w:color="auto" w:sz="4" w:space="0"/>
              <w:right w:val="single" w:color="auto" w:sz="4" w:space="0"/>
            </w:tcBorders>
            <w:shd w:val="clear" w:color="auto" w:fill="auto"/>
            <w:noWrap/>
            <w:vAlign w:val="center"/>
          </w:tcPr>
          <w:p w14:paraId="71CCBA1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61,4</w:t>
            </w:r>
          </w:p>
        </w:tc>
        <w:tc>
          <w:tcPr>
            <w:tcW w:w="287" w:type="pct"/>
            <w:tcBorders>
              <w:top w:val="nil"/>
              <w:left w:val="nil"/>
              <w:bottom w:val="single" w:color="auto" w:sz="4" w:space="0"/>
              <w:right w:val="single" w:color="auto" w:sz="4" w:space="0"/>
            </w:tcBorders>
            <w:shd w:val="clear" w:color="auto" w:fill="auto"/>
            <w:noWrap/>
            <w:vAlign w:val="center"/>
          </w:tcPr>
          <w:p w14:paraId="560D348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62,4</w:t>
            </w:r>
          </w:p>
        </w:tc>
        <w:tc>
          <w:tcPr>
            <w:tcW w:w="285" w:type="pct"/>
            <w:tcBorders>
              <w:top w:val="nil"/>
              <w:left w:val="nil"/>
              <w:bottom w:val="single" w:color="auto" w:sz="4" w:space="0"/>
              <w:right w:val="single" w:color="auto" w:sz="4" w:space="0"/>
            </w:tcBorders>
            <w:shd w:val="clear" w:color="auto" w:fill="auto"/>
            <w:noWrap/>
            <w:vAlign w:val="center"/>
          </w:tcPr>
          <w:p w14:paraId="53A586F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46,7</w:t>
            </w:r>
          </w:p>
        </w:tc>
        <w:tc>
          <w:tcPr>
            <w:tcW w:w="331" w:type="pct"/>
            <w:tcBorders>
              <w:top w:val="nil"/>
              <w:left w:val="nil"/>
              <w:bottom w:val="single" w:color="auto" w:sz="4" w:space="0"/>
              <w:right w:val="single" w:color="auto" w:sz="4" w:space="0"/>
            </w:tcBorders>
            <w:shd w:val="clear" w:color="auto" w:fill="auto"/>
            <w:noWrap/>
            <w:vAlign w:val="center"/>
          </w:tcPr>
          <w:p w14:paraId="1036D29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50,1</w:t>
            </w:r>
          </w:p>
        </w:tc>
        <w:tc>
          <w:tcPr>
            <w:tcW w:w="348" w:type="pct"/>
            <w:tcBorders>
              <w:top w:val="nil"/>
              <w:left w:val="nil"/>
              <w:bottom w:val="single" w:color="auto" w:sz="4" w:space="0"/>
              <w:right w:val="single" w:color="auto" w:sz="4" w:space="0"/>
            </w:tcBorders>
            <w:shd w:val="clear" w:color="auto" w:fill="auto"/>
            <w:noWrap/>
            <w:vAlign w:val="center"/>
          </w:tcPr>
          <w:p w14:paraId="2239110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50,9</w:t>
            </w:r>
          </w:p>
        </w:tc>
        <w:tc>
          <w:tcPr>
            <w:tcW w:w="289" w:type="pct"/>
            <w:tcBorders>
              <w:top w:val="nil"/>
              <w:left w:val="nil"/>
              <w:bottom w:val="single" w:color="auto" w:sz="4" w:space="0"/>
              <w:right w:val="single" w:color="auto" w:sz="4" w:space="0"/>
            </w:tcBorders>
            <w:shd w:val="clear" w:color="auto" w:fill="auto"/>
            <w:noWrap/>
            <w:vAlign w:val="center"/>
          </w:tcPr>
          <w:p w14:paraId="024EA87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62,9</w:t>
            </w:r>
          </w:p>
        </w:tc>
        <w:tc>
          <w:tcPr>
            <w:tcW w:w="292" w:type="pct"/>
            <w:tcBorders>
              <w:top w:val="nil"/>
              <w:left w:val="nil"/>
              <w:bottom w:val="single" w:color="auto" w:sz="4" w:space="0"/>
              <w:right w:val="single" w:color="auto" w:sz="4" w:space="0"/>
            </w:tcBorders>
            <w:shd w:val="clear" w:color="auto" w:fill="auto"/>
            <w:noWrap/>
            <w:vAlign w:val="center"/>
          </w:tcPr>
          <w:p w14:paraId="1EA180D3">
            <w:pPr>
              <w:spacing w:after="0" w:line="240" w:lineRule="auto"/>
              <w:jc w:val="center"/>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56,4</w:t>
            </w:r>
          </w:p>
        </w:tc>
        <w:tc>
          <w:tcPr>
            <w:tcW w:w="292" w:type="pct"/>
            <w:tcBorders>
              <w:top w:val="nil"/>
              <w:left w:val="nil"/>
              <w:bottom w:val="single" w:color="auto" w:sz="4" w:space="0"/>
              <w:right w:val="single" w:color="auto" w:sz="4" w:space="0"/>
            </w:tcBorders>
            <w:shd w:val="clear" w:color="auto" w:fill="auto"/>
            <w:noWrap/>
            <w:vAlign w:val="center"/>
          </w:tcPr>
          <w:p w14:paraId="34D7DCD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47,6</w:t>
            </w:r>
          </w:p>
        </w:tc>
        <w:tc>
          <w:tcPr>
            <w:tcW w:w="292" w:type="pct"/>
            <w:tcBorders>
              <w:top w:val="nil"/>
              <w:left w:val="nil"/>
              <w:bottom w:val="single" w:color="auto" w:sz="4" w:space="0"/>
              <w:right w:val="single" w:color="auto" w:sz="4" w:space="0"/>
            </w:tcBorders>
            <w:shd w:val="clear" w:color="auto" w:fill="auto"/>
            <w:noWrap/>
            <w:vAlign w:val="center"/>
          </w:tcPr>
          <w:p w14:paraId="5840322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62,3</w:t>
            </w:r>
          </w:p>
        </w:tc>
        <w:tc>
          <w:tcPr>
            <w:tcW w:w="292" w:type="pct"/>
            <w:tcBorders>
              <w:top w:val="nil"/>
              <w:left w:val="nil"/>
              <w:bottom w:val="single" w:color="auto" w:sz="4" w:space="0"/>
              <w:right w:val="single" w:color="auto" w:sz="4" w:space="0"/>
            </w:tcBorders>
            <w:shd w:val="clear" w:color="auto" w:fill="auto"/>
            <w:noWrap/>
            <w:vAlign w:val="center"/>
          </w:tcPr>
          <w:p w14:paraId="31D1847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59,8</w:t>
            </w:r>
          </w:p>
        </w:tc>
      </w:tr>
      <w:tr w14:paraId="3182797D">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2F0E9EA8">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LGD Między Dalinem i Gościbią</w:t>
            </w:r>
          </w:p>
        </w:tc>
        <w:tc>
          <w:tcPr>
            <w:tcW w:w="285" w:type="pct"/>
            <w:tcBorders>
              <w:top w:val="nil"/>
              <w:left w:val="nil"/>
              <w:bottom w:val="single" w:color="auto" w:sz="4" w:space="0"/>
              <w:right w:val="single" w:color="auto" w:sz="4" w:space="0"/>
            </w:tcBorders>
            <w:shd w:val="clear" w:color="auto" w:fill="auto"/>
            <w:noWrap/>
            <w:vAlign w:val="center"/>
          </w:tcPr>
          <w:p w14:paraId="5EE95F7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65,5</w:t>
            </w:r>
          </w:p>
        </w:tc>
        <w:tc>
          <w:tcPr>
            <w:tcW w:w="285" w:type="pct"/>
            <w:tcBorders>
              <w:top w:val="nil"/>
              <w:left w:val="nil"/>
              <w:bottom w:val="single" w:color="auto" w:sz="4" w:space="0"/>
              <w:right w:val="single" w:color="auto" w:sz="4" w:space="0"/>
            </w:tcBorders>
            <w:shd w:val="clear" w:color="auto" w:fill="auto"/>
            <w:noWrap/>
            <w:vAlign w:val="center"/>
          </w:tcPr>
          <w:p w14:paraId="39FFEFD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61,8</w:t>
            </w:r>
          </w:p>
        </w:tc>
        <w:tc>
          <w:tcPr>
            <w:tcW w:w="285" w:type="pct"/>
            <w:tcBorders>
              <w:top w:val="nil"/>
              <w:left w:val="nil"/>
              <w:bottom w:val="single" w:color="auto" w:sz="4" w:space="0"/>
              <w:right w:val="single" w:color="auto" w:sz="4" w:space="0"/>
            </w:tcBorders>
            <w:shd w:val="clear" w:color="auto" w:fill="auto"/>
            <w:noWrap/>
            <w:vAlign w:val="center"/>
          </w:tcPr>
          <w:p w14:paraId="2AA0A08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61,9</w:t>
            </w:r>
          </w:p>
        </w:tc>
        <w:tc>
          <w:tcPr>
            <w:tcW w:w="287" w:type="pct"/>
            <w:tcBorders>
              <w:top w:val="nil"/>
              <w:left w:val="nil"/>
              <w:bottom w:val="single" w:color="auto" w:sz="4" w:space="0"/>
              <w:right w:val="single" w:color="auto" w:sz="4" w:space="0"/>
            </w:tcBorders>
            <w:shd w:val="clear" w:color="auto" w:fill="auto"/>
            <w:noWrap/>
            <w:vAlign w:val="center"/>
          </w:tcPr>
          <w:p w14:paraId="6F3B7FA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62,7</w:t>
            </w:r>
          </w:p>
        </w:tc>
        <w:tc>
          <w:tcPr>
            <w:tcW w:w="285" w:type="pct"/>
            <w:tcBorders>
              <w:top w:val="nil"/>
              <w:left w:val="nil"/>
              <w:bottom w:val="single" w:color="auto" w:sz="4" w:space="0"/>
              <w:right w:val="single" w:color="auto" w:sz="4" w:space="0"/>
            </w:tcBorders>
            <w:shd w:val="clear" w:color="auto" w:fill="auto"/>
            <w:noWrap/>
            <w:vAlign w:val="center"/>
          </w:tcPr>
          <w:p w14:paraId="589D52B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47,6</w:t>
            </w:r>
          </w:p>
        </w:tc>
        <w:tc>
          <w:tcPr>
            <w:tcW w:w="331" w:type="pct"/>
            <w:tcBorders>
              <w:top w:val="nil"/>
              <w:left w:val="nil"/>
              <w:bottom w:val="single" w:color="auto" w:sz="4" w:space="0"/>
              <w:right w:val="single" w:color="auto" w:sz="4" w:space="0"/>
            </w:tcBorders>
            <w:shd w:val="clear" w:color="auto" w:fill="auto"/>
            <w:noWrap/>
            <w:vAlign w:val="center"/>
          </w:tcPr>
          <w:p w14:paraId="267ABB34">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49,0</w:t>
            </w:r>
          </w:p>
        </w:tc>
        <w:tc>
          <w:tcPr>
            <w:tcW w:w="348" w:type="pct"/>
            <w:tcBorders>
              <w:top w:val="nil"/>
              <w:left w:val="nil"/>
              <w:bottom w:val="single" w:color="auto" w:sz="4" w:space="0"/>
              <w:right w:val="single" w:color="auto" w:sz="4" w:space="0"/>
            </w:tcBorders>
            <w:shd w:val="clear" w:color="auto" w:fill="auto"/>
            <w:noWrap/>
            <w:vAlign w:val="center"/>
          </w:tcPr>
          <w:p w14:paraId="4D6C7E60">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49,2</w:t>
            </w:r>
          </w:p>
        </w:tc>
        <w:tc>
          <w:tcPr>
            <w:tcW w:w="289" w:type="pct"/>
            <w:tcBorders>
              <w:top w:val="nil"/>
              <w:left w:val="nil"/>
              <w:bottom w:val="single" w:color="auto" w:sz="4" w:space="0"/>
              <w:right w:val="single" w:color="auto" w:sz="4" w:space="0"/>
            </w:tcBorders>
            <w:shd w:val="clear" w:color="auto" w:fill="auto"/>
            <w:noWrap/>
            <w:vAlign w:val="center"/>
          </w:tcPr>
          <w:p w14:paraId="56390376">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62,7</w:t>
            </w:r>
          </w:p>
        </w:tc>
        <w:tc>
          <w:tcPr>
            <w:tcW w:w="292" w:type="pct"/>
            <w:tcBorders>
              <w:top w:val="nil"/>
              <w:left w:val="nil"/>
              <w:bottom w:val="single" w:color="auto" w:sz="4" w:space="0"/>
              <w:right w:val="single" w:color="auto" w:sz="4" w:space="0"/>
            </w:tcBorders>
            <w:shd w:val="clear" w:color="auto" w:fill="auto"/>
            <w:noWrap/>
            <w:vAlign w:val="center"/>
          </w:tcPr>
          <w:p w14:paraId="6446B6D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58,9</w:t>
            </w:r>
          </w:p>
        </w:tc>
        <w:tc>
          <w:tcPr>
            <w:tcW w:w="292" w:type="pct"/>
            <w:tcBorders>
              <w:top w:val="nil"/>
              <w:left w:val="nil"/>
              <w:bottom w:val="single" w:color="auto" w:sz="4" w:space="0"/>
              <w:right w:val="single" w:color="auto" w:sz="4" w:space="0"/>
            </w:tcBorders>
            <w:shd w:val="clear" w:color="auto" w:fill="auto"/>
            <w:noWrap/>
            <w:vAlign w:val="center"/>
          </w:tcPr>
          <w:p w14:paraId="07E1EC78">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52,5</w:t>
            </w:r>
          </w:p>
        </w:tc>
        <w:tc>
          <w:tcPr>
            <w:tcW w:w="292" w:type="pct"/>
            <w:tcBorders>
              <w:top w:val="nil"/>
              <w:left w:val="nil"/>
              <w:bottom w:val="single" w:color="auto" w:sz="4" w:space="0"/>
              <w:right w:val="single" w:color="auto" w:sz="4" w:space="0"/>
            </w:tcBorders>
            <w:shd w:val="clear" w:color="auto" w:fill="auto"/>
            <w:noWrap/>
            <w:vAlign w:val="center"/>
          </w:tcPr>
          <w:p w14:paraId="01396335">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64,9</w:t>
            </w:r>
          </w:p>
        </w:tc>
        <w:tc>
          <w:tcPr>
            <w:tcW w:w="292" w:type="pct"/>
            <w:tcBorders>
              <w:top w:val="nil"/>
              <w:left w:val="nil"/>
              <w:bottom w:val="single" w:color="auto" w:sz="4" w:space="0"/>
              <w:right w:val="single" w:color="auto" w:sz="4" w:space="0"/>
            </w:tcBorders>
            <w:shd w:val="clear" w:color="auto" w:fill="auto"/>
            <w:noWrap/>
            <w:vAlign w:val="center"/>
          </w:tcPr>
          <w:p w14:paraId="119F90CB">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63,4</w:t>
            </w:r>
          </w:p>
        </w:tc>
      </w:tr>
      <w:tr w14:paraId="15B33EA6">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757B892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województwo małopolskie</w:t>
            </w:r>
          </w:p>
        </w:tc>
        <w:tc>
          <w:tcPr>
            <w:tcW w:w="285" w:type="pct"/>
            <w:tcBorders>
              <w:top w:val="nil"/>
              <w:left w:val="nil"/>
              <w:bottom w:val="single" w:color="auto" w:sz="4" w:space="0"/>
              <w:right w:val="single" w:color="auto" w:sz="4" w:space="0"/>
            </w:tcBorders>
            <w:shd w:val="clear" w:color="auto" w:fill="auto"/>
            <w:noWrap/>
            <w:vAlign w:val="center"/>
          </w:tcPr>
          <w:p w14:paraId="1F49DCC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67,0</w:t>
            </w:r>
          </w:p>
        </w:tc>
        <w:tc>
          <w:tcPr>
            <w:tcW w:w="285" w:type="pct"/>
            <w:tcBorders>
              <w:top w:val="nil"/>
              <w:left w:val="nil"/>
              <w:bottom w:val="single" w:color="auto" w:sz="4" w:space="0"/>
              <w:right w:val="single" w:color="auto" w:sz="4" w:space="0"/>
            </w:tcBorders>
            <w:shd w:val="clear" w:color="auto" w:fill="auto"/>
            <w:noWrap/>
            <w:vAlign w:val="center"/>
          </w:tcPr>
          <w:p w14:paraId="6FA859B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62,0</w:t>
            </w:r>
          </w:p>
        </w:tc>
        <w:tc>
          <w:tcPr>
            <w:tcW w:w="285" w:type="pct"/>
            <w:tcBorders>
              <w:top w:val="nil"/>
              <w:left w:val="nil"/>
              <w:bottom w:val="single" w:color="auto" w:sz="4" w:space="0"/>
              <w:right w:val="single" w:color="auto" w:sz="4" w:space="0"/>
            </w:tcBorders>
            <w:shd w:val="clear" w:color="auto" w:fill="auto"/>
            <w:noWrap/>
            <w:vAlign w:val="center"/>
          </w:tcPr>
          <w:p w14:paraId="2887D3D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64,0</w:t>
            </w:r>
          </w:p>
        </w:tc>
        <w:tc>
          <w:tcPr>
            <w:tcW w:w="287" w:type="pct"/>
            <w:tcBorders>
              <w:top w:val="nil"/>
              <w:left w:val="nil"/>
              <w:bottom w:val="single" w:color="auto" w:sz="4" w:space="0"/>
              <w:right w:val="single" w:color="auto" w:sz="4" w:space="0"/>
            </w:tcBorders>
            <w:shd w:val="clear" w:color="auto" w:fill="auto"/>
            <w:noWrap/>
            <w:vAlign w:val="center"/>
          </w:tcPr>
          <w:p w14:paraId="7DD6EF3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63,6</w:t>
            </w:r>
          </w:p>
        </w:tc>
        <w:tc>
          <w:tcPr>
            <w:tcW w:w="285" w:type="pct"/>
            <w:tcBorders>
              <w:top w:val="nil"/>
              <w:left w:val="nil"/>
              <w:bottom w:val="single" w:color="auto" w:sz="4" w:space="0"/>
              <w:right w:val="single" w:color="auto" w:sz="4" w:space="0"/>
            </w:tcBorders>
            <w:shd w:val="clear" w:color="auto" w:fill="auto"/>
            <w:noWrap/>
            <w:vAlign w:val="center"/>
          </w:tcPr>
          <w:p w14:paraId="39A30FF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50,2</w:t>
            </w:r>
          </w:p>
        </w:tc>
        <w:tc>
          <w:tcPr>
            <w:tcW w:w="331" w:type="pct"/>
            <w:tcBorders>
              <w:top w:val="nil"/>
              <w:left w:val="nil"/>
              <w:bottom w:val="single" w:color="auto" w:sz="4" w:space="0"/>
              <w:right w:val="single" w:color="auto" w:sz="4" w:space="0"/>
            </w:tcBorders>
            <w:shd w:val="clear" w:color="auto" w:fill="auto"/>
            <w:noWrap/>
            <w:vAlign w:val="center"/>
          </w:tcPr>
          <w:p w14:paraId="3FA7E5D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50,9</w:t>
            </w:r>
          </w:p>
        </w:tc>
        <w:tc>
          <w:tcPr>
            <w:tcW w:w="348" w:type="pct"/>
            <w:tcBorders>
              <w:top w:val="nil"/>
              <w:left w:val="nil"/>
              <w:bottom w:val="single" w:color="auto" w:sz="4" w:space="0"/>
              <w:right w:val="single" w:color="auto" w:sz="4" w:space="0"/>
            </w:tcBorders>
            <w:shd w:val="clear" w:color="auto" w:fill="auto"/>
            <w:noWrap/>
            <w:vAlign w:val="center"/>
          </w:tcPr>
          <w:p w14:paraId="272A7AD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52,4</w:t>
            </w:r>
          </w:p>
        </w:tc>
        <w:tc>
          <w:tcPr>
            <w:tcW w:w="289" w:type="pct"/>
            <w:tcBorders>
              <w:top w:val="nil"/>
              <w:left w:val="nil"/>
              <w:bottom w:val="single" w:color="auto" w:sz="4" w:space="0"/>
              <w:right w:val="single" w:color="auto" w:sz="4" w:space="0"/>
            </w:tcBorders>
            <w:shd w:val="clear" w:color="auto" w:fill="auto"/>
            <w:noWrap/>
            <w:vAlign w:val="center"/>
          </w:tcPr>
          <w:p w14:paraId="23B8953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63,2</w:t>
            </w:r>
          </w:p>
        </w:tc>
        <w:tc>
          <w:tcPr>
            <w:tcW w:w="292" w:type="pct"/>
            <w:tcBorders>
              <w:top w:val="nil"/>
              <w:left w:val="nil"/>
              <w:bottom w:val="single" w:color="auto" w:sz="4" w:space="0"/>
              <w:right w:val="single" w:color="auto" w:sz="4" w:space="0"/>
            </w:tcBorders>
            <w:shd w:val="clear" w:color="auto" w:fill="auto"/>
            <w:noWrap/>
            <w:vAlign w:val="center"/>
          </w:tcPr>
          <w:p w14:paraId="7B40BDB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61,5</w:t>
            </w:r>
          </w:p>
        </w:tc>
        <w:tc>
          <w:tcPr>
            <w:tcW w:w="292" w:type="pct"/>
            <w:tcBorders>
              <w:top w:val="nil"/>
              <w:left w:val="nil"/>
              <w:bottom w:val="single" w:color="auto" w:sz="4" w:space="0"/>
              <w:right w:val="single" w:color="auto" w:sz="4" w:space="0"/>
            </w:tcBorders>
            <w:shd w:val="clear" w:color="auto" w:fill="auto"/>
            <w:noWrap/>
            <w:vAlign w:val="center"/>
          </w:tcPr>
          <w:p w14:paraId="7DBAD67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56,9</w:t>
            </w:r>
          </w:p>
        </w:tc>
        <w:tc>
          <w:tcPr>
            <w:tcW w:w="292" w:type="pct"/>
            <w:tcBorders>
              <w:top w:val="nil"/>
              <w:left w:val="nil"/>
              <w:bottom w:val="single" w:color="auto" w:sz="4" w:space="0"/>
              <w:right w:val="single" w:color="auto" w:sz="4" w:space="0"/>
            </w:tcBorders>
            <w:shd w:val="clear" w:color="auto" w:fill="auto"/>
            <w:noWrap/>
            <w:vAlign w:val="center"/>
          </w:tcPr>
          <w:p w14:paraId="03C1997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68,9</w:t>
            </w:r>
          </w:p>
        </w:tc>
        <w:tc>
          <w:tcPr>
            <w:tcW w:w="292" w:type="pct"/>
            <w:tcBorders>
              <w:top w:val="nil"/>
              <w:left w:val="nil"/>
              <w:bottom w:val="single" w:color="auto" w:sz="4" w:space="0"/>
              <w:right w:val="single" w:color="auto" w:sz="4" w:space="0"/>
            </w:tcBorders>
            <w:shd w:val="clear" w:color="auto" w:fill="auto"/>
            <w:noWrap/>
            <w:vAlign w:val="center"/>
          </w:tcPr>
          <w:p w14:paraId="35298A8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69,2</w:t>
            </w:r>
          </w:p>
        </w:tc>
      </w:tr>
      <w:tr w14:paraId="1D237591">
        <w:tblPrEx>
          <w:tblCellMar>
            <w:top w:w="0" w:type="dxa"/>
            <w:left w:w="70" w:type="dxa"/>
            <w:bottom w:w="0" w:type="dxa"/>
            <w:right w:w="70" w:type="dxa"/>
          </w:tblCellMar>
        </w:tblPrEx>
        <w:trPr>
          <w:trHeight w:val="340" w:hRule="atLeast"/>
        </w:trPr>
        <w:tc>
          <w:tcPr>
            <w:tcW w:w="1438" w:type="pct"/>
            <w:tcBorders>
              <w:top w:val="nil"/>
              <w:left w:val="single" w:color="auto" w:sz="4" w:space="0"/>
              <w:bottom w:val="single" w:color="auto" w:sz="4" w:space="0"/>
              <w:right w:val="single" w:color="auto" w:sz="4" w:space="0"/>
            </w:tcBorders>
            <w:shd w:val="clear" w:color="auto" w:fill="auto"/>
            <w:noWrap/>
            <w:vAlign w:val="center"/>
          </w:tcPr>
          <w:p w14:paraId="18771A3C">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Polska</w:t>
            </w:r>
            <w:r>
              <w:rPr>
                <w:rFonts w:ascii="Times New Roman" w:hAnsi="Times New Roman" w:eastAsia="Times New Roman" w:cs="Times New Roman"/>
                <w:color w:val="000000"/>
                <w:sz w:val="20"/>
                <w:szCs w:val="20"/>
                <w:vertAlign w:val="superscript"/>
                <w:lang w:eastAsia="pl-PL"/>
              </w:rPr>
              <w:footnoteReference w:id="34"/>
            </w:r>
          </w:p>
        </w:tc>
        <w:tc>
          <w:tcPr>
            <w:tcW w:w="285" w:type="pct"/>
            <w:tcBorders>
              <w:top w:val="nil"/>
              <w:left w:val="nil"/>
              <w:bottom w:val="single" w:color="auto" w:sz="4" w:space="0"/>
              <w:right w:val="single" w:color="auto" w:sz="4" w:space="0"/>
            </w:tcBorders>
            <w:shd w:val="clear" w:color="auto" w:fill="auto"/>
            <w:noWrap/>
            <w:vAlign w:val="center"/>
          </w:tcPr>
          <w:p w14:paraId="2C361E8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63,0</w:t>
            </w:r>
          </w:p>
        </w:tc>
        <w:tc>
          <w:tcPr>
            <w:tcW w:w="285" w:type="pct"/>
            <w:tcBorders>
              <w:top w:val="nil"/>
              <w:left w:val="nil"/>
              <w:bottom w:val="single" w:color="auto" w:sz="4" w:space="0"/>
              <w:right w:val="single" w:color="auto" w:sz="4" w:space="0"/>
            </w:tcBorders>
            <w:shd w:val="clear" w:color="auto" w:fill="auto"/>
            <w:noWrap/>
            <w:vAlign w:val="center"/>
          </w:tcPr>
          <w:p w14:paraId="333EEE4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59,0</w:t>
            </w:r>
          </w:p>
        </w:tc>
        <w:tc>
          <w:tcPr>
            <w:tcW w:w="285" w:type="pct"/>
            <w:tcBorders>
              <w:top w:val="nil"/>
              <w:left w:val="nil"/>
              <w:bottom w:val="single" w:color="auto" w:sz="4" w:space="0"/>
              <w:right w:val="single" w:color="auto" w:sz="4" w:space="0"/>
            </w:tcBorders>
            <w:shd w:val="clear" w:color="auto" w:fill="auto"/>
            <w:noWrap/>
            <w:vAlign w:val="center"/>
          </w:tcPr>
          <w:p w14:paraId="1046DDB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60,0</w:t>
            </w:r>
          </w:p>
        </w:tc>
        <w:tc>
          <w:tcPr>
            <w:tcW w:w="287" w:type="pct"/>
            <w:tcBorders>
              <w:top w:val="nil"/>
              <w:left w:val="nil"/>
              <w:bottom w:val="single" w:color="auto" w:sz="4" w:space="0"/>
              <w:right w:val="single" w:color="auto" w:sz="4" w:space="0"/>
            </w:tcBorders>
            <w:shd w:val="clear" w:color="auto" w:fill="auto"/>
            <w:noWrap/>
            <w:vAlign w:val="center"/>
          </w:tcPr>
          <w:p w14:paraId="09B4DF3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60,0</w:t>
            </w:r>
          </w:p>
        </w:tc>
        <w:tc>
          <w:tcPr>
            <w:tcW w:w="285" w:type="pct"/>
            <w:tcBorders>
              <w:top w:val="nil"/>
              <w:left w:val="nil"/>
              <w:bottom w:val="single" w:color="auto" w:sz="4" w:space="0"/>
              <w:right w:val="single" w:color="auto" w:sz="4" w:space="0"/>
            </w:tcBorders>
            <w:shd w:val="clear" w:color="auto" w:fill="auto"/>
            <w:noWrap/>
            <w:vAlign w:val="center"/>
          </w:tcPr>
          <w:p w14:paraId="7AE3449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45,0</w:t>
            </w:r>
          </w:p>
        </w:tc>
        <w:tc>
          <w:tcPr>
            <w:tcW w:w="331" w:type="pct"/>
            <w:tcBorders>
              <w:top w:val="nil"/>
              <w:left w:val="nil"/>
              <w:bottom w:val="single" w:color="auto" w:sz="4" w:space="0"/>
              <w:right w:val="single" w:color="auto" w:sz="4" w:space="0"/>
            </w:tcBorders>
            <w:shd w:val="clear" w:color="auto" w:fill="auto"/>
            <w:noWrap/>
            <w:vAlign w:val="center"/>
          </w:tcPr>
          <w:p w14:paraId="7BCB8DB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46,0</w:t>
            </w:r>
          </w:p>
        </w:tc>
        <w:tc>
          <w:tcPr>
            <w:tcW w:w="348" w:type="pct"/>
            <w:tcBorders>
              <w:top w:val="nil"/>
              <w:left w:val="nil"/>
              <w:bottom w:val="single" w:color="auto" w:sz="4" w:space="0"/>
              <w:right w:val="single" w:color="auto" w:sz="4" w:space="0"/>
            </w:tcBorders>
            <w:shd w:val="clear" w:color="auto" w:fill="auto"/>
            <w:noWrap/>
            <w:vAlign w:val="center"/>
          </w:tcPr>
          <w:p w14:paraId="4B08106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47,0</w:t>
            </w:r>
          </w:p>
        </w:tc>
        <w:tc>
          <w:tcPr>
            <w:tcW w:w="289" w:type="pct"/>
            <w:tcBorders>
              <w:top w:val="nil"/>
              <w:left w:val="nil"/>
              <w:bottom w:val="single" w:color="auto" w:sz="4" w:space="0"/>
              <w:right w:val="single" w:color="auto" w:sz="4" w:space="0"/>
            </w:tcBorders>
            <w:shd w:val="clear" w:color="auto" w:fill="auto"/>
            <w:noWrap/>
            <w:vAlign w:val="center"/>
          </w:tcPr>
          <w:p w14:paraId="0F6AFDF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57,0</w:t>
            </w:r>
          </w:p>
        </w:tc>
        <w:tc>
          <w:tcPr>
            <w:tcW w:w="292" w:type="pct"/>
            <w:tcBorders>
              <w:top w:val="nil"/>
              <w:left w:val="nil"/>
              <w:bottom w:val="single" w:color="auto" w:sz="4" w:space="0"/>
              <w:right w:val="single" w:color="auto" w:sz="4" w:space="0"/>
            </w:tcBorders>
            <w:shd w:val="clear" w:color="auto" w:fill="auto"/>
            <w:noWrap/>
            <w:vAlign w:val="center"/>
          </w:tcPr>
          <w:p w14:paraId="169CBFF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59,0</w:t>
            </w:r>
          </w:p>
        </w:tc>
        <w:tc>
          <w:tcPr>
            <w:tcW w:w="292" w:type="pct"/>
            <w:tcBorders>
              <w:top w:val="nil"/>
              <w:left w:val="nil"/>
              <w:bottom w:val="single" w:color="auto" w:sz="4" w:space="0"/>
              <w:right w:val="single" w:color="auto" w:sz="4" w:space="0"/>
            </w:tcBorders>
            <w:shd w:val="clear" w:color="auto" w:fill="auto"/>
            <w:noWrap/>
            <w:vAlign w:val="center"/>
          </w:tcPr>
          <w:p w14:paraId="167C860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54,0</w:t>
            </w:r>
          </w:p>
        </w:tc>
        <w:tc>
          <w:tcPr>
            <w:tcW w:w="292" w:type="pct"/>
            <w:tcBorders>
              <w:top w:val="nil"/>
              <w:left w:val="nil"/>
              <w:bottom w:val="single" w:color="auto" w:sz="4" w:space="0"/>
              <w:right w:val="single" w:color="auto" w:sz="4" w:space="0"/>
            </w:tcBorders>
            <w:shd w:val="clear" w:color="auto" w:fill="auto"/>
            <w:noWrap/>
            <w:vAlign w:val="center"/>
          </w:tcPr>
          <w:p w14:paraId="422D74B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66,0</w:t>
            </w:r>
          </w:p>
        </w:tc>
        <w:tc>
          <w:tcPr>
            <w:tcW w:w="292" w:type="pct"/>
            <w:tcBorders>
              <w:top w:val="nil"/>
              <w:left w:val="nil"/>
              <w:bottom w:val="single" w:color="auto" w:sz="4" w:space="0"/>
              <w:right w:val="single" w:color="auto" w:sz="4" w:space="0"/>
            </w:tcBorders>
            <w:shd w:val="clear" w:color="auto" w:fill="auto"/>
            <w:noWrap/>
            <w:vAlign w:val="center"/>
          </w:tcPr>
          <w:p w14:paraId="64E415C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67,0</w:t>
            </w:r>
          </w:p>
        </w:tc>
      </w:tr>
    </w:tbl>
    <w:p w14:paraId="3FA9AF4C">
      <w:pPr>
        <w:spacing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sz w:val="20"/>
          <w:szCs w:val="20"/>
        </w:rPr>
        <w:t xml:space="preserve">Źródło: opracowanie własne na podstawie danych </w:t>
      </w:r>
      <w:bookmarkStart w:id="118" w:name="_Hlk111616495"/>
      <w:r>
        <w:rPr>
          <w:rFonts w:ascii="Times New Roman" w:hAnsi="Times New Roman" w:cs="Times New Roman"/>
          <w:i/>
          <w:iCs/>
          <w:sz w:val="20"/>
          <w:szCs w:val="20"/>
        </w:rPr>
        <w:t xml:space="preserve">Ministerstwa Edukacji i Nauki </w:t>
      </w:r>
      <w:bookmarkEnd w:id="118"/>
      <w:r>
        <w:rPr>
          <w:rFonts w:ascii="Times New Roman" w:hAnsi="Times New Roman" w:cs="Times New Roman"/>
          <w:i/>
          <w:iCs/>
          <w:sz w:val="20"/>
          <w:szCs w:val="20"/>
        </w:rPr>
        <w:t>(mapa.wyniki.edu.pl/MapaEgzaminow)</w:t>
      </w:r>
    </w:p>
    <w:p w14:paraId="38B438C5">
      <w:pPr>
        <w:spacing w:after="0" w:line="276" w:lineRule="auto"/>
        <w:ind w:firstLine="708"/>
        <w:jc w:val="both"/>
        <w:rPr>
          <w:rFonts w:ascii="Times New Roman" w:hAnsi="Times New Roman" w:eastAsia="Calibri" w:cs="Times New Roman"/>
        </w:rPr>
      </w:pPr>
      <w:r>
        <w:rPr>
          <w:rFonts w:ascii="Times New Roman" w:hAnsi="Times New Roman" w:eastAsia="Calibri" w:cs="Times New Roman"/>
        </w:rPr>
        <w:t>Poza nauką na poziomie podstawowym, na obszarze LGD Między Dalinem i Gościbią mieszkańcy mają dostęp do kształcenia na szczeblu średnim, tj. w liceum, technikum oraz szkołach zawodowych. Na terenie obszaru LGD funkcjonują następujące szkoły ponadpodstawowe</w:t>
      </w:r>
      <w:r>
        <w:rPr>
          <w:rFonts w:ascii="Times New Roman" w:hAnsi="Times New Roman" w:eastAsia="Calibri" w:cs="Times New Roman"/>
          <w:vertAlign w:val="superscript"/>
        </w:rPr>
        <w:footnoteReference w:id="35"/>
      </w:r>
      <w:r>
        <w:rPr>
          <w:rFonts w:ascii="Times New Roman" w:hAnsi="Times New Roman" w:eastAsia="Calibri" w:cs="Times New Roman"/>
        </w:rPr>
        <w:t>:</w:t>
      </w:r>
    </w:p>
    <w:p w14:paraId="74F2B933">
      <w:pPr>
        <w:numPr>
          <w:ilvl w:val="0"/>
          <w:numId w:val="23"/>
        </w:numPr>
        <w:spacing w:after="0" w:line="276" w:lineRule="auto"/>
        <w:ind w:left="851" w:hanging="284"/>
        <w:jc w:val="both"/>
        <w:rPr>
          <w:rFonts w:ascii="Times New Roman" w:hAnsi="Times New Roman" w:eastAsia="Calibri" w:cs="Times New Roman"/>
        </w:rPr>
      </w:pPr>
      <w:r>
        <w:rPr>
          <w:rFonts w:ascii="Times New Roman" w:hAnsi="Times New Roman" w:eastAsia="Calibri" w:cs="Times New Roman"/>
        </w:rPr>
        <w:t>Gmina Lubień: Zespół Szkół Ogólnokształcących i Zawodowych im. Bohaterów Monte Cassino w Lubniu (w skład którego wchodzą: technikum, liceum ogólnokształcące, szkoła policealna dla dorosłych, liceum ogólnokształcące dla dorosłych, branżowa szkoła I stopnia, centrum kształcenia zawodowego);</w:t>
      </w:r>
    </w:p>
    <w:p w14:paraId="1EB7DF5A">
      <w:pPr>
        <w:numPr>
          <w:ilvl w:val="0"/>
          <w:numId w:val="24"/>
        </w:numPr>
        <w:spacing w:after="0" w:line="276" w:lineRule="auto"/>
        <w:ind w:left="851" w:hanging="284"/>
        <w:jc w:val="both"/>
        <w:rPr>
          <w:rFonts w:ascii="Times New Roman" w:hAnsi="Times New Roman" w:eastAsia="Calibri" w:cs="Times New Roman"/>
        </w:rPr>
      </w:pPr>
      <w:r>
        <w:rPr>
          <w:rFonts w:ascii="Times New Roman" w:hAnsi="Times New Roman" w:eastAsia="Calibri" w:cs="Times New Roman"/>
        </w:rPr>
        <w:t xml:space="preserve">Gmina Myślenice: Zespół Szkół Techniczno-Ekonomicznych im. Mikołaja Reja w Myślenicach </w:t>
      </w:r>
      <w:r>
        <w:rPr>
          <w:rFonts w:ascii="Times New Roman" w:hAnsi="Times New Roman" w:eastAsia="Calibri" w:cs="Times New Roman"/>
        </w:rPr>
        <w:br w:type="textWrapping"/>
      </w:r>
      <w:r>
        <w:rPr>
          <w:rFonts w:ascii="Times New Roman" w:hAnsi="Times New Roman" w:eastAsia="Calibri" w:cs="Times New Roman"/>
        </w:rPr>
        <w:t xml:space="preserve">(w skład którego wchodzą: technikum, liceum ogólnokształcące, szkoła policealna dla dorosłych, branżowa szkoła I stopnia, centrum kształcenia zawodowego), Zespół Szkół im. Andrzeja Średniawskiego w Myślenicach (w jego skład wchodzą: szkoła policealna dla dorosłych, technikum, liceum ogólnokształcące, liceum ogólnokształcące dla dorosłych, branżowa szkoła I stopnia), Zespół Szkół Ogólnokształcących w Myślenicach (w skład którego wchodzą: liceum ogólnokształcące, liceum ogólnokształcące dla dorosłych), Zespół Szkół – Małopolska Szkoła Gościnności im. Tytusa Chałubińskiego w Myślenicach (w skład którego wchodzą: liceum ogólnokształcące, szkoła policealna turystyki i zdrowia, technikum turystyczno-gastronomiczne, małopolskie centrum kształcenia ustawicznego), Międzyszkolny Ośrodek Sportowy w Myślenicach, Państwowa Szkoła Muzyczna I stopnia im. Ludomira Różyckiego w Myślenicach, Społeczna Branżowa Szkoła I stopnia w Myślenicach, Społeczne Liceum Ogólnokształcące Dla Dorosłych w Myślenicach, Społeczne Technikum </w:t>
      </w:r>
      <w:r>
        <w:rPr>
          <w:rFonts w:ascii="Times New Roman" w:hAnsi="Times New Roman" w:eastAsia="Calibri" w:cs="Times New Roman"/>
        </w:rPr>
        <w:br w:type="textWrapping"/>
      </w:r>
      <w:r>
        <w:rPr>
          <w:rFonts w:ascii="Times New Roman" w:hAnsi="Times New Roman" w:eastAsia="Calibri" w:cs="Times New Roman"/>
        </w:rPr>
        <w:t>w Myślenicach;</w:t>
      </w:r>
    </w:p>
    <w:p w14:paraId="6A7C6F75">
      <w:pPr>
        <w:numPr>
          <w:ilvl w:val="0"/>
          <w:numId w:val="24"/>
        </w:numPr>
        <w:spacing w:after="0" w:line="276" w:lineRule="auto"/>
        <w:ind w:left="851" w:hanging="284"/>
        <w:jc w:val="both"/>
        <w:rPr>
          <w:rFonts w:ascii="Times New Roman" w:hAnsi="Times New Roman" w:eastAsia="Calibri" w:cs="Times New Roman"/>
        </w:rPr>
      </w:pPr>
      <w:r>
        <w:rPr>
          <w:rFonts w:ascii="Times New Roman" w:hAnsi="Times New Roman" w:eastAsia="Calibri" w:cs="Times New Roman"/>
        </w:rPr>
        <w:t>Gmina Raciechowice: Szkoła Muzyczna I Stopnia w Czasławiu;</w:t>
      </w:r>
    </w:p>
    <w:p w14:paraId="3E2E2BB9">
      <w:pPr>
        <w:numPr>
          <w:ilvl w:val="0"/>
          <w:numId w:val="24"/>
        </w:numPr>
        <w:spacing w:line="276" w:lineRule="auto"/>
        <w:ind w:left="851" w:hanging="284"/>
        <w:jc w:val="both"/>
        <w:rPr>
          <w:rFonts w:ascii="Times New Roman" w:hAnsi="Times New Roman" w:eastAsia="Calibri" w:cs="Times New Roman"/>
        </w:rPr>
      </w:pPr>
      <w:r>
        <w:rPr>
          <w:rFonts w:ascii="Times New Roman" w:hAnsi="Times New Roman" w:eastAsia="Calibri" w:cs="Times New Roman"/>
        </w:rPr>
        <w:t>Gmina Sułkowice: Zespół Szkół Zawodowych i Ogólnokształcących w Sułkowicach (w jego skład wchodzą: technikum, szkoła policealna dla dorosłych, liceum ogólnokształcące, liceum ogólnokształcące dla dorosłych, branżowa szkoła I stopnia, centrum kształcenia zawodowego.</w:t>
      </w:r>
      <w:r>
        <w:rPr>
          <w:rFonts w:ascii="Times New Roman" w:hAnsi="Times New Roman" w:cs="Times New Roman"/>
          <w:color w:val="000000" w:themeColor="text1"/>
          <w14:textFill>
            <w14:solidFill>
              <w14:schemeClr w14:val="tx1"/>
            </w14:solidFill>
          </w14:textFill>
        </w:rPr>
        <w:t xml:space="preserve"> </w:t>
      </w:r>
    </w:p>
    <w:p w14:paraId="690BF2EC">
      <w:pPr>
        <w:spacing w:after="0" w:line="276" w:lineRule="auto"/>
        <w:ind w:firstLine="567"/>
        <w:jc w:val="both"/>
        <w:rPr>
          <w:rFonts w:ascii="Times New Roman" w:hAnsi="Times New Roman" w:eastAsia="Calibri" w:cs="Times New Roman"/>
          <w:color w:val="000000"/>
          <w:szCs w:val="20"/>
        </w:rPr>
      </w:pPr>
      <w:r>
        <w:rPr>
          <w:rFonts w:ascii="Times New Roman" w:hAnsi="Times New Roman" w:cs="Times New Roman"/>
          <w:color w:val="000000" w:themeColor="text1"/>
          <w14:textFill>
            <w14:solidFill>
              <w14:schemeClr w14:val="tx1"/>
            </w14:solidFill>
          </w14:textFill>
        </w:rPr>
        <w:t xml:space="preserve">W kontekście szkolnictwa warto również zwrócić uwagę na liczbę uczniów w szkołach podstawowych i gimnazjach dla dzieci i młodzieży niepełnosprawnej (bez szkół specjalnych) na obszarze LGD. </w:t>
      </w:r>
      <w:r>
        <w:rPr>
          <w:rFonts w:ascii="Times New Roman" w:hAnsi="Times New Roman" w:eastAsia="Calibri" w:cs="Times New Roman"/>
          <w:color w:val="000000"/>
          <w:szCs w:val="20"/>
        </w:rPr>
        <w:t xml:space="preserve">Wartości wskaźnika </w:t>
      </w:r>
      <w:r>
        <w:rPr>
          <w:rFonts w:ascii="Times New Roman" w:hAnsi="Times New Roman" w:eastAsia="Calibri" w:cs="Times New Roman"/>
          <w:i/>
          <w:iCs/>
          <w:color w:val="000000"/>
          <w:szCs w:val="20"/>
        </w:rPr>
        <w:t xml:space="preserve">uczniowie w oddziałach specjalnych, integracyjnych i ogólnodostępnych na 10 tys. mieszkańców </w:t>
      </w:r>
      <w:r>
        <w:rPr>
          <w:rFonts w:ascii="Times New Roman" w:hAnsi="Times New Roman" w:eastAsia="Calibri" w:cs="Times New Roman"/>
          <w:color w:val="000000"/>
          <w:szCs w:val="20"/>
        </w:rPr>
        <w:t xml:space="preserve">w 2021 r. przedstawiono na wykresie 13. Z danych wynika, że na obszarze LGD w 2021 r. w </w:t>
      </w:r>
      <w:r>
        <w:rPr>
          <w:rFonts w:ascii="Times New Roman" w:hAnsi="Times New Roman" w:cs="Times New Roman"/>
          <w:color w:val="000000" w:themeColor="text1"/>
          <w14:textFill>
            <w14:solidFill>
              <w14:schemeClr w14:val="tx1"/>
            </w14:solidFill>
          </w14:textFill>
        </w:rPr>
        <w:t>oddziałach specjalnych, integracyjnych i ogólnodostępnych</w:t>
      </w:r>
      <w:r>
        <w:rPr>
          <w:rFonts w:ascii="Times New Roman" w:hAnsi="Times New Roman" w:eastAsia="Calibri" w:cs="Times New Roman"/>
          <w:color w:val="000000"/>
          <w:szCs w:val="20"/>
        </w:rPr>
        <w:t xml:space="preserve"> znajdowało się więcej uczniów niż średnio w województwie małopolskim.</w:t>
      </w:r>
    </w:p>
    <w:p w14:paraId="259E2EA6">
      <w:pPr>
        <w:spacing w:after="0" w:line="276" w:lineRule="auto"/>
        <w:ind w:firstLine="567"/>
        <w:jc w:val="both"/>
        <w:rPr>
          <w:rFonts w:ascii="Times New Roman" w:hAnsi="Times New Roman" w:cs="Times New Roman"/>
          <w:b/>
          <w:bCs/>
          <w:color w:val="000000" w:themeColor="text1"/>
          <w:sz w:val="20"/>
          <w:szCs w:val="20"/>
          <w14:textFill>
            <w14:solidFill>
              <w14:schemeClr w14:val="tx1"/>
            </w14:solidFill>
          </w14:textFill>
        </w:rPr>
      </w:pPr>
    </w:p>
    <w:p w14:paraId="5C1C524C">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19" w:name="_Toc136240717"/>
      <w:r>
        <w:rPr>
          <w:rFonts w:ascii="Times New Roman" w:hAnsi="Times New Roman" w:cs="Times New Roman"/>
          <w:b/>
          <w:bCs/>
          <w:i w:val="0"/>
          <w:iCs w:val="0"/>
          <w:color w:val="000000" w:themeColor="text1"/>
          <w:sz w:val="20"/>
          <w:szCs w:val="20"/>
          <w14:textFill>
            <w14:solidFill>
              <w14:schemeClr w14:val="tx1"/>
            </w14:solidFill>
          </w14:textFill>
        </w:rPr>
        <w:t xml:space="preserve">Wykres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Wykres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13</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Uczniowie w oddziałach specjalnych, integracyjnych i ogólnodostępnych na 10 tys. ludności </w:t>
      </w:r>
      <w:r>
        <w:rPr>
          <w:rFonts w:ascii="Times New Roman" w:hAnsi="Times New Roman" w:eastAsia="Calibri" w:cs="Times New Roman"/>
          <w:b/>
          <w:bCs/>
          <w:i w:val="0"/>
          <w:iCs w:val="0"/>
          <w:sz w:val="20"/>
          <w:szCs w:val="20"/>
        </w:rPr>
        <w:t xml:space="preserve">na </w:t>
      </w:r>
      <w:r>
        <w:rPr>
          <w:rFonts w:ascii="Times New Roman" w:hAnsi="Times New Roman" w:eastAsia="Calibri" w:cs="Times New Roman"/>
          <w:b/>
          <w:bCs/>
          <w:i w:val="0"/>
          <w:iCs w:val="0"/>
          <w:color w:val="000000" w:themeColor="text1"/>
          <w:sz w:val="20"/>
          <w:szCs w:val="20"/>
          <w14:textFill>
            <w14:solidFill>
              <w14:schemeClr w14:val="tx1"/>
            </w14:solidFill>
          </w14:textFill>
        </w:rPr>
        <w:t>obszarze LGD w porównaniu</w:t>
      </w:r>
      <w:r>
        <w:rPr>
          <w:rFonts w:ascii="Times New Roman" w:hAnsi="Times New Roman" w:cs="Times New Roman"/>
          <w:b/>
          <w:bCs/>
          <w:i w:val="0"/>
          <w:iCs w:val="0"/>
          <w:color w:val="000000" w:themeColor="text1"/>
          <w:sz w:val="20"/>
          <w:szCs w:val="20"/>
          <w14:textFill>
            <w14:solidFill>
              <w14:schemeClr w14:val="tx1"/>
            </w14:solidFill>
          </w14:textFill>
        </w:rPr>
        <w:t xml:space="preserve"> do województwa i kraju w 2021 roku</w:t>
      </w:r>
      <w:bookmarkEnd w:id="119"/>
    </w:p>
    <w:p w14:paraId="31DB3544">
      <w:pPr>
        <w:spacing w:after="0" w:line="276" w:lineRule="auto"/>
        <w:jc w:val="center"/>
      </w:pPr>
      <w:r>
        <w:rPr>
          <w:lang w:eastAsia="pl-PL"/>
        </w:rPr>
        <w:drawing>
          <wp:inline distT="0" distB="0" distL="0" distR="0">
            <wp:extent cx="6033135" cy="2209800"/>
            <wp:effectExtent l="0" t="0" r="571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256938">
      <w:pPr>
        <w:spacing w:after="0" w:line="276" w:lineRule="auto"/>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danych GUS</w:t>
      </w:r>
    </w:p>
    <w:p w14:paraId="20A4A09E">
      <w:pPr>
        <w:pStyle w:val="28"/>
        <w:numPr>
          <w:ilvl w:val="1"/>
          <w:numId w:val="15"/>
        </w:numPr>
        <w:spacing w:before="240"/>
        <w:ind w:left="851" w:hanging="284"/>
        <w:rPr>
          <w:rFonts w:ascii="Times New Roman" w:hAnsi="Times New Roman" w:cs="Times New Roman"/>
          <w:b/>
          <w:bCs/>
        </w:rPr>
      </w:pPr>
      <w:r>
        <w:rPr>
          <w:rFonts w:ascii="Times New Roman" w:hAnsi="Times New Roman" w:cs="Times New Roman"/>
          <w:b/>
          <w:bCs/>
        </w:rPr>
        <w:t>Innowacyjność</w:t>
      </w:r>
    </w:p>
    <w:p w14:paraId="7A85F493">
      <w:pPr>
        <w:spacing w:after="0" w:line="276" w:lineRule="auto"/>
        <w:ind w:firstLine="708"/>
        <w:jc w:val="both"/>
        <w:rPr>
          <w:rFonts w:ascii="Times New Roman" w:hAnsi="Times New Roman" w:cs="Times New Roman"/>
          <w:lang w:eastAsia="pl-PL"/>
        </w:rPr>
      </w:pPr>
      <w:r>
        <w:rPr>
          <w:rFonts w:ascii="Times New Roman" w:hAnsi="Times New Roman" w:cs="Times New Roman"/>
          <w:szCs w:val="20"/>
        </w:rPr>
        <w:t xml:space="preserve">Elementem bazowym określającym innowacyjność regionu jest ilość podjętych działań w kierunku rozwoju nowoczesnych technologii, infrastruktury, sfery badań i rozwoju (B+R) oraz społeczeństwa informacyjnego. Każde </w:t>
      </w:r>
      <w:r>
        <w:rPr>
          <w:rFonts w:ascii="Times New Roman" w:hAnsi="Times New Roman" w:cs="Times New Roman"/>
          <w:szCs w:val="20"/>
        </w:rPr>
        <w:br w:type="textWrapping"/>
      </w:r>
      <w:r>
        <w:rPr>
          <w:rFonts w:ascii="Times New Roman" w:hAnsi="Times New Roman" w:cs="Times New Roman"/>
          <w:szCs w:val="20"/>
        </w:rPr>
        <w:t xml:space="preserve">z wymienionych działań mogło być w ostatnich latach realizowane przy dofinansowaniu w ramach Programu Operacyjnego Inteligentny Rozwój (POIR) na lata 2014–2020. W 2021 roku na terenie województwa małopolskiego podpisano umowy/wydano decyzje o dofinansowanie 1 640 projektów ze wsparciem w ramach ww. programu. Na obszarze LGD podpisano 19 umów/wydano decyzji o dofinansowanie, z czego 10 w Gminie Myślenice, 4 w Gminie Wiśniowa, 3 w Gminie Pcim oraz 2 w Gminie Sułkowice. W pozostałych gminach nie podpisano żadnej umowy/ nie wydano decyzji o dofinansowanie. </w:t>
      </w:r>
      <w:r>
        <w:rPr>
          <w:rFonts w:ascii="Times New Roman" w:hAnsi="Times New Roman" w:cs="Times New Roman"/>
          <w:lang w:eastAsia="pl-PL"/>
        </w:rPr>
        <w:t xml:space="preserve">Średni udział przedsiębiorstw innowacyjnych w ogólnej liczbie przedsiębiorstw w 2020 roku w województwie małopolskim wynosił 35,0%. Był to wzrost w stosunku do 2016 r. o 17,7 pp., wynik ten był wyższy od średniej w Polsce – 31,2% (dane GUS). </w:t>
      </w:r>
    </w:p>
    <w:p w14:paraId="000494E8">
      <w:pPr>
        <w:spacing w:after="0" w:line="276" w:lineRule="auto"/>
        <w:ind w:firstLine="708"/>
        <w:jc w:val="both"/>
        <w:rPr>
          <w:rFonts w:ascii="Times New Roman" w:hAnsi="Times New Roman" w:cs="Times New Roman"/>
        </w:rPr>
      </w:pPr>
      <w:r>
        <w:rPr>
          <w:rFonts w:ascii="Times New Roman" w:hAnsi="Times New Roman" w:cs="Times New Roman"/>
        </w:rPr>
        <w:t xml:space="preserve">Innowacyjność ma znaczący wpływ na rozwój gospodarki. Innowacyjna gospodarka jest istotnym instrumentem kształtowania wysokiej jakości życia mieszkańców oraz wzmacniania konkurencyjności regionu. </w:t>
      </w:r>
      <w:r>
        <w:rPr>
          <w:rFonts w:ascii="Times New Roman" w:hAnsi="Times New Roman" w:cs="Times New Roman"/>
        </w:rPr>
        <w:br w:type="textWrapping"/>
      </w:r>
      <w:r>
        <w:rPr>
          <w:rFonts w:ascii="Times New Roman" w:hAnsi="Times New Roman" w:cs="Times New Roman"/>
        </w:rPr>
        <w:t xml:space="preserve">W czerwcu 2021 r. Komisja Europejska opublikowała </w:t>
      </w:r>
      <w:r>
        <w:rPr>
          <w:rFonts w:ascii="Times New Roman" w:hAnsi="Times New Roman" w:cs="Times New Roman"/>
          <w:i/>
          <w:iCs/>
        </w:rPr>
        <w:t>Europejski Ranking Innowacyjności 2021</w:t>
      </w:r>
      <w:r>
        <w:rPr>
          <w:rFonts w:ascii="Times New Roman" w:hAnsi="Times New Roman" w:cs="Times New Roman"/>
        </w:rPr>
        <w:t>, który pokazuje, że wyniki Krajów Europy w zakresie innowacji poprawiają się w całej Unii Europejskiej. Od 2014 r. wyniki w zakresie innowacji wzrosły średnio o 12,5%. Zgodnie z ww. opracowaniem, najwyższą pozycję w kraju zajął region „Warszawski stołeczny” – 137. miejsce w rankingu 240 regionów Unii Europejskiej. Gminy znajdujące się na obszarze LGD Między Dalinem i Gościbią terytorialnie zaklasyfikowane są do regionu województwa małopolskiego, które w rankingu uplasowało się na 161. pozycji. Najgorzej w Polsce prezentował się region „Mazowiecki Regionalny” – 228. pozycja.</w:t>
      </w:r>
    </w:p>
    <w:p w14:paraId="4AD1322A">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 xml:space="preserve">Dla województwa małopolskiego opracowana została i przyjęta przez Zarząd Województwa Małopolskiego </w:t>
      </w:r>
      <w:r>
        <w:rPr>
          <w:rFonts w:ascii="Times New Roman" w:hAnsi="Times New Roman" w:cs="Times New Roman"/>
          <w:i/>
          <w:iCs/>
        </w:rPr>
        <w:t xml:space="preserve">Regionalna Strategia Innowacji Województwa Małopolskiego 2030 </w:t>
      </w:r>
      <w:r>
        <w:rPr>
          <w:rFonts w:ascii="Times New Roman" w:hAnsi="Times New Roman" w:cs="Times New Roman"/>
        </w:rPr>
        <w:t xml:space="preserve">opierająca się na idei tzw. inteligentnych specjalizacji. Są to obszary aktywności gospodarczej, które mają potencjał, aby sprzyjać wzrostowi gospodarczemu opartemu na innowacjach, przedsiębiorczości i konkurencyjności. W województwie małopolskim inteligentnymi specjalizacjami są: nauki o życiu </w:t>
      </w:r>
      <w:r>
        <w:rPr>
          <w:rFonts w:ascii="Times New Roman" w:hAnsi="Times New Roman" w:cs="Times New Roman"/>
          <w:i/>
          <w:iCs/>
        </w:rPr>
        <w:t>(life science)</w:t>
      </w:r>
      <w:r>
        <w:rPr>
          <w:rFonts w:ascii="Times New Roman" w:hAnsi="Times New Roman" w:cs="Times New Roman"/>
        </w:rPr>
        <w:t xml:space="preserve">, energia zrównoważona, technologie informacyjne i komunikacyjne, chemia, produkcja metali </w:t>
      </w:r>
      <w:r>
        <w:rPr>
          <w:rFonts w:ascii="Times New Roman" w:hAnsi="Times New Roman" w:cs="Times New Roman"/>
          <w:color w:val="000000" w:themeColor="text1"/>
          <w14:textFill>
            <w14:solidFill>
              <w14:schemeClr w14:val="tx1"/>
            </w14:solidFill>
          </w14:textFill>
        </w:rPr>
        <w:t>i wyrobów metalowych oraz wyrobów z mineralnych surowców niemetalicznych</w:t>
      </w:r>
      <w:r>
        <w:rPr>
          <w:rFonts w:ascii="Times New Roman" w:hAnsi="Times New Roman" w:cs="Times New Roman"/>
        </w:rPr>
        <w:t>, elektrotechnika i przemysł maszynowy, przemysły kreatywne i czasu wolnego</w:t>
      </w:r>
      <w:r>
        <w:rPr>
          <w:rFonts w:ascii="Times New Roman" w:hAnsi="Times New Roman" w:cs="Times New Roman"/>
          <w:color w:val="000000" w:themeColor="text1"/>
          <w14:textFill>
            <w14:solidFill>
              <w14:schemeClr w14:val="tx1"/>
            </w14:solidFill>
          </w14:textFill>
        </w:rPr>
        <w:t xml:space="preserve">. </w:t>
      </w:r>
    </w:p>
    <w:p w14:paraId="567E63B4">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W </w:t>
      </w:r>
      <w:r>
        <w:rPr>
          <w:rFonts w:ascii="Times New Roman" w:hAnsi="Times New Roman" w:cs="Times New Roman"/>
          <w:bCs/>
          <w:i/>
          <w:iCs/>
          <w:color w:val="000000" w:themeColor="text1"/>
          <w14:textFill>
            <w14:solidFill>
              <w14:schemeClr w14:val="tx1"/>
            </w14:solidFill>
          </w14:textFill>
        </w:rPr>
        <w:t xml:space="preserve">Strategii Rozwoju Lokalnego Kierowanego przez Społeczność LGD „Między Dalinem i Gościbią” na lata 2014–2020 </w:t>
      </w:r>
      <w:r>
        <w:rPr>
          <w:rFonts w:ascii="Times New Roman" w:hAnsi="Times New Roman" w:cs="Times New Roman"/>
          <w:color w:val="000000" w:themeColor="text1"/>
          <w14:textFill>
            <w14:solidFill>
              <w14:schemeClr w14:val="tx1"/>
            </w14:solidFill>
          </w14:textFill>
        </w:rPr>
        <w:t xml:space="preserve">zdefiniowano pojęcie innowacyjności, które oznaczało: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w:t>
      </w:r>
      <w:bookmarkStart w:id="120" w:name="_Hlk111616625"/>
      <w:r>
        <w:rPr>
          <w:rFonts w:ascii="Times New Roman" w:hAnsi="Times New Roman" w:cs="Times New Roman"/>
          <w:color w:val="000000" w:themeColor="text1"/>
          <w14:textFill>
            <w14:solidFill>
              <w14:schemeClr w14:val="tx1"/>
            </w14:solidFill>
          </w14:textFill>
        </w:rPr>
        <w:t xml:space="preserve">W </w:t>
      </w:r>
      <w:r>
        <w:rPr>
          <w:rFonts w:ascii="Times New Roman" w:hAnsi="Times New Roman" w:cs="Times New Roman"/>
          <w:i/>
          <w:iCs/>
          <w:color w:val="000000" w:themeColor="text1"/>
          <w14:textFill>
            <w14:solidFill>
              <w14:schemeClr w14:val="tx1"/>
            </w14:solidFill>
          </w14:textFill>
        </w:rPr>
        <w:t xml:space="preserve">Ewaluacji </w:t>
      </w:r>
      <w:bookmarkEnd w:id="120"/>
      <w:r>
        <w:rPr>
          <w:rFonts w:ascii="Times New Roman" w:hAnsi="Times New Roman" w:cs="Times New Roman"/>
          <w:i/>
          <w:iCs/>
          <w:color w:val="000000" w:themeColor="text1"/>
          <w14:textFill>
            <w14:solidFill>
              <w14:schemeClr w14:val="tx1"/>
            </w14:solidFill>
          </w14:textFill>
        </w:rPr>
        <w:t xml:space="preserve">zewnętrznej małopolskich lokalnych strategii rozwoju Lokalna Grupa Działania „Między Dalinem i Gościbią” </w:t>
      </w:r>
      <w:r>
        <w:rPr>
          <w:rFonts w:ascii="Times New Roman" w:hAnsi="Times New Roman" w:cs="Times New Roman"/>
          <w:color w:val="000000" w:themeColor="text1"/>
          <w14:textFill>
            <w14:solidFill>
              <w14:schemeClr w14:val="tx1"/>
            </w14:solidFill>
          </w14:textFill>
        </w:rPr>
        <w:t>jako rekomendację w zakresie innowacyjności wskazano: „być może dobrym kierunkiem byłaby realizacja projektów rozwijających i kultywujących tradycję i kulturę tego regionu z wykorzystaniem innowacyjnych metod doradczych, szkoleniowych, wydarzeń kulturalnych”</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W obecnej LSR innowacyjność będzie rozpatrywana pod kątem całego obszaru i będzie związana z realizacją koncepcji Smart Village, która sama w sobie będzie innowacją na tym terenie. Wprowadzenie takiej innowacji na obszarze LGD przyczyni się do integracji mieszkańców również międzypokoleniowej, którzy z czasem chętniej będą podejmowali sami działania na rzecz poprawy życia na obszarze, przyczyni się również do rozwoju gospodarczego poprzez cyfryzację obszaru, usług i edukacji, ponadto przyczyni się do stworzenia bezpiecznych i dostępnych dla wszystkich przestrzeni publicznych. Kolejną wartością dodaną innowacji jaką jest wdrażanie koncepcji Smart Village będzie wykorzystanie zasobów lokalnych do rozwoju obszaru.</w:t>
      </w:r>
    </w:p>
    <w:p w14:paraId="49C3CE0D">
      <w:pPr>
        <w:spacing w:after="0" w:line="276" w:lineRule="auto"/>
        <w:ind w:firstLine="708"/>
        <w:jc w:val="both"/>
        <w:rPr>
          <w:rFonts w:ascii="Times New Roman" w:hAnsi="Times New Roman" w:eastAsia="Calibri" w:cs="Times New Roman"/>
        </w:rPr>
      </w:pPr>
      <w:r>
        <w:rPr>
          <w:rFonts w:ascii="Times New Roman" w:hAnsi="Times New Roman" w:cs="Times New Roman"/>
          <w:color w:val="000000" w:themeColor="text1"/>
          <w14:textFill>
            <w14:solidFill>
              <w14:schemeClr w14:val="tx1"/>
            </w14:solidFill>
          </w14:textFill>
        </w:rPr>
        <w:t>W kontekście innowacyjności i warunków do jej rozwoju warto przeanalizować kwestię cyfryzacji, w tym dostępu do wysokiej jakości Internetu. Zgodnie z danymi Urzędu Komunikacji Elektronicznej, aktualna</w:t>
      </w:r>
      <w:r>
        <w:rPr>
          <w:rFonts w:ascii="Times New Roman" w:hAnsi="Times New Roman" w:cs="Times New Roman"/>
          <w:color w:val="000000" w:themeColor="text1"/>
          <w:vertAlign w:val="superscript"/>
          <w14:textFill>
            <w14:solidFill>
              <w14:schemeClr w14:val="tx1"/>
            </w14:solidFill>
          </w14:textFill>
        </w:rPr>
        <w:footnoteReference w:id="36"/>
      </w:r>
      <w:r>
        <w:rPr>
          <w:rFonts w:ascii="Times New Roman" w:hAnsi="Times New Roman" w:cs="Times New Roman"/>
          <w:color w:val="000000" w:themeColor="text1"/>
          <w14:textFill>
            <w14:solidFill>
              <w14:schemeClr w14:val="tx1"/>
            </w14:solidFill>
          </w14:textFill>
        </w:rPr>
        <w:t xml:space="preserve"> penetracja lokalowa 100 Mb/s</w:t>
      </w:r>
      <w:r>
        <w:rPr>
          <w:rFonts w:ascii="Times New Roman" w:hAnsi="Times New Roman" w:cs="Times New Roman"/>
          <w:color w:val="000000" w:themeColor="text1"/>
          <w:vertAlign w:val="superscript"/>
          <w14:textFill>
            <w14:solidFill>
              <w14:schemeClr w14:val="tx1"/>
            </w14:solidFill>
          </w14:textFill>
        </w:rPr>
        <w:footnoteReference w:id="37"/>
      </w:r>
      <w:r>
        <w:rPr>
          <w:rFonts w:ascii="Times New Roman" w:hAnsi="Times New Roman" w:cs="Times New Roman"/>
          <w:color w:val="000000" w:themeColor="text1"/>
          <w14:textFill>
            <w14:solidFill>
              <w14:schemeClr w14:val="tx1"/>
            </w14:solidFill>
          </w14:textFill>
        </w:rPr>
        <w:t xml:space="preserve"> dla gmin obszaru LGD jest w przeważającej części znacznie wyższa niż średnia dla Polski (75%). W większości gmin wynosi ona ponad 90%. W przypadku gmin: Myślenice, Raciechowice, Wiśniowa oraz Sułkowice wynosi 99%, w Gminie Pcim – 91%. Natomiast gorzej wygląda sytuacja w pozostałych gminach – Tokarnia i Lubień, gdzie penetracja lokalowa 100 Mb/s wynosi odpowiednio 72% i 32%. Są to wartości znacznie niższe niż w przypadku pozostałych gmin, a także niższe niż średnia dla Polski</w:t>
      </w:r>
      <w:r>
        <w:rPr>
          <w:rStyle w:val="17"/>
          <w:rFonts w:ascii="Times New Roman" w:hAnsi="Times New Roman" w:eastAsia="Calibri" w:cs="Times New Roman"/>
        </w:rPr>
        <w:footnoteReference w:id="38"/>
      </w:r>
      <w:r>
        <w:rPr>
          <w:rFonts w:ascii="Times New Roman" w:hAnsi="Times New Roman" w:eastAsia="Calibri" w:cs="Times New Roman"/>
        </w:rPr>
        <w:t xml:space="preserve">. </w:t>
      </w:r>
    </w:p>
    <w:p w14:paraId="77C4A482">
      <w:pPr>
        <w:spacing w:line="276" w:lineRule="auto"/>
        <w:ind w:firstLine="708"/>
        <w:jc w:val="both"/>
        <w:rPr>
          <w:rFonts w:ascii="Times New Roman" w:hAnsi="Times New Roman" w:eastAsia="Calibri" w:cs="Times New Roman"/>
        </w:rPr>
      </w:pPr>
      <w:r>
        <w:rPr>
          <w:rFonts w:ascii="Times New Roman" w:hAnsi="Times New Roman" w:eastAsia="Calibri" w:cs="Times New Roman"/>
        </w:rPr>
        <w:t xml:space="preserve">Biorąc pod uwagę penetrację budynkową zasięgami Internetu stacjonarnego o przepustowości co najmniej 30 Mb/s, sytuacja w województwie małopolskim i na obszarze LGD jest lepsza niż w kraju. Najwyższe wartości </w:t>
      </w:r>
      <w:r>
        <w:rPr>
          <w:rFonts w:ascii="Times New Roman" w:hAnsi="Times New Roman" w:eastAsia="Calibri" w:cs="Times New Roman"/>
        </w:rPr>
        <w:br w:type="textWrapping"/>
      </w:r>
      <w:r>
        <w:rPr>
          <w:rFonts w:ascii="Times New Roman" w:hAnsi="Times New Roman" w:eastAsia="Calibri" w:cs="Times New Roman"/>
        </w:rPr>
        <w:t>w tym zakresie osiągają gminy: Myślenice, Sułkowice, Pcim, Wiśniowa oraz Raciechowice – mieszczą się w przedziale 80,1–100,0%, Gmina Tokarnia osiąga wartości mieszczące się w przedziale 40,1–60,0%. Natomiast najgorsze wyniki w tym zakresie występują w Gminie Lubień i mieszczą się w przedziale 20,1–40,0% (mapa 2).</w:t>
      </w:r>
    </w:p>
    <w:p w14:paraId="4DE7FC9F">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21" w:name="_Toc112838944"/>
      <w:bookmarkStart w:id="122" w:name="_Toc136241312"/>
      <w:r>
        <w:rPr>
          <w:rFonts w:ascii="Times New Roman" w:hAnsi="Times New Roman" w:cs="Times New Roman"/>
          <w:b/>
          <w:bCs/>
          <w:i w:val="0"/>
          <w:iCs w:val="0"/>
          <w:color w:val="000000" w:themeColor="text1"/>
          <w:sz w:val="20"/>
          <w:szCs w:val="20"/>
          <w14:textFill>
            <w14:solidFill>
              <w14:schemeClr w14:val="tx1"/>
            </w14:solidFill>
          </w14:textFill>
        </w:rPr>
        <w:t xml:space="preserve">Mapa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Mapa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2</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w:t>
      </w:r>
      <w:r>
        <w:rPr>
          <w:rStyle w:val="44"/>
          <w:rFonts w:ascii="Times New Roman" w:hAnsi="Times New Roman" w:cs="Times New Roman"/>
          <w:b/>
          <w:bCs/>
          <w:i w:val="0"/>
          <w:iCs w:val="0"/>
          <w:color w:val="000000" w:themeColor="text1"/>
          <w:sz w:val="20"/>
          <w:szCs w:val="20"/>
          <w14:textFill>
            <w14:solidFill>
              <w14:schemeClr w14:val="tx1"/>
            </w14:solidFill>
          </w14:textFill>
        </w:rPr>
        <w:t xml:space="preserve">Penetracja budynkowa zasięgami Internetu stacjonarnego o przepustowości co najmniej 30 Mb/s – fragment mapy dla województwa </w:t>
      </w:r>
      <w:bookmarkEnd w:id="121"/>
      <w:r>
        <w:rPr>
          <w:rStyle w:val="44"/>
          <w:rFonts w:ascii="Times New Roman" w:hAnsi="Times New Roman" w:cs="Times New Roman"/>
          <w:b/>
          <w:bCs/>
          <w:i w:val="0"/>
          <w:iCs w:val="0"/>
          <w:color w:val="000000" w:themeColor="text1"/>
          <w:sz w:val="20"/>
          <w:szCs w:val="20"/>
          <w14:textFill>
            <w14:solidFill>
              <w14:schemeClr w14:val="tx1"/>
            </w14:solidFill>
          </w14:textFill>
        </w:rPr>
        <w:t>małopolskiego</w:t>
      </w:r>
      <w:bookmarkEnd w:id="122"/>
    </w:p>
    <w:p w14:paraId="57D34118">
      <w:pPr>
        <w:pStyle w:val="28"/>
        <w:ind w:left="792"/>
        <w:jc w:val="center"/>
        <w:rPr>
          <w:rFonts w:ascii="Times New Roman" w:hAnsi="Times New Roman" w:cs="Times New Roman"/>
          <w:i/>
          <w:iCs/>
          <w:color w:val="000000" w:themeColor="text1"/>
          <w:sz w:val="20"/>
          <w:szCs w:val="20"/>
          <w14:textFill>
            <w14:solidFill>
              <w14:schemeClr w14:val="tx1"/>
            </w14:solidFill>
          </w14:textFill>
        </w:rPr>
      </w:pPr>
      <w:r>
        <w:rPr>
          <w:rFonts w:cs="Times New Roman"/>
          <w:b/>
          <w:bCs/>
          <w:color w:val="000000" w:themeColor="text1"/>
          <w:sz w:val="24"/>
          <w:szCs w:val="24"/>
          <w:lang w:eastAsia="pl-PL"/>
          <w14:textFill>
            <w14:solidFill>
              <w14:schemeClr w14:val="tx1"/>
            </w14:solidFill>
          </w14:textFill>
        </w:rPr>
        <w:drawing>
          <wp:inline distT="0" distB="0" distL="0" distR="0">
            <wp:extent cx="3378835" cy="2000250"/>
            <wp:effectExtent l="0" t="0" r="0" b="0"/>
            <wp:docPr id="52" name="Obraz 5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Obraz zawierający mapa&#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03795" cy="2014680"/>
                    </a:xfrm>
                    <a:prstGeom prst="rect">
                      <a:avLst/>
                    </a:prstGeom>
                    <a:noFill/>
                    <a:ln>
                      <a:noFill/>
                    </a:ln>
                  </pic:spPr>
                </pic:pic>
              </a:graphicData>
            </a:graphic>
          </wp:inline>
        </w:drawing>
      </w:r>
    </w:p>
    <w:p w14:paraId="0ADF396C">
      <w:pPr>
        <w:pStyle w:val="28"/>
        <w:spacing w:before="240"/>
        <w:ind w:left="792"/>
        <w:jc w:val="center"/>
        <w:rPr>
          <w:rFonts w:ascii="Times New Roman" w:hAnsi="Times New Roman" w:cs="Times New Roman"/>
          <w:i/>
          <w:iCs/>
          <w:color w:val="000000" w:themeColor="text1"/>
          <w:sz w:val="20"/>
          <w:szCs w:val="20"/>
          <w14:textFill>
            <w14:solidFill>
              <w14:schemeClr w14:val="tx1"/>
            </w14:solidFill>
          </w14:textFill>
        </w:rPr>
      </w:pPr>
      <w:r>
        <w:rPr>
          <w:rFonts w:ascii="Times New Roman" w:hAnsi="Times New Roman" w:cs="Times New Roman"/>
          <w:i/>
          <w:iCs/>
          <w:color w:val="000000" w:themeColor="text1"/>
          <w:sz w:val="20"/>
          <w:szCs w:val="20"/>
          <w14:textFill>
            <w14:solidFill>
              <w14:schemeClr w14:val="tx1"/>
            </w14:solidFill>
          </w14:textFill>
        </w:rPr>
        <w:t xml:space="preserve">Źródło: </w:t>
      </w:r>
      <w:bookmarkStart w:id="123" w:name="_Hlk133484222"/>
      <w:r>
        <w:rPr>
          <w:rFonts w:ascii="Times New Roman" w:hAnsi="Times New Roman" w:cs="Times New Roman"/>
          <w:i/>
          <w:iCs/>
          <w:color w:val="000000" w:themeColor="text1"/>
          <w:sz w:val="20"/>
          <w:szCs w:val="20"/>
          <w14:textFill>
            <w14:solidFill>
              <w14:schemeClr w14:val="tx1"/>
            </w14:solidFill>
          </w14:textFill>
        </w:rPr>
        <w:t>Urząd Komunikacji Elektronicznej</w:t>
      </w: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i/>
          <w:iCs/>
          <w:color w:val="000000" w:themeColor="text1"/>
          <w:sz w:val="20"/>
          <w:szCs w:val="20"/>
          <w14:textFill>
            <w14:solidFill>
              <w14:schemeClr w14:val="tx1"/>
            </w14:solidFill>
          </w14:textFill>
        </w:rPr>
        <w:t>Raport o stanie rynku telekomunikacyjnego w Polsce w 2021 roku</w:t>
      </w:r>
      <w:bookmarkEnd w:id="123"/>
      <w:r>
        <w:rPr>
          <w:rFonts w:ascii="Times New Roman" w:hAnsi="Times New Roman" w:cs="Times New Roman"/>
          <w:i/>
          <w:iCs/>
          <w:color w:val="000000" w:themeColor="text1"/>
          <w:sz w:val="20"/>
          <w:szCs w:val="20"/>
          <w14:textFill>
            <w14:solidFill>
              <w14:schemeClr w14:val="tx1"/>
            </w14:solidFill>
          </w14:textFill>
        </w:rPr>
        <w:t>, s. 115</w:t>
      </w:r>
    </w:p>
    <w:p w14:paraId="4B9AD5DB">
      <w:pPr>
        <w:pStyle w:val="28"/>
        <w:numPr>
          <w:ilvl w:val="1"/>
          <w:numId w:val="15"/>
        </w:numPr>
        <w:spacing w:before="240"/>
        <w:ind w:left="1701" w:hanging="567"/>
        <w:rPr>
          <w:rFonts w:ascii="Times New Roman" w:hAnsi="Times New Roman" w:cs="Times New Roman"/>
          <w:b/>
          <w:bCs/>
        </w:rPr>
      </w:pPr>
      <w:r>
        <w:rPr>
          <w:rFonts w:ascii="Times New Roman" w:hAnsi="Times New Roman" w:cs="Times New Roman"/>
          <w:b/>
          <w:bCs/>
        </w:rPr>
        <w:t>Zasada równości szans i niedyskryminacji</w:t>
      </w:r>
    </w:p>
    <w:p w14:paraId="0E0AFFE3">
      <w:pPr>
        <w:spacing w:before="240" w:line="276" w:lineRule="auto"/>
        <w:ind w:firstLine="708"/>
        <w:jc w:val="both"/>
        <w:rPr>
          <w:rFonts w:ascii="Times New Roman" w:hAnsi="Times New Roman" w:cs="Times New Roman"/>
        </w:rPr>
      </w:pPr>
      <w:r>
        <w:rPr>
          <w:rFonts w:ascii="Times New Roman" w:hAnsi="Times New Roman" w:cs="Times New Roman"/>
        </w:rPr>
        <w:t>LGD poważnie podchodzi do kwestii przestrzegania zasady równości szans i niedyskryminacji, w tym dostępności dla osób z niepełnosprawnościami lub ludzi młodych oraz zasady równości kobiet i mężczyzn. W poprzedniej LSR określono grupy defaworyzowane, tj.: niepełnosprawni, osoby powyżej 50. roku życia oraz młodzież do 30. roku życia. W ramach poprzedniej LSR zrealizowano projekt współpracy</w:t>
      </w:r>
      <w:r>
        <w:rPr>
          <w:rFonts w:ascii="Times New Roman" w:hAnsi="Times New Roman" w:cs="Times New Roman"/>
          <w:i/>
          <w:iCs/>
        </w:rPr>
        <w:t xml:space="preserve"> Szlaki turystyczne szansą rozwoju obszarów wiejskich LGD „Gościńca 4 Żywiołów” oraz LGD „Między Dalinem i Gościbią”</w:t>
      </w:r>
      <w:r>
        <w:rPr>
          <w:rFonts w:ascii="Times New Roman" w:hAnsi="Times New Roman" w:cs="Times New Roman"/>
        </w:rPr>
        <w:t xml:space="preserve">, gdzie m.in. grupą odbiorców były grupy defaworyzowane. W związku z tym </w:t>
      </w:r>
      <w:bookmarkStart w:id="124" w:name="_Hlk135559468"/>
      <w:r>
        <w:rPr>
          <w:rFonts w:ascii="Times New Roman" w:hAnsi="Times New Roman" w:cs="Times New Roman"/>
        </w:rPr>
        <w:t xml:space="preserve">w obecnej LSR planuje się kontynuować aktywizację osób młodych (do 25. roku życia), a także aktywizację osób starszych, co ściśle związane jest z wnioskami z przeprowadzonej diagnozy. </w:t>
      </w:r>
      <w:bookmarkStart w:id="125" w:name="_Hlk136207680"/>
      <w:r>
        <w:rPr>
          <w:rFonts w:ascii="Times New Roman" w:hAnsi="Times New Roman" w:cs="Times New Roman"/>
        </w:rPr>
        <w:t>Jako grupę osób w niekorzystnej sytuacji, dla której przewidziano szczególne wsparcie, wskazano osoby z niepełnosprawnościami i ich opiekunów</w:t>
      </w:r>
      <w:bookmarkEnd w:id="124"/>
      <w:bookmarkEnd w:id="125"/>
      <w:r>
        <w:rPr>
          <w:rFonts w:ascii="Times New Roman" w:hAnsi="Times New Roman" w:cs="Times New Roman"/>
          <w:color w:val="000000" w:themeColor="text1"/>
          <w14:textFill>
            <w14:solidFill>
              <w14:schemeClr w14:val="tx1"/>
            </w14:solidFill>
          </w14:textFill>
        </w:rPr>
        <w:t xml:space="preserve">. </w:t>
      </w:r>
      <w:bookmarkStart w:id="126" w:name="_Hlk135652163"/>
      <w:r>
        <w:rPr>
          <w:rFonts w:ascii="Times New Roman" w:hAnsi="Times New Roman" w:cs="Times New Roman"/>
          <w:color w:val="000000" w:themeColor="text1"/>
          <w14:textFill>
            <w14:solidFill>
              <w14:schemeClr w14:val="tx1"/>
            </w14:solidFill>
          </w14:textFill>
        </w:rPr>
        <w:t>Kwestia związana z aktywizacją osób z niepełnosprawnościami oraz przystosowaniem otoczenia do ich potrzeb została poruszona na spotkaniach konsultacyjnych.</w:t>
      </w:r>
      <w:r>
        <w:rPr>
          <w:rFonts w:ascii="Times New Roman" w:hAnsi="Times New Roman" w:cs="Times New Roman"/>
        </w:rPr>
        <w:t xml:space="preserve"> </w:t>
      </w:r>
      <w:bookmarkEnd w:id="126"/>
      <w:r>
        <w:rPr>
          <w:rFonts w:ascii="Times New Roman" w:hAnsi="Times New Roman" w:cs="Times New Roman"/>
        </w:rPr>
        <w:t>Podczas wdrażania LSR upowszechniane i wdrażane będą rozwiązania innowacyjne, w tym cyfrowe, usuwające bariery rozwojowe wsi.</w:t>
      </w:r>
    </w:p>
    <w:p w14:paraId="57076C53">
      <w:pPr>
        <w:pStyle w:val="28"/>
        <w:numPr>
          <w:ilvl w:val="1"/>
          <w:numId w:val="15"/>
        </w:numPr>
        <w:spacing w:before="240"/>
        <w:ind w:left="1701" w:hanging="567"/>
        <w:rPr>
          <w:rFonts w:ascii="Times New Roman" w:hAnsi="Times New Roman" w:cs="Times New Roman"/>
          <w:b/>
          <w:bCs/>
        </w:rPr>
      </w:pPr>
      <w:r>
        <w:rPr>
          <w:rFonts w:ascii="Times New Roman" w:hAnsi="Times New Roman" w:cs="Times New Roman"/>
          <w:b/>
          <w:bCs/>
        </w:rPr>
        <w:t>Zagrożenie trwałą marginalizacją</w:t>
      </w:r>
    </w:p>
    <w:p w14:paraId="52D38338">
      <w:pPr>
        <w:spacing w:before="240" w:after="0" w:line="276" w:lineRule="auto"/>
        <w:ind w:firstLine="709"/>
        <w:jc w:val="both"/>
        <w:rPr>
          <w:rFonts w:ascii="Times New Roman" w:hAnsi="Times New Roman" w:eastAsia="Calibri" w:cs="Times New Roman"/>
        </w:rPr>
      </w:pPr>
      <w:r>
        <w:rPr>
          <w:rFonts w:ascii="Times New Roman" w:hAnsi="Times New Roman" w:eastAsia="Calibri" w:cs="Times New Roman"/>
          <w:i/>
          <w:iCs/>
        </w:rPr>
        <w:t>Krajowa Strategia Rozwoju Regionalnego 2030</w:t>
      </w:r>
      <w:r>
        <w:rPr>
          <w:rFonts w:ascii="Times New Roman" w:hAnsi="Times New Roman" w:eastAsia="Calibri" w:cs="Times New Roman"/>
        </w:rPr>
        <w:t xml:space="preserve"> (KSRR 2030) to 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 perspektywie roku 2030. Strategia ta jest zbiorem wspólnych wartości, zasad współpracy rządu i samorządów oraz partnerów społeczno-gospodarczych na rzecz rozwoju kraju i województw. Istotną częścią dokumentu jest Załącznik 1. </w:t>
      </w:r>
      <w:r>
        <w:rPr>
          <w:rFonts w:ascii="Times New Roman" w:hAnsi="Times New Roman" w:eastAsia="Calibri" w:cs="Times New Roman"/>
          <w:i/>
          <w:iCs/>
        </w:rPr>
        <w:t xml:space="preserve">Lista gmin zagrożonych trwałą marginalizacją: programowanie </w:t>
      </w:r>
      <w:r>
        <w:rPr>
          <w:rFonts w:ascii="Times New Roman" w:hAnsi="Times New Roman" w:eastAsia="Calibri" w:cs="Times New Roman"/>
          <w:i/>
          <w:iCs/>
        </w:rPr>
        <w:br w:type="textWrapping"/>
      </w:r>
      <w:r>
        <w:rPr>
          <w:rFonts w:ascii="Times New Roman" w:hAnsi="Times New Roman" w:eastAsia="Calibri" w:cs="Times New Roman"/>
          <w:i/>
          <w:iCs/>
        </w:rPr>
        <w:t>2021–2027</w:t>
      </w:r>
      <w:r>
        <w:rPr>
          <w:rFonts w:ascii="Times New Roman" w:hAnsi="Times New Roman" w:eastAsia="Calibri" w:cs="Times New Roman"/>
        </w:rPr>
        <w:t>.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i ekonomicznych.</w:t>
      </w:r>
    </w:p>
    <w:p w14:paraId="175DD7BC">
      <w:pPr>
        <w:spacing w:line="276" w:lineRule="auto"/>
        <w:ind w:firstLine="708"/>
        <w:jc w:val="both"/>
        <w:rPr>
          <w:rFonts w:ascii="Times New Roman" w:hAnsi="Times New Roman" w:eastAsia="Calibri" w:cs="Times New Roman"/>
        </w:rPr>
      </w:pPr>
      <w:r>
        <w:rPr>
          <w:rFonts w:ascii="Times New Roman" w:hAnsi="Times New Roman" w:eastAsia="Calibri" w:cs="Times New Roman"/>
        </w:rPr>
        <w:t xml:space="preserve">Żadna z gmin z obszaru LGD Między Dalinem i Gościbią nie znalazła się na powyższej liście, co oznacza, że teren obszaru LGD nie jest zagrożony marginalizacją. W pozostałej części powiatu myślenickiego także nie zidentyfikowano gmin zagrożonych trwałą marginalizacją. Na poziomie regionalnym, w </w:t>
      </w:r>
      <w:r>
        <w:rPr>
          <w:rFonts w:ascii="Times New Roman" w:hAnsi="Times New Roman" w:eastAsia="Calibri" w:cs="Times New Roman"/>
          <w:i/>
          <w:iCs/>
        </w:rPr>
        <w:t xml:space="preserve">Strategii Rozwoju Województwa „Małopolska 2030”, </w:t>
      </w:r>
      <w:r>
        <w:rPr>
          <w:rFonts w:ascii="Times New Roman" w:hAnsi="Times New Roman" w:eastAsia="Calibri" w:cs="Times New Roman"/>
        </w:rPr>
        <w:t xml:space="preserve">wyznaczone w KSRR 2030 obszary zagrożone trwałą marginalizacją na terenie województwa małopolskiego określono jako jeden z obszarów strategicznych interwencji: OSI </w:t>
      </w:r>
      <w:r>
        <w:rPr>
          <w:rFonts w:ascii="Times New Roman" w:hAnsi="Times New Roman" w:eastAsia="Calibri" w:cs="Times New Roman"/>
          <w:i/>
          <w:iCs/>
        </w:rPr>
        <w:t>Obszary zagrożone trwałą marginalizacją</w:t>
      </w:r>
      <w:r>
        <w:rPr>
          <w:rFonts w:ascii="Times New Roman" w:hAnsi="Times New Roman" w:eastAsia="Calibri" w:cs="Times New Roman"/>
        </w:rPr>
        <w:t xml:space="preserve">. </w:t>
      </w:r>
    </w:p>
    <w:p w14:paraId="0629F95A">
      <w:pPr>
        <w:spacing w:before="160" w:after="12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Wskaźnik </w:t>
      </w:r>
      <w:r>
        <w:rPr>
          <w:rFonts w:ascii="Times New Roman" w:hAnsi="Times New Roman" w:cs="Times New Roman"/>
          <w:b/>
          <w:bCs/>
          <w:i/>
          <w:iCs/>
          <w:color w:val="000000" w:themeColor="text1"/>
          <w14:textFill>
            <w14:solidFill>
              <w14:schemeClr w14:val="tx1"/>
            </w14:solidFill>
          </w14:textFill>
        </w:rPr>
        <w:t xml:space="preserve">zagrożenie trwałą marginalizacją na obszarze LSR </w:t>
      </w:r>
      <w:r>
        <w:rPr>
          <w:rFonts w:ascii="Times New Roman" w:hAnsi="Times New Roman" w:cs="Times New Roman"/>
          <w:b/>
          <w:bCs/>
          <w:color w:val="000000" w:themeColor="text1"/>
          <w14:textFill>
            <w14:solidFill>
              <w14:schemeClr w14:val="tx1"/>
            </w14:solidFill>
          </w14:textFill>
        </w:rPr>
        <w:t>za</w:t>
      </w:r>
      <w:r>
        <w:rPr>
          <w:rFonts w:ascii="Times New Roman" w:hAnsi="Times New Roman" w:cs="Times New Roman"/>
          <w:b/>
          <w:bCs/>
          <w:i/>
          <w:iCs/>
          <w:color w:val="000000" w:themeColor="text1"/>
          <w14:textFill>
            <w14:solidFill>
              <w14:schemeClr w14:val="tx1"/>
            </w14:solidFill>
          </w14:textFill>
        </w:rPr>
        <w:t xml:space="preserve"> </w:t>
      </w:r>
      <w:r>
        <w:rPr>
          <w:rFonts w:ascii="Times New Roman" w:hAnsi="Times New Roman" w:cs="Times New Roman"/>
          <w:b/>
          <w:bCs/>
          <w:color w:val="000000" w:themeColor="text1"/>
          <w14:textFill>
            <w14:solidFill>
              <w14:schemeClr w14:val="tx1"/>
            </w14:solidFill>
          </w14:textFill>
        </w:rPr>
        <w:t>2020 r.: obszar LGD osiąga 0 pkt</w:t>
      </w:r>
      <w:r>
        <w:rPr>
          <w:rStyle w:val="17"/>
          <w:rFonts w:ascii="Times New Roman" w:hAnsi="Times New Roman" w:cs="Times New Roman"/>
          <w:color w:val="000000" w:themeColor="text1"/>
          <w14:textFill>
            <w14:solidFill>
              <w14:schemeClr w14:val="tx1"/>
            </w14:solidFill>
          </w14:textFill>
        </w:rPr>
        <w:footnoteReference w:id="39"/>
      </w:r>
      <w:r>
        <w:rPr>
          <w:rFonts w:ascii="Times New Roman" w:hAnsi="Times New Roman" w:cs="Times New Roman"/>
          <w:color w:val="000000" w:themeColor="text1"/>
          <w14:textFill>
            <w14:solidFill>
              <w14:schemeClr w14:val="tx1"/>
            </w14:solidFill>
          </w14:textFill>
        </w:rPr>
        <w:t>.</w:t>
      </w:r>
    </w:p>
    <w:p w14:paraId="134FB210">
      <w:pPr>
        <w:pStyle w:val="28"/>
        <w:numPr>
          <w:ilvl w:val="0"/>
          <w:numId w:val="14"/>
        </w:numPr>
        <w:spacing w:before="240" w:line="276" w:lineRule="auto"/>
        <w:ind w:left="1134" w:hanging="357"/>
        <w:contextualSpacing w:val="0"/>
        <w:jc w:val="both"/>
        <w:outlineLvl w:val="1"/>
        <w:rPr>
          <w:rFonts w:ascii="Times New Roman" w:hAnsi="Times New Roman" w:cs="Times New Roman"/>
          <w:b/>
          <w:bCs/>
        </w:rPr>
      </w:pPr>
      <w:bookmarkStart w:id="127" w:name="_Toc135994834"/>
      <w:bookmarkStart w:id="128" w:name="_Toc135647305"/>
      <w:r>
        <w:rPr>
          <w:rFonts w:ascii="Times New Roman" w:hAnsi="Times New Roman" w:cs="Times New Roman"/>
          <w:b/>
          <w:bCs/>
        </w:rPr>
        <w:t>Analiza SWOT</w:t>
      </w:r>
      <w:bookmarkEnd w:id="127"/>
      <w:bookmarkEnd w:id="128"/>
      <w:r>
        <w:rPr>
          <w:rFonts w:ascii="Times New Roman" w:hAnsi="Times New Roman" w:cs="Times New Roman"/>
          <w:b/>
          <w:bCs/>
        </w:rPr>
        <w:t xml:space="preserve"> </w:t>
      </w:r>
    </w:p>
    <w:p w14:paraId="736EC469">
      <w:pPr>
        <w:autoSpaceDE w:val="0"/>
        <w:autoSpaceDN w:val="0"/>
        <w:adjustRightInd w:val="0"/>
        <w:spacing w:after="0" w:line="276" w:lineRule="auto"/>
        <w:ind w:firstLine="708"/>
        <w:jc w:val="both"/>
        <w:rPr>
          <w:rFonts w:ascii="Times New Roman" w:hAnsi="Times New Roman" w:cs="Times New Roman"/>
          <w:color w:val="000000"/>
        </w:rPr>
      </w:pPr>
      <w:r>
        <w:rPr>
          <w:rFonts w:ascii="Times New Roman" w:hAnsi="Times New Roman" w:cs="Times New Roman"/>
          <w:color w:val="000000"/>
        </w:rPr>
        <w:t xml:space="preserve">Analiza SWOT to jedno z najpopularniejszych i najskuteczniejszych narzędzi analitycznych wykorzystywanych we wszystkich obszarach planowania strategicznego. Jej nazwa pochodzi od akronimów angielskich słów </w:t>
      </w:r>
      <w:r>
        <w:rPr>
          <w:rFonts w:ascii="Times New Roman" w:hAnsi="Times New Roman" w:cs="Times New Roman"/>
          <w:b/>
          <w:bCs/>
          <w:i/>
          <w:iCs/>
          <w:color w:val="000000"/>
        </w:rPr>
        <w:t>S</w:t>
      </w:r>
      <w:r>
        <w:rPr>
          <w:rFonts w:ascii="Times New Roman" w:hAnsi="Times New Roman" w:cs="Times New Roman"/>
          <w:i/>
          <w:iCs/>
          <w:color w:val="000000"/>
        </w:rPr>
        <w:t xml:space="preserve">trengths </w:t>
      </w:r>
      <w:r>
        <w:rPr>
          <w:rFonts w:ascii="Times New Roman" w:hAnsi="Times New Roman" w:cs="Times New Roman"/>
          <w:color w:val="000000"/>
        </w:rPr>
        <w:t xml:space="preserve">(mocne strony), </w:t>
      </w:r>
      <w:r>
        <w:rPr>
          <w:rFonts w:ascii="Times New Roman" w:hAnsi="Times New Roman" w:cs="Times New Roman"/>
          <w:b/>
          <w:bCs/>
          <w:i/>
          <w:iCs/>
          <w:color w:val="000000"/>
        </w:rPr>
        <w:t>W</w:t>
      </w:r>
      <w:r>
        <w:rPr>
          <w:rFonts w:ascii="Times New Roman" w:hAnsi="Times New Roman" w:cs="Times New Roman"/>
          <w:i/>
          <w:iCs/>
          <w:color w:val="000000"/>
        </w:rPr>
        <w:t xml:space="preserve">eaknesses </w:t>
      </w:r>
      <w:r>
        <w:rPr>
          <w:rFonts w:ascii="Times New Roman" w:hAnsi="Times New Roman" w:cs="Times New Roman"/>
          <w:color w:val="000000"/>
        </w:rPr>
        <w:t xml:space="preserve">(słabe strony), </w:t>
      </w:r>
      <w:r>
        <w:rPr>
          <w:rFonts w:ascii="Times New Roman" w:hAnsi="Times New Roman" w:cs="Times New Roman"/>
          <w:b/>
          <w:bCs/>
          <w:i/>
          <w:iCs/>
          <w:color w:val="000000"/>
        </w:rPr>
        <w:t>O</w:t>
      </w:r>
      <w:r>
        <w:rPr>
          <w:rFonts w:ascii="Times New Roman" w:hAnsi="Times New Roman" w:cs="Times New Roman"/>
          <w:i/>
          <w:iCs/>
          <w:color w:val="000000"/>
        </w:rPr>
        <w:t xml:space="preserve">pportunities </w:t>
      </w:r>
      <w:r>
        <w:rPr>
          <w:rFonts w:ascii="Times New Roman" w:hAnsi="Times New Roman" w:cs="Times New Roman"/>
          <w:color w:val="000000"/>
        </w:rPr>
        <w:t xml:space="preserve">(szanse) i </w:t>
      </w:r>
      <w:r>
        <w:rPr>
          <w:rFonts w:ascii="Times New Roman" w:hAnsi="Times New Roman" w:cs="Times New Roman"/>
          <w:b/>
          <w:bCs/>
          <w:i/>
          <w:iCs/>
          <w:color w:val="000000"/>
        </w:rPr>
        <w:t>T</w:t>
      </w:r>
      <w:r>
        <w:rPr>
          <w:rFonts w:ascii="Times New Roman" w:hAnsi="Times New Roman" w:cs="Times New Roman"/>
          <w:i/>
          <w:iCs/>
          <w:color w:val="000000"/>
        </w:rPr>
        <w:t xml:space="preserve">hreats </w:t>
      </w:r>
      <w:r>
        <w:rPr>
          <w:rFonts w:ascii="Times New Roman" w:hAnsi="Times New Roman" w:cs="Times New Roman"/>
          <w:color w:val="000000"/>
        </w:rPr>
        <w:t>(zagrożenia)</w:t>
      </w:r>
      <w:r>
        <w:rPr>
          <w:rFonts w:ascii="Times New Roman" w:hAnsi="Times New Roman" w:cs="Times New Roman"/>
          <w:i/>
          <w:iCs/>
          <w:color w:val="000000"/>
        </w:rPr>
        <w:t xml:space="preserve">. </w:t>
      </w:r>
      <w:r>
        <w:rPr>
          <w:rFonts w:ascii="Times New Roman" w:hAnsi="Times New Roman" w:cs="Times New Roman"/>
          <w:color w:val="000000"/>
        </w:rPr>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makrootoczenia). Czynniki wewnętrzne (mocne i słabe strony) są zależne m.in. od władz lokalnych i lokalnej społeczności, natomiast czynniki zewnętrzne (szanse i zagrożenia) należące do otoczenia bliższego i dalszego są niezależne od władz danej jednostki, a także jej mieszkańców. </w:t>
      </w:r>
    </w:p>
    <w:p w14:paraId="7B71DD9D">
      <w:pPr>
        <w:autoSpaceDE w:val="0"/>
        <w:autoSpaceDN w:val="0"/>
        <w:adjustRightInd w:val="0"/>
        <w:spacing w:line="276" w:lineRule="auto"/>
        <w:ind w:firstLine="708"/>
        <w:jc w:val="both"/>
        <w:rPr>
          <w:rFonts w:ascii="Times New Roman" w:hAnsi="Times New Roman" w:eastAsia="Calibri" w:cs="Times New Roman"/>
          <w:color w:val="000000"/>
        </w:rPr>
      </w:pPr>
      <w:r>
        <w:rPr>
          <w:rFonts w:ascii="Times New Roman" w:hAnsi="Times New Roman" w:eastAsia="Calibri" w:cs="Times New Roman"/>
          <w:color w:val="000000"/>
        </w:rPr>
        <w:t>Analiza SWOT dla obszaru LGD Między Dalinem i Gościbią (tabela 19) została przeprowadzona w oparciu o dostępne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14:paraId="5A4FB869">
      <w:pPr>
        <w:pStyle w:val="9"/>
        <w:spacing w:after="0" w:line="276" w:lineRule="auto"/>
        <w:ind w:left="360"/>
        <w:jc w:val="center"/>
        <w:rPr>
          <w:rFonts w:ascii="Times New Roman" w:hAnsi="Times New Roman" w:cs="Times New Roman"/>
          <w:b/>
          <w:bCs/>
          <w:i w:val="0"/>
          <w:iCs w:val="0"/>
          <w:color w:val="000000" w:themeColor="text1"/>
          <w:sz w:val="22"/>
          <w:szCs w:val="22"/>
          <w14:textFill>
            <w14:solidFill>
              <w14:schemeClr w14:val="tx1"/>
            </w14:solidFill>
          </w14:textFill>
        </w:rPr>
      </w:pPr>
      <w:bookmarkStart w:id="129" w:name="_Toc112152419"/>
      <w:bookmarkStart w:id="130" w:name="_Toc136241406"/>
      <w:r>
        <w:rPr>
          <w:rFonts w:ascii="Times New Roman" w:hAnsi="Times New Roman" w:cs="Times New Roman"/>
          <w:b/>
          <w:bCs/>
          <w:i w:val="0"/>
          <w:iCs w:val="0"/>
          <w:color w:val="000000" w:themeColor="text1"/>
          <w:sz w:val="22"/>
          <w:szCs w:val="22"/>
          <w14:textFill>
            <w14:solidFill>
              <w14:schemeClr w14:val="tx1"/>
            </w14:solidFill>
          </w14:textFill>
        </w:rPr>
        <w:t xml:space="preserve">Tabela </w:t>
      </w:r>
      <w:r>
        <w:rPr>
          <w:rFonts w:ascii="Times New Roman" w:hAnsi="Times New Roman" w:cs="Times New Roman"/>
          <w:b/>
          <w:bCs/>
          <w:i w:val="0"/>
          <w:iCs w:val="0"/>
          <w:color w:val="000000" w:themeColor="text1"/>
          <w:sz w:val="22"/>
          <w:szCs w:val="22"/>
          <w14:textFill>
            <w14:solidFill>
              <w14:schemeClr w14:val="tx1"/>
            </w14:solidFill>
          </w14:textFill>
        </w:rPr>
        <w:fldChar w:fldCharType="begin"/>
      </w:r>
      <w:r>
        <w:rPr>
          <w:rFonts w:ascii="Times New Roman" w:hAnsi="Times New Roman" w:cs="Times New Roman"/>
          <w:b/>
          <w:bCs/>
          <w:i w:val="0"/>
          <w:iCs w:val="0"/>
          <w:color w:val="000000" w:themeColor="text1"/>
          <w:sz w:val="22"/>
          <w:szCs w:val="22"/>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2"/>
          <w:szCs w:val="22"/>
          <w14:textFill>
            <w14:solidFill>
              <w14:schemeClr w14:val="tx1"/>
            </w14:solidFill>
          </w14:textFill>
        </w:rPr>
        <w:fldChar w:fldCharType="separate"/>
      </w:r>
      <w:r>
        <w:rPr>
          <w:rFonts w:ascii="Times New Roman" w:hAnsi="Times New Roman" w:cs="Times New Roman"/>
          <w:b/>
          <w:bCs/>
          <w:i w:val="0"/>
          <w:iCs w:val="0"/>
          <w:color w:val="000000" w:themeColor="text1"/>
          <w:sz w:val="22"/>
          <w:szCs w:val="22"/>
          <w14:textFill>
            <w14:solidFill>
              <w14:schemeClr w14:val="tx1"/>
            </w14:solidFill>
          </w14:textFill>
        </w:rPr>
        <w:t>18</w:t>
      </w:r>
      <w:r>
        <w:rPr>
          <w:rFonts w:ascii="Times New Roman" w:hAnsi="Times New Roman" w:cs="Times New Roman"/>
          <w:b/>
          <w:bCs/>
          <w:i w:val="0"/>
          <w:iCs w:val="0"/>
          <w:color w:val="000000" w:themeColor="text1"/>
          <w:sz w:val="22"/>
          <w:szCs w:val="22"/>
          <w14:textFill>
            <w14:solidFill>
              <w14:schemeClr w14:val="tx1"/>
            </w14:solidFill>
          </w14:textFill>
        </w:rPr>
        <w:fldChar w:fldCharType="end"/>
      </w:r>
      <w:r>
        <w:rPr>
          <w:rFonts w:ascii="Times New Roman" w:hAnsi="Times New Roman" w:cs="Times New Roman"/>
          <w:b/>
          <w:bCs/>
          <w:i w:val="0"/>
          <w:iCs w:val="0"/>
          <w:color w:val="000000" w:themeColor="text1"/>
          <w:sz w:val="22"/>
          <w:szCs w:val="22"/>
          <w14:textFill>
            <w14:solidFill>
              <w14:schemeClr w14:val="tx1"/>
            </w14:solidFill>
          </w14:textFill>
        </w:rPr>
        <w:t xml:space="preserve"> Schemat analizy SWOT</w:t>
      </w:r>
      <w:bookmarkEnd w:id="129"/>
      <w:bookmarkEnd w:id="130"/>
    </w:p>
    <w:p w14:paraId="3F626F08">
      <w:pPr>
        <w:pStyle w:val="28"/>
        <w:spacing w:after="0"/>
        <w:ind w:left="0"/>
        <w:jc w:val="center"/>
      </w:pPr>
      <w:r>
        <w:rPr>
          <w:lang w:eastAsia="pl-PL"/>
        </w:rPr>
        <w:drawing>
          <wp:inline distT="0" distB="0" distL="0" distR="0">
            <wp:extent cx="5680710" cy="871855"/>
            <wp:effectExtent l="0" t="0" r="0"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pic:cNvPicPr>
                      <a:picLocks noChangeAspect="1"/>
                    </pic:cNvPicPr>
                  </pic:nvPicPr>
                  <pic:blipFill>
                    <a:blip r:embed="rId26"/>
                    <a:srcRect t="4082" r="1047"/>
                    <a:stretch>
                      <a:fillRect/>
                    </a:stretch>
                  </pic:blipFill>
                  <pic:spPr>
                    <a:xfrm>
                      <a:off x="0" y="0"/>
                      <a:ext cx="5716561" cy="877660"/>
                    </a:xfrm>
                    <a:prstGeom prst="rect">
                      <a:avLst/>
                    </a:prstGeom>
                    <a:ln>
                      <a:noFill/>
                    </a:ln>
                  </pic:spPr>
                </pic:pic>
              </a:graphicData>
            </a:graphic>
          </wp:inline>
        </w:drawing>
      </w:r>
    </w:p>
    <w:p w14:paraId="3E4A6C69">
      <w:pPr>
        <w:pStyle w:val="28"/>
        <w:ind w:left="360"/>
        <w:jc w:val="center"/>
        <w:rPr>
          <w:rFonts w:ascii="Times New Roman" w:hAnsi="Times New Roman" w:cs="Times New Roman"/>
          <w:i/>
          <w:iCs/>
          <w:color w:val="000000" w:themeColor="text1"/>
          <w:sz w:val="20"/>
          <w:szCs w:val="20"/>
          <w14:textFill>
            <w14:solidFill>
              <w14:schemeClr w14:val="tx1"/>
            </w14:solidFill>
          </w14:textFill>
        </w:rPr>
      </w:pPr>
      <w:r>
        <w:rPr>
          <w:rFonts w:ascii="Times New Roman" w:hAnsi="Times New Roman" w:cs="Times New Roman"/>
          <w:i/>
          <w:iCs/>
          <w:color w:val="000000" w:themeColor="text1"/>
          <w:sz w:val="20"/>
          <w:szCs w:val="20"/>
          <w14:textFill>
            <w14:solidFill>
              <w14:schemeClr w14:val="tx1"/>
            </w14:solidFill>
          </w14:textFill>
        </w:rPr>
        <w:t>Źródło: opracowanie własne</w:t>
      </w:r>
    </w:p>
    <w:p w14:paraId="482DBE34">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31" w:name="_Toc112152420"/>
      <w:bookmarkStart w:id="132" w:name="_Toc136241407"/>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19</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Analiza SWOT</w:t>
      </w:r>
      <w:bookmarkEnd w:id="131"/>
      <w:bookmarkEnd w:id="132"/>
    </w:p>
    <w:tbl>
      <w:tblPr>
        <w:tblStyle w:val="23"/>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0"/>
        <w:gridCol w:w="5101"/>
      </w:tblGrid>
      <w:tr w14:paraId="0720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shd w:val="clear" w:color="auto" w:fill="auto"/>
            <w:vAlign w:val="center"/>
          </w:tcPr>
          <w:p w14:paraId="1DE6A45D">
            <w:pPr>
              <w:spacing w:after="0" w:line="276"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MOCNE STRONY</w:t>
            </w:r>
          </w:p>
        </w:tc>
        <w:tc>
          <w:tcPr>
            <w:tcW w:w="5101" w:type="dxa"/>
            <w:shd w:val="clear" w:color="auto" w:fill="auto"/>
            <w:vAlign w:val="center"/>
          </w:tcPr>
          <w:p w14:paraId="343C4499">
            <w:pPr>
              <w:spacing w:after="0" w:line="276"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SŁABE STRONY</w:t>
            </w:r>
          </w:p>
        </w:tc>
      </w:tr>
      <w:tr w14:paraId="6D6F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04DB0805">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Stale rosnąca liczba ludności obszaru LGD.</w:t>
            </w:r>
          </w:p>
        </w:tc>
        <w:tc>
          <w:tcPr>
            <w:tcW w:w="5101" w:type="dxa"/>
          </w:tcPr>
          <w:p w14:paraId="61CF6C00">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Malejąca wartość przyrostu naturalnego mogąca </w:t>
            </w:r>
            <w:r>
              <w:rPr>
                <w:rFonts w:ascii="Times New Roman" w:hAnsi="Times New Roman" w:cs="Times New Roman"/>
                <w:sz w:val="20"/>
                <w:szCs w:val="20"/>
              </w:rPr>
              <w:br w:type="textWrapping"/>
            </w:r>
            <w:r>
              <w:rPr>
                <w:rFonts w:ascii="Times New Roman" w:hAnsi="Times New Roman" w:cs="Times New Roman"/>
                <w:sz w:val="20"/>
                <w:szCs w:val="20"/>
              </w:rPr>
              <w:t>w przyszłości negatywnie wpłynąć na kształtowanie się struktury ludności obszaru.</w:t>
            </w:r>
          </w:p>
        </w:tc>
      </w:tr>
      <w:tr w14:paraId="4554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5B54D761">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eastAsia="Times New Roman" w:cs="Times New Roman"/>
                <w:color w:val="000000"/>
                <w:sz w:val="20"/>
                <w:szCs w:val="20"/>
                <w:lang w:eastAsia="pl-PL"/>
              </w:rPr>
              <w:t xml:space="preserve">Dodatnie saldo migracji – wyższe w porównaniu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z wynikiem kraju.</w:t>
            </w:r>
          </w:p>
        </w:tc>
        <w:tc>
          <w:tcPr>
            <w:tcW w:w="5101" w:type="dxa"/>
          </w:tcPr>
          <w:p w14:paraId="60D77948">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Niski poziom przedsiębiorczości mieszkańców – niewystarczająca liczba istniejących i nowo rejestrowanych podmiotów gospodarczych.</w:t>
            </w:r>
          </w:p>
        </w:tc>
      </w:tr>
      <w:tr w14:paraId="6846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5A6CD593">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eastAsia="Times New Roman" w:cs="Times New Roman"/>
                <w:color w:val="000000"/>
                <w:sz w:val="20"/>
                <w:szCs w:val="20"/>
                <w:lang w:eastAsia="pl-PL"/>
              </w:rPr>
              <w:t>Wzrastająca liczba wydanych pozwoleń na budowę – dużo wyższa w porównaniu do województwa i kraju.</w:t>
            </w:r>
          </w:p>
        </w:tc>
        <w:tc>
          <w:tcPr>
            <w:tcW w:w="5101" w:type="dxa"/>
          </w:tcPr>
          <w:p w14:paraId="1C4A4504">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Brak przedsiębiorstw społecznych i słabo rozwinięta ekonomia społeczna oraz słaba konsolidacja </w:t>
            </w:r>
            <w:r>
              <w:rPr>
                <w:rFonts w:ascii="Times New Roman" w:hAnsi="Times New Roman" w:cs="Times New Roman"/>
                <w:sz w:val="20"/>
                <w:szCs w:val="20"/>
              </w:rPr>
              <w:br w:type="textWrapping"/>
            </w:r>
            <w:r>
              <w:rPr>
                <w:rFonts w:ascii="Times New Roman" w:hAnsi="Times New Roman" w:cs="Times New Roman"/>
                <w:sz w:val="20"/>
                <w:szCs w:val="20"/>
              </w:rPr>
              <w:t>i współdziałanie sektora pozarządowego.</w:t>
            </w:r>
          </w:p>
        </w:tc>
      </w:tr>
      <w:tr w14:paraId="459A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7179A381">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Korzystna sytuacja na rynku pracy – niższy niż </w:t>
            </w:r>
            <w:r>
              <w:rPr>
                <w:rFonts w:ascii="Times New Roman" w:hAnsi="Times New Roman" w:cs="Times New Roman"/>
                <w:sz w:val="20"/>
                <w:szCs w:val="20"/>
              </w:rPr>
              <w:br w:type="textWrapping"/>
            </w:r>
            <w:r>
              <w:rPr>
                <w:rFonts w:ascii="Times New Roman" w:hAnsi="Times New Roman" w:cs="Times New Roman"/>
                <w:sz w:val="20"/>
                <w:szCs w:val="20"/>
              </w:rPr>
              <w:t>w województwie i kraju poziom bezrobocia oraz spadek poziomu bezrobocia długoterminowego w 2021 r. stosunku do roku 2016.</w:t>
            </w:r>
          </w:p>
        </w:tc>
        <w:tc>
          <w:tcPr>
            <w:tcW w:w="5101" w:type="dxa"/>
          </w:tcPr>
          <w:p w14:paraId="62828E50">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Niedostateczna aktywność mieszkańców </w:t>
            </w:r>
            <w:r>
              <w:rPr>
                <w:rFonts w:ascii="Times New Roman" w:hAnsi="Times New Roman" w:cs="Times New Roman"/>
                <w:sz w:val="20"/>
                <w:szCs w:val="20"/>
              </w:rPr>
              <w:br w:type="textWrapping"/>
            </w:r>
            <w:r>
              <w:rPr>
                <w:rFonts w:ascii="Times New Roman" w:hAnsi="Times New Roman" w:cs="Times New Roman"/>
                <w:sz w:val="20"/>
                <w:szCs w:val="20"/>
              </w:rPr>
              <w:t xml:space="preserve">w organizacjach pozarządowych – niższa od średniej </w:t>
            </w:r>
            <w:r>
              <w:rPr>
                <w:rFonts w:ascii="Times New Roman" w:hAnsi="Times New Roman" w:cs="Times New Roman"/>
                <w:sz w:val="20"/>
                <w:szCs w:val="20"/>
              </w:rPr>
              <w:br w:type="textWrapping"/>
            </w:r>
            <w:r>
              <w:rPr>
                <w:rFonts w:ascii="Times New Roman" w:hAnsi="Times New Roman" w:cs="Times New Roman"/>
                <w:sz w:val="20"/>
                <w:szCs w:val="20"/>
              </w:rPr>
              <w:t>w województwie i kraju liczba organizacji pozarządowych w przeliczeniu na 10 tys. mieszkańców.</w:t>
            </w:r>
          </w:p>
        </w:tc>
      </w:tr>
      <w:tr w14:paraId="000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51AF5BD0">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Niższy niż w kraju i województwie udział osób korzystających ze środowiskowej pomocy społecznej.</w:t>
            </w:r>
          </w:p>
        </w:tc>
        <w:tc>
          <w:tcPr>
            <w:tcW w:w="5101" w:type="dxa"/>
          </w:tcPr>
          <w:p w14:paraId="4F620FE8">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Średni udział w podatkach stanowiących dochody budżetu państwa – podatek dochodowy od osób fizycznych i od osób prawnych niższy niż średnia </w:t>
            </w:r>
            <w:r>
              <w:rPr>
                <w:rFonts w:ascii="Times New Roman" w:hAnsi="Times New Roman" w:cs="Times New Roman"/>
                <w:sz w:val="20"/>
                <w:szCs w:val="20"/>
              </w:rPr>
              <w:br w:type="textWrapping"/>
            </w:r>
            <w:r>
              <w:rPr>
                <w:rFonts w:ascii="Times New Roman" w:hAnsi="Times New Roman" w:cs="Times New Roman"/>
                <w:sz w:val="20"/>
                <w:szCs w:val="20"/>
              </w:rPr>
              <w:t>w województwie i kraju.</w:t>
            </w:r>
          </w:p>
        </w:tc>
      </w:tr>
      <w:tr w14:paraId="404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763ECB4D">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Korzystna sytuacja w zakresie opieki nad dziećmi do lat 3 – wzrost liczby podmiotów świadczących tego typu usługi.</w:t>
            </w:r>
          </w:p>
        </w:tc>
        <w:tc>
          <w:tcPr>
            <w:tcW w:w="5101" w:type="dxa"/>
          </w:tcPr>
          <w:p w14:paraId="620A4D72">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Niższy niż w kraju i województwie udział osób </w:t>
            </w:r>
            <w:r>
              <w:rPr>
                <w:rFonts w:ascii="Times New Roman" w:hAnsi="Times New Roman" w:cs="Times New Roman"/>
                <w:sz w:val="20"/>
                <w:szCs w:val="20"/>
              </w:rPr>
              <w:br w:type="textWrapping"/>
            </w:r>
            <w:r>
              <w:rPr>
                <w:rFonts w:ascii="Times New Roman" w:hAnsi="Times New Roman" w:cs="Times New Roman"/>
                <w:sz w:val="20"/>
                <w:szCs w:val="20"/>
              </w:rPr>
              <w:t xml:space="preserve">z dostępem do sieci wodociągowej, kanalizacyjnej </w:t>
            </w:r>
            <w:r>
              <w:rPr>
                <w:rFonts w:ascii="Times New Roman" w:hAnsi="Times New Roman" w:cs="Times New Roman"/>
                <w:sz w:val="20"/>
                <w:szCs w:val="20"/>
              </w:rPr>
              <w:br w:type="textWrapping"/>
            </w:r>
            <w:r>
              <w:rPr>
                <w:rFonts w:ascii="Times New Roman" w:hAnsi="Times New Roman" w:cs="Times New Roman"/>
                <w:sz w:val="20"/>
                <w:szCs w:val="20"/>
              </w:rPr>
              <w:t>i gazowej.</w:t>
            </w:r>
          </w:p>
        </w:tc>
      </w:tr>
      <w:tr w14:paraId="1AF4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713FB62D">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Wysoki poziom pokrycia powierzchni obszaru miejscowymi planami zagospodarowania przestrzennego.</w:t>
            </w:r>
          </w:p>
        </w:tc>
        <w:tc>
          <w:tcPr>
            <w:tcW w:w="5101" w:type="dxa"/>
          </w:tcPr>
          <w:p w14:paraId="343CC8EB">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Niski i malejący współczynnik skolaryzacji, świadczący o tym, że część mieszkańców realizuje obowiązek szkolny poza obszarem.</w:t>
            </w:r>
          </w:p>
        </w:tc>
      </w:tr>
      <w:tr w14:paraId="0D90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3A975119">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Unikatowe walory przyrodniczo-krajobrazowe i czyste środowisko naturalne, w tym występowanie form ochrony przyrody.</w:t>
            </w:r>
          </w:p>
        </w:tc>
        <w:tc>
          <w:tcPr>
            <w:tcW w:w="5101" w:type="dxa"/>
          </w:tcPr>
          <w:p w14:paraId="5A0F071E">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Duże rozdrobnienie gospodarstw rolnych.</w:t>
            </w:r>
          </w:p>
        </w:tc>
      </w:tr>
      <w:tr w14:paraId="6F87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0E7A0D6D">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Ciekawa historia i dziedzictwo kulturowe obszaru.</w:t>
            </w:r>
          </w:p>
        </w:tc>
        <w:tc>
          <w:tcPr>
            <w:tcW w:w="5101" w:type="dxa"/>
          </w:tcPr>
          <w:p w14:paraId="7B61BC73">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Niewystarczająca ilość miejsc przystosowanych do potrzeb osób z niepełnosprawnościami, w tym dzieci.</w:t>
            </w:r>
          </w:p>
        </w:tc>
      </w:tr>
      <w:tr w14:paraId="4143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3E69EF11">
            <w:pPr>
              <w:pStyle w:val="28"/>
              <w:numPr>
                <w:ilvl w:val="0"/>
                <w:numId w:val="25"/>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 xml:space="preserve">Rozwinięta infrastruktura turystyczna m.in. do uprawiania sportów zimowych. </w:t>
            </w:r>
          </w:p>
        </w:tc>
        <w:tc>
          <w:tcPr>
            <w:tcW w:w="5101" w:type="dxa"/>
          </w:tcPr>
          <w:p w14:paraId="01053EB7">
            <w:pPr>
              <w:pStyle w:val="28"/>
              <w:numPr>
                <w:ilvl w:val="0"/>
                <w:numId w:val="26"/>
              </w:numPr>
              <w:spacing w:after="0" w:line="276" w:lineRule="auto"/>
              <w:ind w:left="318"/>
              <w:rPr>
                <w:rFonts w:ascii="Times New Roman" w:hAnsi="Times New Roman" w:cs="Times New Roman"/>
                <w:sz w:val="20"/>
                <w:szCs w:val="20"/>
              </w:rPr>
            </w:pPr>
            <w:r>
              <w:rPr>
                <w:rFonts w:ascii="Times New Roman" w:hAnsi="Times New Roman" w:cs="Times New Roman"/>
                <w:sz w:val="20"/>
                <w:szCs w:val="20"/>
              </w:rPr>
              <w:t>Niezadowalający poziom dostępności usług medycznych.</w:t>
            </w:r>
          </w:p>
        </w:tc>
      </w:tr>
      <w:tr w14:paraId="72E3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shd w:val="clear" w:color="auto" w:fill="auto"/>
            <w:vAlign w:val="center"/>
          </w:tcPr>
          <w:p w14:paraId="49853543">
            <w:pPr>
              <w:spacing w:after="0" w:line="276"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SZANSE</w:t>
            </w:r>
          </w:p>
        </w:tc>
        <w:tc>
          <w:tcPr>
            <w:tcW w:w="5101" w:type="dxa"/>
            <w:shd w:val="clear" w:color="auto" w:fill="auto"/>
            <w:vAlign w:val="center"/>
          </w:tcPr>
          <w:p w14:paraId="16591765">
            <w:pPr>
              <w:spacing w:after="0" w:line="276"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ZAGROŻENIA</w:t>
            </w:r>
          </w:p>
        </w:tc>
      </w:tr>
      <w:tr w14:paraId="0639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12FB981D">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Członkostwo Polski w Unii Europejskiej.</w:t>
            </w:r>
          </w:p>
        </w:tc>
        <w:tc>
          <w:tcPr>
            <w:tcW w:w="5101" w:type="dxa"/>
          </w:tcPr>
          <w:p w14:paraId="59074043">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Zmiany klimatu.</w:t>
            </w:r>
          </w:p>
        </w:tc>
      </w:tr>
      <w:tr w14:paraId="3A15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5D3B7BB2">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Cyfryzacja życia codziennego.</w:t>
            </w:r>
          </w:p>
        </w:tc>
        <w:tc>
          <w:tcPr>
            <w:tcW w:w="5101" w:type="dxa"/>
          </w:tcPr>
          <w:p w14:paraId="4E053D85">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Emigracja mieszkańców Polski.</w:t>
            </w:r>
          </w:p>
        </w:tc>
      </w:tr>
      <w:tr w14:paraId="38F5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78190E75">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Wzrost świadomości obywatelskiej, w tym poczucia tożsamości i identyfikacji z miejscem zamieszkania.</w:t>
            </w:r>
          </w:p>
        </w:tc>
        <w:tc>
          <w:tcPr>
            <w:tcW w:w="5101" w:type="dxa"/>
          </w:tcPr>
          <w:p w14:paraId="744C94D0">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Spadek zainteresowania turystyką poprzez brak możliwości ekonomicznych.</w:t>
            </w:r>
          </w:p>
        </w:tc>
      </w:tr>
      <w:tr w14:paraId="1680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4CE8105D">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Wzrost średniej długości życia.</w:t>
            </w:r>
          </w:p>
        </w:tc>
        <w:tc>
          <w:tcPr>
            <w:tcW w:w="5101" w:type="dxa"/>
          </w:tcPr>
          <w:p w14:paraId="7DC8AC21">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Atrakcyjność gospodarcza sąsiednich regionów.</w:t>
            </w:r>
          </w:p>
        </w:tc>
      </w:tr>
      <w:tr w14:paraId="5E5F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56107691">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Moda na migracje z większych miast na wieś.</w:t>
            </w:r>
          </w:p>
        </w:tc>
        <w:tc>
          <w:tcPr>
            <w:tcW w:w="5101" w:type="dxa"/>
          </w:tcPr>
          <w:p w14:paraId="50A17DAE">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 xml:space="preserve">Konsekwencje społeczne i gospodarcze związane </w:t>
            </w:r>
            <w:r>
              <w:rPr>
                <w:rFonts w:ascii="Times New Roman" w:hAnsi="Times New Roman" w:cs="Times New Roman"/>
                <w:sz w:val="20"/>
                <w:szCs w:val="20"/>
              </w:rPr>
              <w:br w:type="textWrapping"/>
            </w:r>
            <w:r>
              <w:rPr>
                <w:rFonts w:ascii="Times New Roman" w:hAnsi="Times New Roman" w:cs="Times New Roman"/>
                <w:sz w:val="20"/>
                <w:szCs w:val="20"/>
              </w:rPr>
              <w:t xml:space="preserve">z występowaniem pandemii COVID-19, wojny </w:t>
            </w:r>
            <w:r>
              <w:rPr>
                <w:rFonts w:ascii="Times New Roman" w:hAnsi="Times New Roman" w:cs="Times New Roman"/>
                <w:sz w:val="20"/>
                <w:szCs w:val="20"/>
              </w:rPr>
              <w:br w:type="textWrapping"/>
            </w:r>
            <w:r>
              <w:rPr>
                <w:rFonts w:ascii="Times New Roman" w:hAnsi="Times New Roman" w:cs="Times New Roman"/>
                <w:sz w:val="20"/>
                <w:szCs w:val="20"/>
              </w:rPr>
              <w:t>w Ukrainie i ewentualnych innych nieprzewidzianych wydarzeń.</w:t>
            </w:r>
          </w:p>
        </w:tc>
      </w:tr>
      <w:tr w14:paraId="3753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099A8C3A">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Popularyzacja aktywnej formy spędzania czasu wolnego i rozwój turystyki krajowej.</w:t>
            </w:r>
          </w:p>
        </w:tc>
        <w:tc>
          <w:tcPr>
            <w:tcW w:w="5101" w:type="dxa"/>
          </w:tcPr>
          <w:p w14:paraId="09024665">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Wykluczenie cyfrowe.</w:t>
            </w:r>
          </w:p>
        </w:tc>
      </w:tr>
      <w:tr w14:paraId="5FA4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1028DA45">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Wzrost zainteresowania środowiskiem naturalnym, bogactwem obszarów przyrodniczych w Polsce.</w:t>
            </w:r>
          </w:p>
        </w:tc>
        <w:tc>
          <w:tcPr>
            <w:tcW w:w="5101" w:type="dxa"/>
          </w:tcPr>
          <w:p w14:paraId="0A4A4E27">
            <w:pPr>
              <w:pStyle w:val="28"/>
              <w:numPr>
                <w:ilvl w:val="0"/>
                <w:numId w:val="28"/>
              </w:numPr>
              <w:spacing w:after="0" w:line="276" w:lineRule="auto"/>
              <w:ind w:left="325"/>
              <w:rPr>
                <w:rFonts w:ascii="Times New Roman" w:hAnsi="Times New Roman" w:cs="Times New Roman"/>
                <w:sz w:val="20"/>
                <w:szCs w:val="20"/>
              </w:rPr>
            </w:pPr>
            <w:r>
              <w:rPr>
                <w:rFonts w:ascii="Times New Roman" w:hAnsi="Times New Roman" w:cs="Times New Roman"/>
                <w:sz w:val="20"/>
                <w:szCs w:val="20"/>
              </w:rPr>
              <w:t>Wzrost kosztów życia mieszkańców obszaru.</w:t>
            </w:r>
          </w:p>
        </w:tc>
      </w:tr>
      <w:tr w14:paraId="59D1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0" w:type="dxa"/>
          </w:tcPr>
          <w:p w14:paraId="5628E951">
            <w:pPr>
              <w:pStyle w:val="28"/>
              <w:numPr>
                <w:ilvl w:val="0"/>
                <w:numId w:val="27"/>
              </w:numPr>
              <w:spacing w:after="0" w:line="276" w:lineRule="auto"/>
              <w:ind w:left="306"/>
              <w:rPr>
                <w:rFonts w:ascii="Times New Roman" w:hAnsi="Times New Roman" w:cs="Times New Roman"/>
                <w:sz w:val="20"/>
                <w:szCs w:val="20"/>
              </w:rPr>
            </w:pPr>
            <w:r>
              <w:rPr>
                <w:rFonts w:ascii="Times New Roman" w:hAnsi="Times New Roman" w:cs="Times New Roman"/>
                <w:sz w:val="20"/>
                <w:szCs w:val="20"/>
              </w:rPr>
              <w:t xml:space="preserve">Położenie w niedalekiej odległości od Aglomeracji Krakowskiej i portu lotniczego w Balicach. </w:t>
            </w:r>
          </w:p>
        </w:tc>
        <w:tc>
          <w:tcPr>
            <w:tcW w:w="5101" w:type="dxa"/>
          </w:tcPr>
          <w:p w14:paraId="7A8BA1F6">
            <w:pPr>
              <w:spacing w:after="0" w:line="276" w:lineRule="auto"/>
              <w:rPr>
                <w:rFonts w:ascii="Times New Roman" w:hAnsi="Times New Roman" w:cs="Times New Roman"/>
                <w:sz w:val="20"/>
                <w:szCs w:val="20"/>
              </w:rPr>
            </w:pPr>
          </w:p>
        </w:tc>
      </w:tr>
    </w:tbl>
    <w:p w14:paraId="4FE580DA">
      <w:pPr>
        <w:jc w:val="center"/>
        <w:rPr>
          <w:rFonts w:ascii="Times New Roman" w:hAnsi="Times New Roman" w:cs="Times New Roman"/>
          <w:i/>
          <w:iCs/>
          <w:color w:val="000000" w:themeColor="text1"/>
          <w:sz w:val="20"/>
          <w:szCs w:val="20"/>
          <w14:textFill>
            <w14:solidFill>
              <w14:schemeClr w14:val="tx1"/>
            </w14:solidFill>
          </w14:textFill>
        </w:rPr>
      </w:pPr>
      <w:r>
        <w:rPr>
          <w:rFonts w:ascii="Times New Roman" w:hAnsi="Times New Roman" w:cs="Times New Roman"/>
          <w:i/>
          <w:iCs/>
          <w:color w:val="000000" w:themeColor="text1"/>
          <w:sz w:val="20"/>
          <w:szCs w:val="20"/>
          <w14:textFill>
            <w14:solidFill>
              <w14:schemeClr w14:val="tx1"/>
            </w14:solidFill>
          </w14:textFill>
        </w:rPr>
        <w:t>Źródło: opracowanie własne</w:t>
      </w:r>
    </w:p>
    <w:p w14:paraId="328D05DC">
      <w:pPr>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Wnioski z analizy SWOT</w:t>
      </w:r>
    </w:p>
    <w:p w14:paraId="2AC9B2C1">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Obszar LGD Między Dalinem i Gościbią posiada ukierunkowaną tożsamość lokalną mieszkańców, wynikającą ze wspólnych tradycji, dziedzictwa kulturowego i historii. Charakterystyczne wydarzenia, elementy kultury folklorystycznej oraz położenie sprawiają, że jest on spójną jednostką pod względem tożsamości lokalnej. Biorąc pod uwagę inne aspekty funkcjonowania, można wskazać mocne i słabe strony oraz szanse i zagrożenia, które w największym stopniu determinują zakres podejmowanych działań.</w:t>
      </w:r>
    </w:p>
    <w:p w14:paraId="16DB63BE">
      <w:pPr>
        <w:spacing w:after="0" w:line="276" w:lineRule="auto"/>
        <w:ind w:firstLine="709"/>
        <w:jc w:val="both"/>
        <w:rPr>
          <w:rFonts w:ascii="Times New Roman" w:hAnsi="Times New Roman" w:cs="Times New Roman"/>
          <w:color w:val="000000"/>
        </w:rPr>
      </w:pPr>
      <w:r>
        <w:rPr>
          <w:rFonts w:ascii="Times New Roman" w:hAnsi="Times New Roman" w:cs="Times New Roman"/>
          <w:color w:val="000000"/>
        </w:rPr>
        <w:t xml:space="preserve">Aktualna sytuacja demograficzna kształtuje się na tym terenie korzystnie, ponieważ systematycznie wzrasta liczba mieszkańców, a analizowany obszar charakteryzuje się dodatnim saldem migracji w porównaniu do wyniku województwa i kraju. Niepokojący jest jednak poziom przyrostu naturalnego, który w 2021 roku osiągnął wartość 0, </w:t>
      </w:r>
      <w:r>
        <w:rPr>
          <w:rFonts w:ascii="Times New Roman" w:hAnsi="Times New Roman" w:cs="Times New Roman"/>
          <w:color w:val="000000"/>
        </w:rPr>
        <w:br w:type="textWrapping"/>
      </w:r>
      <w:r>
        <w:rPr>
          <w:rFonts w:ascii="Times New Roman" w:hAnsi="Times New Roman" w:cs="Times New Roman"/>
          <w:color w:val="000000"/>
        </w:rPr>
        <w:t xml:space="preserve">i był znacznie niższy niż w latach poprzednich, co może oznaczać, że w przyszłości negatywna tendencja będzie się utrzymywać. Taki stan przekłada się na kształtowanie się piramidy płci i wieku, a w konsekwencji w przyszłości może doprowadzić do pogłębienia się wskaźników obciążenia demograficznego w gminach. Niemniej jednak aktualnie widoczna jest tendencja oznaczająca stały wzrost liczby ludności na obszarze LGD, co można również zauważyć obserwując wskaźnik wydanych pozwoleń na budowę, który w ostatnim roku znacząco wzrósł (głównie dzięki gminom Wiśniowa, Raciechowice oraz Sułkowice). Wpływ na taki stan rzeczy może mieć stosunkowo niewielka odległość od aglomeracji krakowskiej, portu lotniczego, przy jednoczesnym występowaniu ewidentnych walorów krajobrazowo-przyrodniczych. Pomimo tego, że województwo małopolskie znajduje się w czołówce, jeśli chodzi o dostęp do szybkiego Internetu, należy pamiętać o zróżnicowaniu w poziomie dostępu i jakości Internetu występującego na jego terenie. Na jakość życia, pracy i przebywania w danym miejscu duży wpływ ma jakość środowiska i czyste powietrze. Zagrożenia wynikające z zanieczyszczeń środowiska wywołanych poprzez niską emisję można niwelować. Należy zwiększać świadomość ekologiczną wśród mieszkańców. Dla miejsc takich jak gminy LGD bardzo ważne jest też dalsze wzmacnianie lokalnej tożsamości i budowanie więzi społecznych oraz zachęcanie do zawiązywania partnerstw i realizacji inicjatyw oddolnych. </w:t>
      </w:r>
    </w:p>
    <w:p w14:paraId="798E2A64">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Rosnące wskaźniki gospodarcze pokazują, że poziom przedsiębiorczości wśród mieszkańców obszaru jest zadowalający, niemniej jednak na obszarze LGD w latach 2020–2021 nastąpił spadek liczby nowo powstających podmiotów, co dla kształtowania się poziomu bezrobocia oraz przedsiębiorczości mieszkańców może przynieść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przyszłości negatywne efekty. Należy podjąć działania niwelujące tę niekorzystną sytuację poprzez aktywizację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i zachęcanie mieszkańców obszaru do rozpoczynania działalności gospodarczej i tworzenia miejsc pracy.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przypadku obszaru gmin LGD istotna jest aktywizacja bezrobotnych kobiet – pozytywną tendencją jest tworzenie podmiotów świadczących usług opieki nad dziećmi do 3 lat, jednak na terenie obszaru nadal są gminy, w których nie funkcjonuje żaden podmiot świadczący tego typu usługi, co może negatywnie wpływać na aktywność zawodową kobiet, ponieważ w przeważającej części to kobiety dbają o dzieci i rodzinę. Istotne jest zatem takie kierunkowanie rozwoju, które pozwoli kobietom na podjęcie pracy – dostęp do opieki nad dziećmi czy podnoszenie kwalifikacji, co przyczyni się do wzrostu ich aktywności w tym zakresie. </w:t>
      </w:r>
    </w:p>
    <w:p w14:paraId="5DFD2B46">
      <w:pPr>
        <w:spacing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Niewątpliwą zaletą i głównym atutem regionu LGD Między Dalinem i Gościbią jest jego położenie.</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 xml:space="preserve">W obszarze środowiskowo-geograficznym atutami są niepowtarzalne zasoby przyrodnicze w postaci pasm Pogórza Zachodniobeskidzkiego oraz Beskidów Zachodnich, a także wszystkich form ochrony przyrody, które powodują, że gminy znajdujące się w obszarze LGD stają się atrakcyjnymi destynacjami dla turystów. Atutem jest również położenie w korzystnej odległości od Krakowa. Sąsiedztwo jednego z największych miast Polski może mieć istotny wpływ na rozwój obszaru poprzez gospodarcze wykorzystanie walorów naturalnych i kulturowych. Turyści mogą korzystać z oferty wypoczynkowej i poznać przyrodę oraz walory wsi małopolskiej, a także niepowtarzalny klimat tradycji kultywowanej przez starsze pokolenia. Istotnym działaniem dla rozwoju turystyki i znaczenia kulturowego obszaru jest promocja lokalnej kultury i tradycji poprzez różnorodne formy przekazu np. organizowanie imprez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o charakterze lokalnym.</w:t>
      </w:r>
    </w:p>
    <w:p w14:paraId="434117D3">
      <w:pPr>
        <w:pStyle w:val="28"/>
        <w:numPr>
          <w:ilvl w:val="0"/>
          <w:numId w:val="14"/>
        </w:numPr>
        <w:spacing w:before="240" w:line="276" w:lineRule="auto"/>
        <w:ind w:left="1134" w:hanging="357"/>
        <w:contextualSpacing w:val="0"/>
        <w:jc w:val="both"/>
        <w:outlineLvl w:val="1"/>
        <w:rPr>
          <w:rFonts w:ascii="Times New Roman" w:hAnsi="Times New Roman" w:cs="Times New Roman"/>
          <w:b/>
          <w:bCs/>
        </w:rPr>
      </w:pPr>
      <w:bookmarkStart w:id="133" w:name="_Toc135647306"/>
      <w:bookmarkStart w:id="134" w:name="_Toc135994835"/>
      <w:r>
        <w:rPr>
          <w:rFonts w:ascii="Times New Roman" w:hAnsi="Times New Roman" w:cs="Times New Roman"/>
          <w:b/>
          <w:bCs/>
        </w:rPr>
        <w:t>Wnioski z diagnozy</w:t>
      </w:r>
      <w:bookmarkEnd w:id="133"/>
      <w:bookmarkEnd w:id="134"/>
      <w:r>
        <w:rPr>
          <w:rFonts w:ascii="Times New Roman" w:hAnsi="Times New Roman" w:cs="Times New Roman"/>
          <w:b/>
          <w:bCs/>
        </w:rPr>
        <w:t xml:space="preserve"> </w:t>
      </w:r>
    </w:p>
    <w:p w14:paraId="518BF9D6">
      <w:pPr>
        <w:spacing w:after="0" w:line="276" w:lineRule="auto"/>
        <w:ind w:firstLine="708"/>
        <w:jc w:val="both"/>
        <w:rPr>
          <w:rFonts w:ascii="Times New Roman" w:hAnsi="Times New Roman" w:cs="Times New Roman"/>
        </w:rPr>
      </w:pPr>
      <w:r>
        <w:rPr>
          <w:rFonts w:ascii="Times New Roman" w:hAnsi="Times New Roman" w:cs="Times New Roman"/>
        </w:rPr>
        <w:t>Na podstawie danych statystycznych, opinii mieszkańców wyrażonych w ankietach oraz spotkań z nimi określono problemy oraz potencjały, które w największym stopniu oddziałują bądź mogą oddziaływać na obszar LGD. Słabe strony oraz zagrożenia powinny być pokonywane przez mocne strony oraz szanse rozwoju, które stoją przed obszarem. Na ich podstawie zostały wysunięte wnioski na temat obszaru LGD, które ukazują również potrzeby mieszkańców.</w:t>
      </w:r>
    </w:p>
    <w:p w14:paraId="01FC6AC7">
      <w:pPr>
        <w:spacing w:after="0" w:line="276" w:lineRule="auto"/>
        <w:ind w:firstLine="708"/>
        <w:jc w:val="both"/>
        <w:rPr>
          <w:rFonts w:ascii="Times New Roman" w:hAnsi="Times New Roman" w:cs="Times New Roman"/>
        </w:rPr>
      </w:pPr>
      <w:r>
        <w:rPr>
          <w:rFonts w:ascii="Times New Roman" w:hAnsi="Times New Roman" w:cs="Times New Roman"/>
        </w:rPr>
        <w:t>Niewątpliwie przy określaniu potrzeb rozwojowych obszaru należy szczególną uwagę zwrócić na strukturę wieku.</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rPr>
        <w:t>Dane demograficzne wskazują, że na obszarze LGD społeczeństwo stopniowo się starzeje. Udział najstarszych grup ludności wzrósł w badanym okresie, przy jednoczesnym spadku udziału ludności w wieku produkcyjnym i względnie niewielkiemu spadkowi liczby ludności w wieku przedprodukcyjnym (przy czym spadek  ten był nieznaczny, a udział osób w wieku przedprodukcyjnym zawsze był korzystniejszy niż średnio w województwie i kraju). Wysokość przyrostu naturalnego na obszarze LGD Między Dalinem i Gościbią w analizowanym okresie systematycznie spadała, a w 2021 r. osiągnęła wartość równą 0,0. Warto zwrócić uwagę, że znaczny spadek przyrostu naturalnego wystąpił w latach 2020–2021, które były szczególne pod względem zmian w sytuacji demograficznej, ponieważ w związku z pandemią COVID-19 wzrosła liczba zgonów, co w konsekwencji miało znaczący wpływ na kształtowanie się poziomu przyrostu naturalnego. Należy zauważyć, że w 2021 r. średnia dla obszaru LGD (0,0) była nadal korzystniejsza w porównaniu do średniej wojewódzkiej (-2,2) oraz średniej krajowej (-5,0). Zjawiskiem, które ma wpływ na kształtowanie się liczby ludności jest również saldo migracji, które obrazuje wskaźnik salda migracji na 1 000 mieszkańców. W przypadku średniej dla gmin obszaru LGD, poziom tego wskaźnika w całym analizowanym okresie wahał się, natomiast w każdym roku osiągał wartość dodatnią, a w latach 2017–2020 wyższą bądź równą średniej dla województwa i kraju. W 2021 r. wskaźnik salda migracji na obszarze zmalał w stosunku do roku poprzedniego, osiągając poziom 1,0 – była to wartość wyższa niż średnia krajowa, natomiast po raz pierwszy od 2017 roku niższa od średniej dla województwa.</w:t>
      </w:r>
    </w:p>
    <w:p w14:paraId="4B98F436">
      <w:pPr>
        <w:spacing w:after="0" w:line="276" w:lineRule="auto"/>
        <w:ind w:firstLine="708"/>
        <w:jc w:val="both"/>
        <w:rPr>
          <w:rFonts w:ascii="Times New Roman" w:hAnsi="Times New Roman" w:cs="Times New Roman"/>
        </w:rPr>
      </w:pPr>
      <w:r>
        <w:rPr>
          <w:rFonts w:ascii="Times New Roman" w:hAnsi="Times New Roman" w:cs="Times New Roman"/>
        </w:rPr>
        <w:t xml:space="preserve">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co jest pozytywnym zjawiskiem, ponieważ oznacza, że obszar LGD systematycznie „goni” województwo i resztę kraju.  Również w ciągu ostatnich lat obserwuje się systematyczny spadek bezrobocia (wyjątek stanowił rok 2020, kiedy wystąpił nagły wzrost liczby bezrobotnych – wzrost wystąpił zarówno w województwie i kraju). Należy zwrócić uwagę na spadek poziomu bezrobocia długoterminowego – wartość wskaźnika </w:t>
      </w:r>
      <w:r>
        <w:rPr>
          <w:rFonts w:ascii="Times New Roman" w:hAnsi="Times New Roman" w:cs="Times New Roman"/>
          <w:i/>
          <w:iCs/>
        </w:rPr>
        <w:t xml:space="preserve">udział długotrwale bezrobotnych w liczbie bezrobotnych ogółem </w:t>
      </w:r>
      <w:r>
        <w:rPr>
          <w:rFonts w:ascii="Times New Roman" w:hAnsi="Times New Roman" w:cs="Times New Roman"/>
        </w:rPr>
        <w:t>w latach 2016–2021 wahała się, przy czym ostatecznie w 2021 roku w stosunku do roku 2016 nastąpił spadek wartości wskaźnika o 2,4 pp., podczas gdy tendencja w województwie i kraju była odwrotna – nastąpił wzrost bezrobocia długoterminowego – odpowiednio o 1,7 pp. i 0,6 pp.</w:t>
      </w:r>
    </w:p>
    <w:p w14:paraId="45DDA3FF">
      <w:pPr>
        <w:spacing w:after="0" w:line="276" w:lineRule="auto"/>
        <w:ind w:firstLine="708"/>
        <w:jc w:val="both"/>
        <w:rPr>
          <w:rFonts w:ascii="Times New Roman" w:hAnsi="Times New Roman" w:cs="Times New Roman"/>
        </w:rPr>
      </w:pPr>
      <w:r>
        <w:rPr>
          <w:rFonts w:ascii="Times New Roman" w:hAnsi="Times New Roman" w:cs="Times New Roman"/>
        </w:rPr>
        <w:t xml:space="preserve">Aktywność lokalnej społeczności i liczba efektywnie działających formalnych grup mieszkańców stopniowo rosła na przestrzeni analizowanych lat, liczba zarejestrowanych organizacji pozarządowych w przeliczeniu na 10 tys. mieszkańców w 2021 r. i każdym poprzednim była dla LGD niższa niż średnia dla województwa małopolskiego i Polski. Ponadto mieszkańcy na spotkaniach zauważali, że występują braki w aktywności społecznej oraz integracji różnych podmiotów. </w:t>
      </w:r>
    </w:p>
    <w:p w14:paraId="62E93916">
      <w:pPr>
        <w:spacing w:after="0" w:line="276" w:lineRule="auto"/>
        <w:ind w:firstLine="708"/>
        <w:jc w:val="both"/>
        <w:rPr>
          <w:rFonts w:ascii="Times New Roman" w:hAnsi="Times New Roman" w:cs="Times New Roman"/>
        </w:rPr>
      </w:pPr>
      <w:r>
        <w:rPr>
          <w:rFonts w:ascii="Times New Roman" w:hAnsi="Times New Roman" w:cs="Times New Roman"/>
        </w:rPr>
        <w:t>Obszar LGD posiada bogatą historię i dziedzictwo kulturowe, w tym znaczną ilość obiektów zabytkowych. Spójność kulturowa mająca swoje korzenie w historii obszaru znajduje wyraz w istniejących obiektach kultury materialnej, są to zarówno kościoły i cmentarze, jak również pomniki oraz parki. W rejestrze zabytków Narodowego Instytutu Dziedzictwa znajduje się wiele cennych zabytków zlokalizowanych na obszarze LGD.</w:t>
      </w:r>
    </w:p>
    <w:p w14:paraId="39F952A8">
      <w:pPr>
        <w:spacing w:after="0" w:line="276" w:lineRule="auto"/>
        <w:ind w:firstLine="708"/>
        <w:jc w:val="both"/>
        <w:rPr>
          <w:rFonts w:ascii="Times New Roman" w:hAnsi="Times New Roman" w:cs="Times New Roman"/>
        </w:rPr>
      </w:pPr>
      <w:r>
        <w:rPr>
          <w:rFonts w:ascii="Times New Roman" w:hAnsi="Times New Roman" w:cs="Times New Roman"/>
        </w:rPr>
        <w:t>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dzieci i młodzieży pozwolą im również na większą integrację i zbudowanie tożsamości lokalnej. Działania ukierunkowane na dzieci i młodzież poprzez zapewnienie im opieki, rozwój ich pasji i talentów oraz wyrównanie szans edukacyjnych mogą przyczynić się również do zwiększenia zainteresowania obszarem jako miejscem do życia, z dostępem do usług na takim samym poziomie jak w większych miastach, szczególnie w zakresie edukacji dzieci. Działania będą też ukierunkowane na zwiększenie świadomości obywatelskiej młodzieży oraz aktywności w życiu lokalnej społeczności, tak aby z czasem zaczęli przejmować inicjatywę i sami kreować miejsce, w którym żyją. Niewątpliwie do rozwoju ludzi młodych przyczyni się wprowadzanie innowacyjnych rozwiązań związanych z zagospodarowaniem czasu wolnego.</w:t>
      </w:r>
    </w:p>
    <w:p w14:paraId="020A8AEB">
      <w:pPr>
        <w:spacing w:after="0" w:line="276" w:lineRule="auto"/>
        <w:ind w:firstLine="708"/>
        <w:jc w:val="both"/>
        <w:rPr>
          <w:rFonts w:ascii="Times New Roman" w:hAnsi="Times New Roman" w:cs="Times New Roman"/>
        </w:rPr>
      </w:pPr>
      <w:r>
        <w:rPr>
          <w:rFonts w:ascii="Times New Roman" w:hAnsi="Times New Roman" w:cs="Times New Roman"/>
        </w:rPr>
        <w:t xml:space="preserve">Na rozwój obszaru ma również wpływ mocny kapitał społeczny i zaangażowanie mieszkańców w życie swoich społeczności. Na obszarze działają stowarzyszenia, które należy wspierać i umacniać do dalszego rozwoju. Dlatego bardzo ważne będzie skierowanie działań integrujących i wzmacniających tożsamość lokalną oraz kreujących lokalnych liderów życia społecznego i publicznego oraz wzmacniających działalność organizacji pozarządowych. Zaangażowana i kreatywna społeczność oraz aktywni liderzy działający na tym obszarze są szansą na wzrost popularności oddolnych inicjatyw, odpowiedzialności społecznej i tworzenia wielosektorowych partnerstw. Inicjatywy oddolne powinny być wspierane zarówno przez LGD jak i lokalne samorządy, tak aby wykorzystać pomysłowość i innowacyjność mieszkańców, którzy będą już nie tylko partycypować w podejmowaniu decyzji o obszarze, ale również zaczną sami go zmieniać. Zwiększenie integracji między społecznością lokalną przyczyni się także do współpracy zarówno organizacji pozarządowych jak i nieformalnych grup mieszkańców z innymi społecznościami w kraju, co wpłynie na promocję tradycji i kultury regionu poza granicami LGD i województwa, a także pozwoli na poznanie innych regionów oraz na wymianę dobrych praktyk. </w:t>
      </w:r>
    </w:p>
    <w:p w14:paraId="74F20FBC">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Istotną rolę pod względem rozwoju obszaru odgrywa środowisko przyrodnicze. W celu ochrony środowiska i ograniczania niskiej emisji, koniczne będzie wdrażanie działań mających na celu szanowanie i racjonalne wykorzystywanie zasobów środowiskowych, a także udostępnianie ich mieszkańcom i przyjezdnym. Uświadamianie społeczeństwa w zakresie korzystania z technologii oszczędnych energetycznie powinno być jednym z wielu zadań realizowanych przez LGD. Istotne jest też, aby edukować społeczeństwo szerzej w zakresie ekologii, a także świadomej konsumpcji. Tego typu działania są istotne nie tylko ze środowiskowego punktu widzenia, ale też konieczne ze względu na mieszkańców, którym należy zapewnić dostęp do podstawowej infrastruktury i usług.</w:t>
      </w:r>
    </w:p>
    <w:p w14:paraId="6F5FFF2D">
      <w:pPr>
        <w:spacing w:after="0" w:line="276" w:lineRule="auto"/>
        <w:ind w:firstLine="708"/>
        <w:jc w:val="both"/>
        <w:rPr>
          <w:rFonts w:ascii="Times New Roman" w:hAnsi="Times New Roman" w:cs="Times New Roman"/>
          <w:i/>
          <w:iCs/>
        </w:rPr>
      </w:pPr>
      <w:r>
        <w:rPr>
          <w:rFonts w:ascii="Times New Roman" w:hAnsi="Times New Roman" w:cs="Times New Roman"/>
        </w:rPr>
        <w:t xml:space="preserve">Jako grupę osób w niekorzystnej sytuacji zdefiniowano osoby niepełnosprawne oraz ich opiekunów, ze względu na potrzeby zgłaszane na spotkaniach konsultacyjnych na etapie opracowania LSR oraz w badaniach ankietowych. Osoby te mierzą się z problem dostępności, która jest jednym z podstawowych warunków uczestnictwa osób niepełnosprawnych w życiu społecznym i zawodowym. Stanowi ona o możliwości wykonywania ról społecznych i prowadzenia niezależnego życia tej grupy osób. Uczestnicy spotkań zwrócili uwagę, że potrzeby osób z niepełnosprawnościami i ich opiekunów są duże i wymagają znacznych nakładów pieniężnych, jednak realizacja nawet niewielkich działań przyczyni się do poprawy jakości ich życia. Jednym z wymienianych problemów osób z niepełnosprawnościami i ich opiekunów są przeszkody architektoniczne oraz niedostosowana do ich potrzeb infrastruktura. Szczególe braki zauważono w infrastrukturze dla dzieci. W związku z tym uznano, że w kolejnych latach działania będą kierowane na dostosowanie ogólnodostępnej infrastruktury publicznej dla osób z niepełnosprawnościami i ich opiekunów, co niewątpliwie będzie innowacją na obszarze. Również działania zwiększające dostęp do oferty edukacyjnej, kulturalnej i integracyjnej będą kierowane do osób z niepełnosprawnościami i ich opiekunów. Należy podejmować wszelkie działania, które przyczynią się do integracji i aktywizacji osób niepełnosprawnych oraz wzmocnią potencjał podmiotów działających na ich rzecz. Bardzo ważne będą działania w zakresie poprawy dostępu do małej infrastruktury publicznej z udogodnieniami dla osób z niepełnosprawnościami. Przedsięwzięcia, które będą skierowane do osób z niepełnosprawnościami i ich opiekunów wpisują się w założenia </w:t>
      </w:r>
      <w:r>
        <w:rPr>
          <w:rFonts w:ascii="Times New Roman" w:hAnsi="Times New Roman" w:cs="Times New Roman"/>
          <w:i/>
          <w:iCs/>
        </w:rPr>
        <w:t>Programu Działań Na Rzecz Osób Niepełnosprawnych w Powiecie Myślenickim na lata 2021–2026</w:t>
      </w:r>
      <w:r>
        <w:rPr>
          <w:rFonts w:ascii="Times New Roman" w:hAnsi="Times New Roman" w:cs="Times New Roman"/>
        </w:rPr>
        <w:t xml:space="preserve">, a w szczególności w cel strategiczny 2 </w:t>
      </w:r>
      <w:r>
        <w:rPr>
          <w:rFonts w:ascii="Times New Roman" w:hAnsi="Times New Roman" w:cs="Times New Roman"/>
          <w:i/>
          <w:iCs/>
        </w:rPr>
        <w:t>Zapewnienie wysokiej jakości życia osób z niepełnosprawnościami na terenie powiatu myślenickiego.</w:t>
      </w:r>
    </w:p>
    <w:p w14:paraId="72CDC869">
      <w:pPr>
        <w:spacing w:after="0" w:line="276" w:lineRule="auto"/>
        <w:ind w:firstLine="708"/>
        <w:jc w:val="both"/>
        <w:rPr>
          <w:rFonts w:ascii="Times New Roman" w:hAnsi="Times New Roman" w:cs="Times New Roman"/>
        </w:rPr>
      </w:pPr>
      <w:r>
        <w:rPr>
          <w:rFonts w:ascii="Times New Roman" w:hAnsi="Times New Roman" w:cs="Times New Roman"/>
        </w:rPr>
        <w:t xml:space="preserve">Zarówno dane GUS jak i rozmowy z mieszkańcami podczas konsultacji pokazały, iż obszar ma potencjał do rozwoju w kierunku rekreacji i aktywnego wypoczynku. Ponadto biorąc pod uwagę fakt, iż mieszkańcy narzekali na słabo rozwiniętą infrastrukturę rekreacyjną oraz niewystarczającą ofertę spędzania czasu wolnego, działania zostaną skierowane na rozwój zarówno ogólnodostępnej infrastruktury, która będzie dostosowana do osób z różnymi potrzebami, tak aby zarówno dzieci i młodzież, osoby w wieku produkcyjnym jak i seniorzy, a także osoby z niepełnosprawnościami mogły z niej korzystać i spędzać wspólnie czas. Istotne jest również zadbanie o przestrzeń i zwiększenie ilości miejsc do wypoczynku i rekreacji nie tylko dla mieszkańców, ale również dla osób odwiedzających obszar LGD oraz organizację wydarzeń edukacyjnych, kulturalnych i integrujących społeczeństwo. W działania na rzecz lokalnego rozwoju oraz tworzenia miejsc do wypoczynku i integracji będzie zaangażowana cała społeczność, która obejmuje mieszkańców, przedsiębiorców oraz samorządy lokalne. </w:t>
      </w:r>
    </w:p>
    <w:p w14:paraId="0C25DDCF">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Atutem obszaru jest spójność pod względem kulturowym. </w:t>
      </w:r>
      <w:r>
        <w:rPr>
          <w:rStyle w:val="22"/>
          <w:rFonts w:ascii="Times New Roman" w:hAnsi="Times New Roman" w:cs="Times New Roman"/>
          <w:b w:val="0"/>
          <w:bCs w:val="0"/>
          <w:color w:val="000000"/>
          <w:shd w:val="clear" w:color="auto" w:fill="FFFFFF"/>
        </w:rPr>
        <w:t>Bardzo ważna dla obszaru LGD jest kultura ludowa, która charakteryzuje się dużą oryginalnością, na co wpływ miała wspólna historia. Specyfiką obszaru jest to, że występuje bardzo mocne przywiązanie do tradycji, które przetrwały i są nadal kultywowane. Charakterystycznym elementem dla obszaru LGD jest kowalstwo, kamieniarstwo i bednarstwo</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rPr>
        <w:t xml:space="preserve">Ważnym elementem dla zamieszkującej obszar LGD ludności jest muzyka i folklor na niej oparty. </w:t>
      </w:r>
      <w:r>
        <w:rPr>
          <w:rFonts w:ascii="Times New Roman" w:hAnsi="Times New Roman" w:cs="Times New Roman"/>
          <w:color w:val="000000" w:themeColor="text1"/>
          <w14:textFill>
            <w14:solidFill>
              <w14:schemeClr w14:val="tx1"/>
            </w14:solidFill>
          </w14:textFill>
        </w:rPr>
        <w:t>Ponadto na terenie gmin obszaru funkcjonują podmioty tworzące bazę dla rozwoju turystyki i stanowią one podstawę rozwoju tego obszaru. Analiza mocnych i słabych stron obszaru wypracowana przez mieszkańców podczas spotkań warsztatowych oraz wyniki z ankiet na potrzeby opracowania niniejszej Strategii wskazują, że powinny zostać wykorzystane potencjały jakimi są: ciekawa historia i dziedzictwo kulturowe obszaru, które powinny stanowić fundament do działania na rzecz lokalnego rozwoju oraz tworzenia miejsc do wypoczynku i integracji.</w:t>
      </w:r>
    </w:p>
    <w:p w14:paraId="00C09B41">
      <w:pPr>
        <w:spacing w:after="0" w:line="276" w:lineRule="auto"/>
        <w:ind w:firstLine="708"/>
        <w:jc w:val="both"/>
        <w:rPr>
          <w:rFonts w:ascii="Times New Roman" w:hAnsi="Times New Roman" w:cs="Times New Roman"/>
        </w:rPr>
      </w:pPr>
      <w:r>
        <w:rPr>
          <w:rFonts w:ascii="Times New Roman" w:hAnsi="Times New Roman" w:cs="Times New Roman"/>
        </w:rPr>
        <w:t>Wszystkie powyższe działania powinny również być skierowane do seniorów, którzy stanowią liczną grupę w lokalnej społeczności, co podkreślali sami mieszkańcy podczas spotkań gminnych. Przede wszystkim należy skierować do nich działania aktywizujące oraz włączające do życia w społeczeństwie, by jak najdłużej mogli brać aktywny udział w rozwoju gospodarczym obszaru oraz w życiu publicznym i społecznym. Działania należy także skierować na przedłużenie kariery zawodowej seniorów. Szczególny nacisk powinien być położony na edukację seniorów w zakresie cyfryzacji i zagrożeń z niej płynących, w czym mogą być pomocne zajęcia i spotkania międzypokoleniowe. Wartością dodaną tych spotkań będzie również pogłębienie integracji ze społecznością lokalną oraz wzmocnienie tożsamości lokalnej wśród młodych mieszkańców. Działania należy ukierunkować także na zwiększenie oferty spędzania czasu wolnego seniorów zarówno poprzez tworzenie klubów seniora, jak i różnego rodzaju zajęcia oraz promowanie zdrowego i aktywnego trybu życia. LGD powinno również promować rozwój wolontariatu oraz opieki nad osobami starszymi i dostosowanie usług lokalnych do ich potrzeb. Biorąc pod uwagę niską frekwencję seniorów w badaniach ankietowych, działania powinny zostać skierowane na zwiększenie świadomości osób starszych na temat funkcjonowania LGD i włączenie ich do współdziałania na rzecz lokalnej społeczności. Dlatego sposób informowania seniorów o działaniach LGD powinien odbywać się zarówno cyfrowo jak i tradycyjnymi metodami poprzez rozwieszanie plakatów informacyjnych na terenie gmin oraz organizowanie spotkań przeznaczonych dla tej grupy odbiorców.</w:t>
      </w:r>
    </w:p>
    <w:p w14:paraId="7810B0BA">
      <w:pPr>
        <w:spacing w:after="0" w:line="276" w:lineRule="auto"/>
        <w:ind w:firstLine="708"/>
        <w:jc w:val="both"/>
        <w:rPr>
          <w:rFonts w:ascii="Times New Roman" w:hAnsi="Times New Roman" w:cs="Times New Roman"/>
        </w:rPr>
      </w:pPr>
      <w:r>
        <w:rPr>
          <w:rFonts w:ascii="Times New Roman" w:hAnsi="Times New Roman" w:cs="Times New Roman"/>
        </w:rPr>
        <w:t xml:space="preserve">Ponieważ mieszkańcy zwracali uwagę na korzyści płynące z realizacji projektów w partnerstwie, w których LGD nabierała doświadczenia w poprzedniej perspektywie, będą też podejmowane działania w tym zakresie. LGD będzie aktywnie animowała mieszkańców do realizacji projektów w partnerstwie, dzieląc się swoim doświadczeniem w tym zakresie. Realizacja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w:t>
      </w:r>
    </w:p>
    <w:p w14:paraId="35B54AC1">
      <w:pPr>
        <w:spacing w:after="0" w:line="276" w:lineRule="auto"/>
        <w:ind w:firstLine="708"/>
        <w:jc w:val="both"/>
        <w:rPr>
          <w:rFonts w:ascii="Times New Roman" w:hAnsi="Times New Roman" w:cs="Times New Roman"/>
        </w:rPr>
      </w:pPr>
      <w:r>
        <w:rPr>
          <w:rFonts w:ascii="Times New Roman" w:hAnsi="Times New Roman" w:cs="Times New Roman"/>
        </w:rPr>
        <w:t>Powyższe działania będą zgodne z ideą rozwoju obszaru w kierunku inteligentnych wsi, gdzie różne podmioty współdziałając będą wykorzystywały zasoby lokalne do rozwoju. Istotne znaczenie w koncepcji Smart Village będzie pobudzenie aktywności społecznej mieszkańców, zwiększenie cyfryzacji obszaru oraz wprowadzanie innowacyjnych rozwiązań, które pomogą polepszyć warunki życia na obszarze LGD. Silne i zintegrowane społeczeństwo będzie wykorzystywało technologię, nabytą wiedzę oraz wykreowaną przestrzeń do ciągłego rozwoju obszaru, co niewątpliwie przełoży się również na rozwój gospodarczy mieszkańców.</w:t>
      </w:r>
    </w:p>
    <w:p w14:paraId="53C63CC5">
      <w:pPr>
        <w:spacing w:line="276" w:lineRule="auto"/>
        <w:ind w:firstLine="708"/>
        <w:jc w:val="both"/>
        <w:rPr>
          <w:rFonts w:ascii="Times New Roman" w:hAnsi="Times New Roman" w:cs="Times New Roman"/>
        </w:rPr>
      </w:pPr>
      <w:r>
        <w:rPr>
          <w:rFonts w:ascii="Times New Roman" w:hAnsi="Times New Roman" w:cs="Times New Roman"/>
        </w:rPr>
        <w:t>Reasumując: rekomendacją dla LGD na najbliższe lata jest podjęcie szeregu działań pobudzających aktywność społeczną i gospodarczą mieszkańców, promujących zdrowy i aktywny styl życia oraz dbanie o środowisko naturalne, a także racjonalne wykorzystywanie przestrzeni. Ponadto zachęcanie mieszkańców do podejmowania wspólnych inicjatyw na rzecz włączenia społecznego seniorów oraz osób z niepełnosprawnościami, które są w niekorzystnej sytuacji, a także stworzenia odpowiednich warunków do rozwoju dzieci i ludzi młodych. Działania LGD przyczynią się do wzmocnienia pozycji obszaru i stworzenia wizerunku atrakcyjnego miejsca do zamieszkania i rozwoju. W najbliższych latach szczególny nacisk zostanie położony na zwiększenie aktywności lokalnej społeczności na rzecz polepszenia warunków do życia na obszarze poprzez animowanie mieszkańców do współpracy międzysektorowej. LGD przewiduje informowanie o swoich działaniach różnymi środkami komunikacji dostosowanymi do różnych grup wiekowych, aby dotrzeć do jak najszerszego grona odbiorców. Obszar LGD zapewniający szerokie wsparcie oraz tworzący przyjazną przestrzeń zatrzyma i przyciągnie najzdolniejszych i najbardziej przedsiębiorczych mieszkańców, co wpłynie na wzmocnienie jego pozycji oraz rozwój.</w:t>
      </w:r>
    </w:p>
    <w:p w14:paraId="5F995CDB">
      <w:pPr>
        <w:pStyle w:val="28"/>
        <w:numPr>
          <w:ilvl w:val="0"/>
          <w:numId w:val="29"/>
        </w:numPr>
        <w:spacing w:line="276" w:lineRule="auto"/>
        <w:ind w:left="993" w:hanging="426"/>
        <w:jc w:val="both"/>
        <w:rPr>
          <w:rFonts w:ascii="Times New Roman" w:hAnsi="Times New Roman" w:cs="Times New Roman"/>
          <w:b/>
          <w:bCs/>
        </w:rPr>
      </w:pPr>
      <w:r>
        <w:rPr>
          <w:rFonts w:ascii="Times New Roman" w:hAnsi="Times New Roman" w:cs="Times New Roman"/>
          <w:b/>
          <w:bCs/>
        </w:rPr>
        <w:t>Kluczowe problemy i potrzeby:</w:t>
      </w:r>
    </w:p>
    <w:p w14:paraId="3DD8F400">
      <w:pPr>
        <w:pStyle w:val="28"/>
        <w:numPr>
          <w:ilvl w:val="0"/>
          <w:numId w:val="30"/>
        </w:numPr>
        <w:spacing w:line="276" w:lineRule="auto"/>
        <w:jc w:val="both"/>
        <w:rPr>
          <w:rFonts w:ascii="Times New Roman" w:hAnsi="Times New Roman" w:cs="Times New Roman"/>
        </w:rPr>
      </w:pPr>
      <w:r>
        <w:rPr>
          <w:rFonts w:ascii="Times New Roman" w:hAnsi="Times New Roman" w:cs="Times New Roman"/>
        </w:rPr>
        <w:t>niewystarczająco dostosowana infrastruktura i usługi publiczne do zachodzących zmian demograficznych;</w:t>
      </w:r>
    </w:p>
    <w:p w14:paraId="471573F3">
      <w:pPr>
        <w:pStyle w:val="28"/>
        <w:numPr>
          <w:ilvl w:val="0"/>
          <w:numId w:val="30"/>
        </w:numPr>
        <w:spacing w:line="276" w:lineRule="auto"/>
        <w:jc w:val="both"/>
        <w:rPr>
          <w:rFonts w:ascii="Times New Roman" w:hAnsi="Times New Roman" w:cs="Times New Roman"/>
        </w:rPr>
      </w:pPr>
      <w:r>
        <w:rPr>
          <w:rFonts w:ascii="Times New Roman" w:hAnsi="Times New Roman" w:cs="Times New Roman"/>
        </w:rPr>
        <w:t xml:space="preserve">braki w przedsiębiorczości i innowacyjności – niedostateczny rozwój lokalnej przedsiębiorczości; </w:t>
      </w:r>
    </w:p>
    <w:p w14:paraId="1D0E03DA">
      <w:pPr>
        <w:pStyle w:val="28"/>
        <w:numPr>
          <w:ilvl w:val="0"/>
          <w:numId w:val="30"/>
        </w:numPr>
        <w:spacing w:line="276" w:lineRule="auto"/>
        <w:jc w:val="both"/>
        <w:rPr>
          <w:rFonts w:ascii="Times New Roman" w:hAnsi="Times New Roman" w:cs="Times New Roman"/>
        </w:rPr>
      </w:pPr>
      <w:r>
        <w:rPr>
          <w:rFonts w:ascii="Times New Roman" w:hAnsi="Times New Roman" w:cs="Times New Roman"/>
        </w:rPr>
        <w:t>niedostatecznie zagospodarowany potencjał kulturowy, przyrodniczy i turystyczny;</w:t>
      </w:r>
    </w:p>
    <w:p w14:paraId="3DB67C1E">
      <w:pPr>
        <w:pStyle w:val="28"/>
        <w:numPr>
          <w:ilvl w:val="0"/>
          <w:numId w:val="30"/>
        </w:numPr>
        <w:spacing w:line="276" w:lineRule="auto"/>
        <w:jc w:val="both"/>
        <w:rPr>
          <w:rFonts w:ascii="Times New Roman" w:hAnsi="Times New Roman" w:cs="Times New Roman"/>
        </w:rPr>
      </w:pPr>
      <w:r>
        <w:rPr>
          <w:rFonts w:ascii="Times New Roman" w:hAnsi="Times New Roman" w:cs="Times New Roman"/>
        </w:rPr>
        <w:t>niedostateczna aktywność społeczna mieszkańców;</w:t>
      </w:r>
    </w:p>
    <w:p w14:paraId="4705D4AF">
      <w:pPr>
        <w:pStyle w:val="28"/>
        <w:numPr>
          <w:ilvl w:val="0"/>
          <w:numId w:val="30"/>
        </w:numPr>
        <w:spacing w:line="276" w:lineRule="auto"/>
        <w:jc w:val="both"/>
        <w:rPr>
          <w:rFonts w:ascii="Times New Roman" w:hAnsi="Times New Roman" w:cs="Times New Roman"/>
        </w:rPr>
      </w:pPr>
      <w:r>
        <w:rPr>
          <w:rFonts w:ascii="Times New Roman" w:hAnsi="Times New Roman" w:cs="Times New Roman"/>
        </w:rPr>
        <w:t>niewystarczająca dostępność mieszkańców do usług społecznych i zdrowotnych.</w:t>
      </w:r>
    </w:p>
    <w:p w14:paraId="45BD1205">
      <w:pPr>
        <w:pStyle w:val="28"/>
        <w:numPr>
          <w:ilvl w:val="0"/>
          <w:numId w:val="29"/>
        </w:numPr>
        <w:spacing w:line="276" w:lineRule="auto"/>
        <w:ind w:left="993" w:hanging="426"/>
        <w:jc w:val="both"/>
        <w:rPr>
          <w:rFonts w:ascii="Times New Roman" w:hAnsi="Times New Roman" w:cs="Times New Roman"/>
          <w:b/>
          <w:bCs/>
        </w:rPr>
      </w:pPr>
      <w:r>
        <w:rPr>
          <w:rFonts w:ascii="Times New Roman" w:hAnsi="Times New Roman" w:cs="Times New Roman"/>
          <w:b/>
          <w:bCs/>
        </w:rPr>
        <w:t>Kluczowe zasoby i potencjały:</w:t>
      </w:r>
    </w:p>
    <w:p w14:paraId="70690B96">
      <w:pPr>
        <w:pStyle w:val="28"/>
        <w:numPr>
          <w:ilvl w:val="0"/>
          <w:numId w:val="30"/>
        </w:numPr>
        <w:spacing w:line="276" w:lineRule="auto"/>
        <w:jc w:val="both"/>
        <w:rPr>
          <w:rFonts w:ascii="Times New Roman" w:hAnsi="Times New Roman" w:cs="Times New Roman"/>
        </w:rPr>
      </w:pPr>
      <w:r>
        <w:rPr>
          <w:rFonts w:ascii="Times New Roman" w:hAnsi="Times New Roman" w:cs="Times New Roman"/>
        </w:rPr>
        <w:t>walory przyrodnicze i krajobrazowe;</w:t>
      </w:r>
    </w:p>
    <w:p w14:paraId="08EE77E6">
      <w:pPr>
        <w:pStyle w:val="28"/>
        <w:numPr>
          <w:ilvl w:val="0"/>
          <w:numId w:val="30"/>
        </w:numPr>
        <w:spacing w:line="276" w:lineRule="auto"/>
        <w:jc w:val="both"/>
        <w:rPr>
          <w:rFonts w:ascii="Times New Roman" w:hAnsi="Times New Roman" w:cs="Times New Roman"/>
        </w:rPr>
      </w:pPr>
      <w:r>
        <w:rPr>
          <w:rFonts w:ascii="Times New Roman" w:hAnsi="Times New Roman" w:cs="Times New Roman"/>
        </w:rPr>
        <w:t>bogata historia i dziedzictwo kulturowe, w tym cenne zabytki;</w:t>
      </w:r>
    </w:p>
    <w:p w14:paraId="3F7A7684">
      <w:pPr>
        <w:pStyle w:val="28"/>
        <w:numPr>
          <w:ilvl w:val="0"/>
          <w:numId w:val="30"/>
        </w:numPr>
        <w:spacing w:line="276" w:lineRule="auto"/>
        <w:jc w:val="both"/>
        <w:rPr>
          <w:rFonts w:ascii="Times New Roman" w:hAnsi="Times New Roman" w:cs="Times New Roman"/>
        </w:rPr>
      </w:pPr>
      <w:r>
        <w:rPr>
          <w:rFonts w:ascii="Times New Roman" w:hAnsi="Times New Roman" w:cs="Times New Roman"/>
        </w:rPr>
        <w:t>warunki umożliwiające rozwój funkcji osiedleńczej obszaru;</w:t>
      </w:r>
    </w:p>
    <w:p w14:paraId="59238B22">
      <w:pPr>
        <w:pStyle w:val="28"/>
        <w:numPr>
          <w:ilvl w:val="0"/>
          <w:numId w:val="30"/>
        </w:numPr>
        <w:spacing w:line="276" w:lineRule="auto"/>
        <w:ind w:left="1423" w:hanging="357"/>
        <w:contextualSpacing w:val="0"/>
        <w:jc w:val="both"/>
        <w:rPr>
          <w:rFonts w:ascii="Times New Roman" w:hAnsi="Times New Roman" w:cs="Times New Roman"/>
        </w:rPr>
      </w:pPr>
      <w:r>
        <w:rPr>
          <w:rFonts w:ascii="Times New Roman" w:hAnsi="Times New Roman" w:cs="Times New Roman"/>
        </w:rPr>
        <w:t>doświadczenie we współpracy wielosektorowej, w tym w ramach LGD Między Dalinem i Gościbią</w:t>
      </w:r>
      <w:r>
        <w:rPr>
          <w:rFonts w:ascii="Times New Roman" w:hAnsi="Times New Roman" w:cs="Times New Roman"/>
          <w:color w:val="000000" w:themeColor="text1"/>
          <w14:textFill>
            <w14:solidFill>
              <w14:schemeClr w14:val="tx1"/>
            </w14:solidFill>
          </w14:textFill>
        </w:rPr>
        <w:t>.</w:t>
      </w:r>
    </w:p>
    <w:p w14:paraId="0AA1AFC0">
      <w:pPr>
        <w:pStyle w:val="28"/>
        <w:numPr>
          <w:ilvl w:val="0"/>
          <w:numId w:val="14"/>
        </w:numPr>
        <w:spacing w:before="240" w:line="276" w:lineRule="auto"/>
        <w:ind w:left="1134" w:hanging="357"/>
        <w:contextualSpacing w:val="0"/>
        <w:jc w:val="both"/>
        <w:outlineLvl w:val="1"/>
        <w:rPr>
          <w:rFonts w:ascii="Times New Roman" w:hAnsi="Times New Roman" w:cs="Times New Roman"/>
          <w:b/>
          <w:bCs/>
        </w:rPr>
      </w:pPr>
      <w:bookmarkStart w:id="135" w:name="_Toc135647307"/>
      <w:bookmarkStart w:id="136" w:name="_Toc135994836"/>
      <w:r>
        <w:rPr>
          <w:rFonts w:ascii="Times New Roman" w:hAnsi="Times New Roman" w:cs="Times New Roman"/>
          <w:b/>
          <w:bCs/>
        </w:rPr>
        <w:t>Grupy docelowe</w:t>
      </w:r>
      <w:bookmarkEnd w:id="135"/>
      <w:bookmarkEnd w:id="136"/>
    </w:p>
    <w:p w14:paraId="5CAB96DF">
      <w:pPr>
        <w:pStyle w:val="28"/>
        <w:spacing w:before="240" w:line="276" w:lineRule="auto"/>
        <w:ind w:left="0"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Szczegółowa diagnoza obszaru wypracowana na podstawie danych statystycznych oraz szeroko prowadzonych konsultacji społecznych, pozwala na określenie grup docelowych, które powinny być objęte wsparciem w ramach realizacji LSR. Na podstawie wszystkich danych zawartych w diagnozie można wyróżnić cztery grupy docelowe oraz jedną grupę osób w niekorzystnej sytuacji, która wymaga szczególnego wsparcia.</w:t>
      </w:r>
    </w:p>
    <w:p w14:paraId="3DC7BFA1">
      <w:pPr>
        <w:pStyle w:val="28"/>
        <w:spacing w:before="240" w:line="276" w:lineRule="auto"/>
        <w:ind w:left="0"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LSR powinna realizować cele, które przede wszystkim będą służyły zaspokajaniu potrzeb lokalnej społeczności, w związku z tym pierwszą grupą docelową są wszyscy mieszkańcy obszaru LGD. Drugą grupą docelową są organizacje pozarządowe i ich członkowie. Aktywność mieszkańców w organizacjach pozarządowych na obszarze jest niewielka – średnia wartość wskaźnika </w:t>
      </w:r>
      <w:r>
        <w:rPr>
          <w:rFonts w:ascii="Times New Roman" w:hAnsi="Times New Roman" w:cs="Times New Roman"/>
          <w:i/>
          <w:iCs/>
          <w:color w:val="000000" w:themeColor="text1"/>
          <w14:textFill>
            <w14:solidFill>
              <w14:schemeClr w14:val="tx1"/>
            </w14:solidFill>
          </w14:textFill>
        </w:rPr>
        <w:t xml:space="preserve">fundacje, stowarzyszenia, organizacje społeczne na 10 tys. mieszkańców </w:t>
      </w:r>
      <w:r>
        <w:rPr>
          <w:rFonts w:ascii="Times New Roman" w:hAnsi="Times New Roman" w:cs="Times New Roman"/>
          <w:color w:val="000000" w:themeColor="text1"/>
          <w14:textFill>
            <w14:solidFill>
              <w14:schemeClr w14:val="tx1"/>
            </w14:solidFill>
          </w14:textFill>
        </w:rPr>
        <w:t xml:space="preserve">w 2021 r. i każdym poprzednim była dla LGD niższa niż średnia dla województwa małopolskiego i Polski. Wewnątrz obszaru najwyższy wynik w tym zakresie w 2021 r. wystąpił w Gminie Wiśniowa (40), przy czym nadal był mniej korzystny niż średnio w kraju i województwie. Ponadto z rekomendacji płynących z </w:t>
      </w:r>
      <w:bookmarkStart w:id="137" w:name="_Hlk134721007"/>
      <w:r>
        <w:rPr>
          <w:rFonts w:ascii="Times New Roman" w:hAnsi="Times New Roman" w:cs="Times New Roman"/>
          <w:i/>
          <w:iCs/>
          <w:color w:val="000000" w:themeColor="text1"/>
          <w14:textFill>
            <w14:solidFill>
              <w14:schemeClr w14:val="tx1"/>
            </w14:solidFill>
          </w14:textFill>
        </w:rPr>
        <w:t xml:space="preserve">Ewaluacji zewnętrznej małopolskich lokalnych strategii rozwoju Lokalna Grupa Działania </w:t>
      </w:r>
      <w:bookmarkEnd w:id="137"/>
      <w:r>
        <w:rPr>
          <w:rFonts w:ascii="Times New Roman" w:hAnsi="Times New Roman" w:cs="Times New Roman"/>
          <w:i/>
          <w:iCs/>
          <w:color w:val="000000" w:themeColor="text1"/>
          <w14:textFill>
            <w14:solidFill>
              <w14:schemeClr w14:val="tx1"/>
            </w14:solidFill>
          </w14:textFill>
        </w:rPr>
        <w:t>„Między Dalinem i Gościbią”</w:t>
      </w:r>
      <w:r>
        <w:rPr>
          <w:rFonts w:ascii="Times New Roman" w:hAnsi="Times New Roman" w:cs="Times New Roman"/>
          <w:color w:val="000000" w:themeColor="text1"/>
          <w14:textFill>
            <w14:solidFill>
              <w14:schemeClr w14:val="tx1"/>
            </w14:solidFill>
          </w14:textFill>
        </w:rPr>
        <w:t xml:space="preserve"> wynika, iż:</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„należy w przyszłości kontynuować działania mające na celu rozwój przedsiębiorczości, współpracy międzysektorowej i różnorodności, ale także działania mające na celu rozwój kapitału społecznego gmin LGD Między Dalinem i Gościbią”. Podczas spotkań z mieszkańcami pojawiały się głosy, że potencjał organizacji pozarządowych nie jest wystarczająco wykorzystywany. Pomocne będą przedsięwzięcia służące integracji społecznej i wzmacnianiu poczucia jedności i tożsamości, wspieraniu lokalnych liderów i działaczy w organizacjach pozarządowych czy aktywizacji społeczności lokalnej zgodnie z koncepcją Smart Village.</w:t>
      </w:r>
    </w:p>
    <w:p w14:paraId="330F5C6E">
      <w:pPr>
        <w:pStyle w:val="28"/>
        <w:spacing w:after="0" w:line="276" w:lineRule="auto"/>
        <w:ind w:left="0"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Trzecią grupę docelową stanowią osoby do 25. roku życia (w tym studenci), ze względu na odpływ szczególnie młodych i wykształconych osób do większych aglomeracji miejskich oraz ich brak zaangażowania w sprawy lokalne, w tym pogłębiający się brak poczucia tożsamości lokalnej. W badaniu ankietowym na etapie planistycznym ankietowani wskazali młodzież (39% odpowiedzi) jako grupę, do której powinny być skierowane działania w ramach LSR.</w:t>
      </w:r>
    </w:p>
    <w:p w14:paraId="6FB424B3">
      <w:pPr>
        <w:spacing w:after="0" w:line="276" w:lineRule="auto"/>
        <w:ind w:firstLine="709"/>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Czwartą grupę docelową stanowią osoby powyżej 60. roku życia. W ramach LSR nastąpi aktywizacja seniorów. Jak wynika z diagnozy, obszar objęty LSR charakteryzuje się zjawiskiem starzejącego się społeczeństwa. Osoby starsze często wykazują chęć aktywności, pragną się integrować, ale brakuje im nierzadko środków. W ramach analizy na potrzeby </w:t>
      </w:r>
      <w:r>
        <w:rPr>
          <w:rFonts w:ascii="Times New Roman" w:hAnsi="Times New Roman" w:cs="Times New Roman"/>
          <w:i/>
          <w:iCs/>
          <w:color w:val="000000" w:themeColor="text1"/>
          <w14:textFill>
            <w14:solidFill>
              <w14:schemeClr w14:val="tx1"/>
            </w14:solidFill>
          </w14:textFill>
        </w:rPr>
        <w:t xml:space="preserve">Ewaluacji zewnętrznej małopolskich lokalnych strategii rozwoju Lokalna Grupa Działania „Między Dalinem i Gościbią” </w:t>
      </w:r>
      <w:r>
        <w:rPr>
          <w:rFonts w:ascii="Times New Roman" w:hAnsi="Times New Roman" w:cs="Times New Roman"/>
          <w:color w:val="000000" w:themeColor="text1"/>
          <w14:textFill>
            <w14:solidFill>
              <w14:schemeClr w14:val="tx1"/>
            </w14:solidFill>
          </w14:textFill>
        </w:rPr>
        <w:t xml:space="preserve">wykazały, iż w przyszłości należy wzmocnić działania w obszarze aktywizacji osób starszych. Należy ponadto podkreślić, iż mieszkańcy gmin wchodzących w skład LGD wskazali na potrzebę kontynuacji działań m.in. w opiece nad osobami starszymi oraz rozwoju infrastruktury społecznej. W badaniu ankietowym na etapie planistycznym ankietowani wskazali na pierwszym miejscu seniorów (56% odpowiedzi) jako grupę, do której powinny być skierowane działania w ramach LSR. </w:t>
      </w:r>
      <w:r>
        <w:rPr>
          <w:rFonts w:ascii="Times New Roman" w:hAnsi="Times New Roman" w:cs="Times New Roman"/>
        </w:rPr>
        <w:t>O niskiej aktywności seniorów świadczy m.in. niski udział osób powyżej 60. roku życia w badaniu ankietowym prowadzonym przez LGD na potrzeby opracowania LSR (w pierwszym badaniu ankietowym wynosił 6%, zaś w drugim 13%)</w:t>
      </w:r>
      <w:r>
        <w:rPr>
          <w:rFonts w:ascii="Times New Roman" w:hAnsi="Times New Roman" w:cs="Times New Roman"/>
          <w:color w:val="000000" w:themeColor="text1"/>
          <w14:textFill>
            <w14:solidFill>
              <w14:schemeClr w14:val="tx1"/>
            </w14:solidFill>
          </w14:textFill>
        </w:rPr>
        <w:t>.</w:t>
      </w:r>
    </w:p>
    <w:p w14:paraId="7FBDE293">
      <w:pPr>
        <w:pStyle w:val="28"/>
        <w:spacing w:line="276" w:lineRule="auto"/>
        <w:ind w:left="0"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Ponadto w ramach grup docelowych została wskazana również grupa osób w niekorzystnej sytuacji. Grupę taką w przypadku LGD Między Dalinem i Gościbią stanowią osoby z niepełnosprawnościami i ich opiekunowie, ze względu na niedostosowaną do ich potrzeb infrastrukturę rekreacyjną. W badaniu ankietowych na etapie planistycznym 38% ankietowanych wskazało osoby z niepełnosprawnością jako grupę osób wymagającą szczególnego wsparcia. Grupa ta została również wskazana podczas konsultacji z mieszkańcami.</w:t>
      </w:r>
    </w:p>
    <w:p w14:paraId="2FB80716">
      <w:pPr>
        <w:pStyle w:val="28"/>
        <w:numPr>
          <w:ilvl w:val="0"/>
          <w:numId w:val="2"/>
        </w:numPr>
        <w:outlineLvl w:val="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br w:type="page"/>
      </w:r>
      <w:bookmarkStart w:id="138" w:name="_Toc135647308"/>
      <w:bookmarkStart w:id="139" w:name="_Toc135994837"/>
      <w:r>
        <w:rPr>
          <w:rFonts w:ascii="Times New Roman" w:hAnsi="Times New Roman" w:cs="Times New Roman"/>
          <w:b/>
          <w:bCs/>
          <w:color w:val="000000" w:themeColor="text1"/>
          <w14:textFill>
            <w14:solidFill>
              <w14:schemeClr w14:val="tx1"/>
            </w14:solidFill>
          </w14:textFill>
        </w:rPr>
        <w:t>SPÓJNOŚĆ, KOMPLEMENTARNOŚĆ I SYNERGIA</w:t>
      </w:r>
      <w:bookmarkEnd w:id="138"/>
      <w:bookmarkEnd w:id="139"/>
    </w:p>
    <w:p w14:paraId="3D8A5B9F">
      <w:pPr>
        <w:spacing w:after="0" w:line="276" w:lineRule="auto"/>
        <w:ind w:firstLine="708"/>
        <w:jc w:val="both"/>
        <w:rPr>
          <w:rFonts w:ascii="Times New Roman" w:hAnsi="Times New Roman" w:cs="Times New Roman"/>
        </w:rPr>
      </w:pPr>
      <w:r>
        <w:rPr>
          <w:rFonts w:ascii="Times New Roman" w:hAnsi="Times New Roman" w:cs="Times New Roman"/>
        </w:rPr>
        <w:t xml:space="preserve">Zgodnie ze specyfiką podejścia RLKS, LSR ma charakter zintegrowany. Zintegrowane podejście dla przedsięwzięć planowanych do realizacji w ramach jej wdrażania dotyczy dwóch aspektów. Pierwszy z nich odnosi się do zintegrowania celów i przedsięwzięć zaplanowanych w ramach LSR, zapewniających spójne i kompleksowe rozwiązanie zidentyfikowanych problemów i zaspokajanie zgłaszanych potrzeb przy wykorzystaniu istniejących zasobów, zachowując przy tym odpowiednią kolejność realizacji przedsięwzięć oraz współpracę różnych podmiotów. Drugie podejście związane jest z zapewnieniem zgodności celów LSR z innymi dokumentami planistycznymi / strategiami, w szczególności strategiami rozwoju województwa/województw, regionalnymi strategiami / programami regionalnymi lub tematycznymi czy strategiami ponadlokalnymi i terytorialnymi (ZIT/IIT) dotyczącymi obszaru działania LGD. </w:t>
      </w:r>
    </w:p>
    <w:p w14:paraId="41F4A8D0">
      <w:pPr>
        <w:spacing w:after="0" w:line="276" w:lineRule="auto"/>
        <w:ind w:firstLine="708"/>
        <w:jc w:val="both"/>
        <w:rPr>
          <w:rFonts w:ascii="Times New Roman" w:hAnsi="Times New Roman" w:cs="Times New Roman"/>
        </w:rPr>
      </w:pPr>
      <w:r>
        <w:rPr>
          <w:rFonts w:ascii="Times New Roman" w:hAnsi="Times New Roman" w:cs="Times New Roman"/>
        </w:rPr>
        <w:t xml:space="preserve">Lokalna Strategia Rozwoju w odpowiedzi na zidentyfikowane problemy obszaru określiła cel, który uwzględnia kontekst innych dokumentów strategicznych na szczeblu lokalnym, a także dokumentów wyższego szczebla. Planowane w ramach jego realizacji konkretne przedsięwzięcia są spójne oraz powiązane ze sobą i wzajemnie się uzupełniają. Tworzą logiczne związki i wzajemnie na siebie oddziałują. W ramach zaplanowanego w LSR celu, zawarto kompleksowe podejście do rozwiązania kluczowych problemów i potrzeb, jakimi są: niewystarczająco dostosowana infrastruktura i usługi publiczne do zachodzących zmian demograficznych, braki w przedsiębiorczości i innowacyjności – niedostateczny rozwój lokalnej przedsiębiorczości, niedostatecznie zagospodarowany potencjał kulturowy, przyrodniczy i turystyczny, niedostateczna aktywność społeczna mieszkańców i braki w ofercie zagospodarowania czasu wolnego. </w:t>
      </w:r>
      <w:bookmarkStart w:id="140" w:name="_Hlk131510467"/>
      <w:r>
        <w:rPr>
          <w:rFonts w:ascii="Times New Roman" w:hAnsi="Times New Roman" w:cs="Times New Roman"/>
        </w:rPr>
        <w:t>Cel będzie realizowany przez przedsięwzięcia,</w:t>
      </w:r>
      <w:bookmarkEnd w:id="140"/>
      <w:r>
        <w:rPr>
          <w:rFonts w:ascii="Times New Roman" w:hAnsi="Times New Roman" w:cs="Times New Roman"/>
        </w:rPr>
        <w:t xml:space="preserve"> </w:t>
      </w:r>
      <w:r>
        <w:rPr>
          <w:rFonts w:ascii="Times New Roman" w:hAnsi="Times New Roman" w:cs="Times New Roman"/>
        </w:rPr>
        <w:br w:type="textWrapping"/>
      </w:r>
      <w:r>
        <w:rPr>
          <w:rFonts w:ascii="Times New Roman" w:hAnsi="Times New Roman" w:cs="Times New Roman"/>
        </w:rPr>
        <w:t xml:space="preserve">w ramach których zostaną zaspokojone potrzeby mieszkańców zgłoszone podczas konsultacji społecznych oraz w ankietach, które koncentrowały się na: niskiej przedsiębiorczości mieszkańców, niezadowoleniu z lokalnego rynku pracy, niskich zarobkach, nieatrakcyjnej ofercie spędzania czasu wolnego, zanikaniu więzi społecznych oraz lokalnej tożsamości, a także niskiej aktywności społecznej osób młodych. Realizacja przedsięwzięć przyczyni się do większej integracji mieszkańców oraz zwiększy ich aktywność w zakresie podejmowania działań na rzecz poprawy jakości życia na obszarze, co przełoży się również na aktywizację gospodarczą w oparciu o lokalne zasoby. Realizacja przedsięwzięć, a szczególnie wdrożenie koncepcji Smart Village przyczyni się do większej integracji mieszkańców oraz zwiększy ich aktywność w zakresie podejmowania działań na rzecz poprawy jakości życia na obszarze, co przełoży się również na aktywizację gospodarczą w oparciu o lokalne zasoby. Zaplanowane do realizacji przedsięwzięcia będą również mocno oddziaływać na osoby w niekorzystnej sytuacji oraz na ludzi młodych </w:t>
      </w:r>
      <w:r>
        <w:rPr>
          <w:rFonts w:ascii="Times New Roman" w:hAnsi="Times New Roman" w:cs="Times New Roman"/>
        </w:rPr>
        <w:br w:type="textWrapping"/>
      </w:r>
      <w:r>
        <w:rPr>
          <w:rFonts w:ascii="Times New Roman" w:hAnsi="Times New Roman" w:cs="Times New Roman"/>
        </w:rPr>
        <w:t xml:space="preserve">i seniorów. W realizację przedsięwzięć będą zaangażowane różne podmioty, zarówno organizacje pozarządowe, podmioty z sektora gospodarczego, indywidualni mieszkańcy, a także jednostki samorządowe, co dodatkowo wzmocni integrację obszaru. Przedsięwzięcia zaplanowane do realizacji w ramach LSR będą wpływać na osiągnięcie wskaźników rezultatu określonych w </w:t>
      </w:r>
      <w:r>
        <w:rPr>
          <w:rFonts w:ascii="Times New Roman" w:hAnsi="Times New Roman" w:cs="Times New Roman"/>
          <w:i/>
          <w:iCs/>
        </w:rPr>
        <w:t>Planie Strategicznym dla Wspólnej Polityki Rolnej na lata 2023–2027</w:t>
      </w:r>
      <w:r>
        <w:rPr>
          <w:rFonts w:ascii="Times New Roman" w:hAnsi="Times New Roman" w:cs="Times New Roman"/>
        </w:rPr>
        <w:t>, a</w:t>
      </w:r>
      <w:r>
        <w:rPr>
          <w:rFonts w:ascii="Times New Roman" w:hAnsi="Times New Roman" w:cs="Times New Roman"/>
          <w:i/>
          <w:iCs/>
        </w:rPr>
        <w:t> </w:t>
      </w:r>
      <w:r>
        <w:rPr>
          <w:rFonts w:ascii="Times New Roman" w:hAnsi="Times New Roman" w:cs="Times New Roman"/>
        </w:rPr>
        <w:t>zapewnienie ich realizacji będzie się odbywać poprzez kryteria dostępu oraz kryteria punktowe przyznawane wnioskodawcom w trakcie oceny operacji.</w:t>
      </w:r>
    </w:p>
    <w:p w14:paraId="61FD1AE3">
      <w:pPr>
        <w:spacing w:line="276" w:lineRule="auto"/>
        <w:ind w:firstLine="708"/>
        <w:jc w:val="both"/>
        <w:rPr>
          <w:rFonts w:ascii="Times New Roman" w:hAnsi="Times New Roman" w:cs="Times New Roman"/>
        </w:rPr>
      </w:pPr>
      <w:r>
        <w:rPr>
          <w:rFonts w:ascii="Times New Roman" w:hAnsi="Times New Roman" w:cs="Times New Roman"/>
        </w:rPr>
        <w:t xml:space="preserve">Zgodność celu LSR w odniesieniu do dokumentów strategicznych przedstawiono w tabeli 20. </w:t>
      </w:r>
    </w:p>
    <w:p w14:paraId="45FD62D0">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41" w:name="_Toc136241408"/>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20</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Zgodność celu LSR z innymi dokumentami strategicznymi</w:t>
      </w:r>
      <w:bookmarkEnd w:id="141"/>
    </w:p>
    <w:tbl>
      <w:tblPr>
        <w:tblStyle w:val="6"/>
        <w:tblW w:w="5000" w:type="pct"/>
        <w:jc w:val="center"/>
        <w:tblLayout w:type="autofit"/>
        <w:tblCellMar>
          <w:top w:w="0" w:type="dxa"/>
          <w:left w:w="10" w:type="dxa"/>
          <w:bottom w:w="0" w:type="dxa"/>
          <w:right w:w="10" w:type="dxa"/>
        </w:tblCellMar>
      </w:tblPr>
      <w:tblGrid>
        <w:gridCol w:w="756"/>
        <w:gridCol w:w="2282"/>
        <w:gridCol w:w="7382"/>
      </w:tblGrid>
      <w:tr w14:paraId="6D87231B">
        <w:tblPrEx>
          <w:tblCellMar>
            <w:top w:w="0" w:type="dxa"/>
            <w:left w:w="10" w:type="dxa"/>
            <w:bottom w:w="0" w:type="dxa"/>
            <w:right w:w="10" w:type="dxa"/>
          </w:tblCellMar>
        </w:tblPrEx>
        <w:trPr>
          <w:trHeight w:val="539" w:hRule="atLeast"/>
          <w:jc w:val="center"/>
        </w:trPr>
        <w:tc>
          <w:tcPr>
            <w:tcW w:w="363" w:type="pc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vAlign w:val="center"/>
          </w:tcPr>
          <w:p w14:paraId="24C49211">
            <w:pPr>
              <w:suppressAutoHyphens/>
              <w:autoSpaceDN w:val="0"/>
              <w:spacing w:after="0" w:line="276" w:lineRule="auto"/>
              <w:textAlignment w:val="baseline"/>
              <w:rPr>
                <w:rFonts w:ascii="Times New Roman" w:hAnsi="Times New Roman" w:eastAsia="Calibri" w:cs="Times New Roman"/>
                <w:b/>
                <w:bCs/>
                <w:sz w:val="20"/>
                <w:szCs w:val="20"/>
              </w:rPr>
            </w:pPr>
            <w:bookmarkStart w:id="142" w:name="_Hlk135594251"/>
            <w:r>
              <w:rPr>
                <w:rFonts w:ascii="Times New Roman" w:hAnsi="Times New Roman" w:eastAsia="Calibri" w:cs="Times New Roman"/>
                <w:b/>
                <w:bCs/>
                <w:sz w:val="20"/>
                <w:szCs w:val="20"/>
              </w:rPr>
              <w:t>Lp.</w:t>
            </w:r>
          </w:p>
        </w:tc>
        <w:tc>
          <w:tcPr>
            <w:tcW w:w="1095" w:type="pc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tcPr>
          <w:p w14:paraId="24245B1D">
            <w:pPr>
              <w:suppressAutoHyphens/>
              <w:autoSpaceDN w:val="0"/>
              <w:spacing w:after="0" w:line="276" w:lineRule="auto"/>
              <w:jc w:val="center"/>
              <w:textAlignment w:val="baseline"/>
              <w:rPr>
                <w:rFonts w:ascii="Times New Roman" w:hAnsi="Times New Roman" w:eastAsia="Calibri" w:cs="Times New Roman"/>
                <w:b/>
                <w:bCs/>
                <w:sz w:val="20"/>
                <w:szCs w:val="20"/>
              </w:rPr>
            </w:pPr>
            <w:r>
              <w:rPr>
                <w:rFonts w:ascii="Times New Roman" w:hAnsi="Times New Roman" w:cs="Times New Roman"/>
                <w:b/>
                <w:bCs/>
                <w:sz w:val="20"/>
                <w:szCs w:val="20"/>
              </w:rPr>
              <w:t xml:space="preserve">Nazwa dokumentu strategicznego / planistycznego </w:t>
            </w:r>
          </w:p>
        </w:tc>
        <w:tc>
          <w:tcPr>
            <w:tcW w:w="3542" w:type="pc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vAlign w:val="center"/>
          </w:tcPr>
          <w:p w14:paraId="603389D4">
            <w:pPr>
              <w:suppressAutoHyphens/>
              <w:autoSpaceDN w:val="0"/>
              <w:spacing w:after="0" w:line="276" w:lineRule="auto"/>
              <w:jc w:val="center"/>
              <w:textAlignment w:val="baseline"/>
              <w:rPr>
                <w:rFonts w:ascii="Times New Roman" w:hAnsi="Times New Roman" w:eastAsia="Calibri" w:cs="Times New Roman"/>
                <w:sz w:val="20"/>
                <w:szCs w:val="20"/>
              </w:rPr>
            </w:pPr>
            <w:r>
              <w:rPr>
                <w:rFonts w:ascii="Times New Roman" w:hAnsi="Times New Roman" w:eastAsia="Calibri" w:cs="Times New Roman"/>
                <w:b/>
                <w:bCs/>
                <w:sz w:val="20"/>
                <w:szCs w:val="20"/>
              </w:rPr>
              <w:t>Cel LSR:</w:t>
            </w:r>
          </w:p>
          <w:p w14:paraId="15620C86">
            <w:pPr>
              <w:suppressAutoHyphens/>
              <w:autoSpaceDN w:val="0"/>
              <w:spacing w:after="0" w:line="276" w:lineRule="auto"/>
              <w:jc w:val="center"/>
              <w:textAlignment w:val="baseline"/>
              <w:rPr>
                <w:rFonts w:ascii="Times New Roman" w:hAnsi="Times New Roman" w:eastAsia="Calibri" w:cs="Times New Roman"/>
                <w:b/>
                <w:bCs/>
                <w:i/>
                <w:iCs/>
                <w:sz w:val="20"/>
                <w:szCs w:val="20"/>
              </w:rPr>
            </w:pPr>
            <w:r>
              <w:rPr>
                <w:rFonts w:ascii="Times New Roman" w:hAnsi="Times New Roman" w:eastAsia="Calibri" w:cs="Times New Roman"/>
                <w:b/>
                <w:bCs/>
                <w:i/>
                <w:iCs/>
              </w:rPr>
              <w:t>Utworzenie Myślenickiej Strefy Przemysłu Czasu Wolnego</w:t>
            </w:r>
          </w:p>
        </w:tc>
      </w:tr>
      <w:bookmarkEnd w:id="142"/>
      <w:tr w14:paraId="345228D9">
        <w:tblPrEx>
          <w:tblCellMar>
            <w:top w:w="0" w:type="dxa"/>
            <w:left w:w="10" w:type="dxa"/>
            <w:bottom w:w="0" w:type="dxa"/>
            <w:right w:w="10" w:type="dxa"/>
          </w:tblCellMar>
        </w:tblPrEx>
        <w:trPr>
          <w:trHeight w:val="340" w:hRule="atLeast"/>
          <w:jc w:val="center"/>
        </w:trPr>
        <w:tc>
          <w:tcPr>
            <w:tcW w:w="363"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45AA603">
            <w:pPr>
              <w:suppressAutoHyphens/>
              <w:autoSpaceDN w:val="0"/>
              <w:spacing w:after="0" w:line="276" w:lineRule="auto"/>
              <w:ind w:left="-112"/>
              <w:jc w:val="center"/>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1.</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49FADCF">
            <w:pPr>
              <w:suppressAutoHyphens/>
              <w:autoSpaceDN w:val="0"/>
              <w:spacing w:after="0" w:line="276" w:lineRule="auto"/>
              <w:jc w:val="center"/>
              <w:textAlignment w:val="baseline"/>
              <w:rPr>
                <w:rFonts w:ascii="Times New Roman" w:hAnsi="Times New Roman" w:eastAsia="Calibri" w:cs="Times New Roman"/>
                <w:sz w:val="20"/>
                <w:szCs w:val="20"/>
              </w:rPr>
            </w:pPr>
            <w:r>
              <w:rPr>
                <w:rFonts w:ascii="Times New Roman" w:hAnsi="Times New Roman" w:eastAsia="Calibri" w:cs="Times New Roman"/>
                <w:i/>
                <w:iCs/>
                <w:sz w:val="20"/>
                <w:szCs w:val="20"/>
              </w:rPr>
              <w:t xml:space="preserve">Strategia Rozwoju Województwa „Małopolska 2030” </w:t>
            </w:r>
            <w:r>
              <w:rPr>
                <w:rFonts w:ascii="Times New Roman" w:hAnsi="Times New Roman" w:eastAsia="Calibri" w:cs="Times New Roman"/>
                <w:sz w:val="20"/>
                <w:szCs w:val="20"/>
              </w:rPr>
              <w:t>(SRWM 2030)</w:t>
            </w:r>
          </w:p>
        </w:tc>
        <w:tc>
          <w:tcPr>
            <w:tcW w:w="354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CDBCD9F">
            <w:pPr>
              <w:suppressAutoHyphens/>
              <w:autoSpaceDN w:val="0"/>
              <w:spacing w:after="0" w:line="276" w:lineRule="auto"/>
              <w:jc w:val="both"/>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 xml:space="preserve">W </w:t>
            </w:r>
            <w:r>
              <w:rPr>
                <w:rFonts w:ascii="Times New Roman" w:hAnsi="Times New Roman" w:eastAsia="Calibri" w:cs="Times New Roman"/>
                <w:i/>
                <w:iCs/>
                <w:sz w:val="20"/>
                <w:szCs w:val="20"/>
              </w:rPr>
              <w:t xml:space="preserve">Strategii Rozwoju Województwa „Małopolska 2030” </w:t>
            </w:r>
            <w:r>
              <w:rPr>
                <w:rFonts w:ascii="Times New Roman" w:hAnsi="Times New Roman" w:eastAsia="Calibri" w:cs="Times New Roman"/>
                <w:sz w:val="20"/>
                <w:szCs w:val="20"/>
              </w:rPr>
              <w:t xml:space="preserve">została określona wizja rozwoju województwa: </w:t>
            </w:r>
            <w:r>
              <w:rPr>
                <w:rFonts w:ascii="Times New Roman" w:hAnsi="Times New Roman" w:eastAsia="Calibri" w:cs="Times New Roman"/>
                <w:i/>
                <w:iCs/>
                <w:sz w:val="20"/>
                <w:szCs w:val="20"/>
              </w:rPr>
              <w:t xml:space="preserve">Małopolska regionem równych szans i wszechstronnego rozwoju Małopolan, nowoczesnej gospodarki, odpowiedzialnie podchodzącym do zasobów środowiska naturalnego, silnym aktywnością swych mieszkańców, czerpiącym </w:t>
            </w:r>
            <w:r>
              <w:rPr>
                <w:rFonts w:ascii="Times New Roman" w:hAnsi="Times New Roman" w:eastAsia="Calibri" w:cs="Times New Roman"/>
                <w:i/>
                <w:iCs/>
                <w:sz w:val="20"/>
                <w:szCs w:val="20"/>
              </w:rPr>
              <w:br w:type="textWrapping"/>
            </w:r>
            <w:r>
              <w:rPr>
                <w:rFonts w:ascii="Times New Roman" w:hAnsi="Times New Roman" w:eastAsia="Calibri" w:cs="Times New Roman"/>
                <w:i/>
                <w:iCs/>
                <w:sz w:val="20"/>
                <w:szCs w:val="20"/>
              </w:rPr>
              <w:t xml:space="preserve">z dziedzictwa przeszłości, zachowującym swoją tożsamość i aktywnie działającym na rzecz integracji europejskiej. </w:t>
            </w:r>
            <w:r>
              <w:rPr>
                <w:rFonts w:ascii="Times New Roman" w:hAnsi="Times New Roman" w:eastAsia="Calibri" w:cs="Times New Roman"/>
                <w:sz w:val="20"/>
                <w:szCs w:val="20"/>
              </w:rPr>
              <w:t>Wizja ta zostanie osiągnięta poprzez realizację następujących obszarów tematycznych oraz przypisanych do nich celów szczegółowych:</w:t>
            </w:r>
          </w:p>
          <w:p w14:paraId="676C040F">
            <w:pPr>
              <w:spacing w:after="0" w:line="276" w:lineRule="auto"/>
              <w:jc w:val="both"/>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OBSZAR TEMATYCZNY I: MAŁOPOLANIE</w:t>
            </w:r>
          </w:p>
          <w:p w14:paraId="35E48F3D">
            <w:pPr>
              <w:spacing w:after="0" w:line="276" w:lineRule="auto"/>
              <w:jc w:val="both"/>
              <w:rPr>
                <w:rFonts w:ascii="Times New Roman" w:hAnsi="Times New Roman" w:eastAsia="Times New Roman" w:cs="Times New Roman"/>
                <w:i/>
                <w:iCs/>
                <w:sz w:val="20"/>
                <w:szCs w:val="20"/>
                <w:lang w:eastAsia="pl-PL"/>
              </w:rPr>
            </w:pPr>
            <w:r>
              <w:rPr>
                <w:rFonts w:ascii="Times New Roman" w:hAnsi="Times New Roman" w:eastAsia="Times New Roman" w:cs="Times New Roman"/>
                <w:sz w:val="20"/>
                <w:szCs w:val="20"/>
                <w:lang w:eastAsia="pl-PL"/>
              </w:rPr>
              <w:t xml:space="preserve">Cel szczegółowy: </w:t>
            </w:r>
            <w:r>
              <w:rPr>
                <w:rFonts w:ascii="Times New Roman" w:hAnsi="Times New Roman" w:eastAsia="Times New Roman" w:cs="Times New Roman"/>
                <w:i/>
                <w:iCs/>
                <w:sz w:val="20"/>
                <w:szCs w:val="20"/>
                <w:lang w:eastAsia="pl-PL"/>
              </w:rPr>
              <w:t>Rozwój społecznie wrażliwy, sprzyjający rodzinie</w:t>
            </w:r>
          </w:p>
          <w:p w14:paraId="1C57DE32">
            <w:pPr>
              <w:spacing w:after="0" w:line="276" w:lineRule="auto"/>
              <w:jc w:val="both"/>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OBSZAR TEMATYCZNY II: GOSPODARKA</w:t>
            </w:r>
          </w:p>
          <w:p w14:paraId="71F3DF21">
            <w:pPr>
              <w:spacing w:after="0" w:line="276" w:lineRule="auto"/>
              <w:jc w:val="both"/>
              <w:rPr>
                <w:rFonts w:ascii="Times New Roman" w:hAnsi="Times New Roman" w:eastAsia="Times New Roman" w:cs="Times New Roman"/>
                <w:i/>
                <w:iCs/>
                <w:sz w:val="20"/>
                <w:szCs w:val="20"/>
                <w:lang w:eastAsia="pl-PL"/>
              </w:rPr>
            </w:pPr>
            <w:r>
              <w:rPr>
                <w:rFonts w:ascii="Times New Roman" w:hAnsi="Times New Roman" w:eastAsia="Times New Roman" w:cs="Times New Roman"/>
                <w:sz w:val="20"/>
                <w:szCs w:val="20"/>
                <w:lang w:eastAsia="pl-PL"/>
              </w:rPr>
              <w:t xml:space="preserve">Cel szczegółowy: </w:t>
            </w:r>
            <w:r>
              <w:rPr>
                <w:rFonts w:ascii="Times New Roman" w:hAnsi="Times New Roman" w:eastAsia="Times New Roman" w:cs="Times New Roman"/>
                <w:i/>
                <w:iCs/>
                <w:sz w:val="20"/>
                <w:szCs w:val="20"/>
                <w:lang w:eastAsia="pl-PL"/>
              </w:rPr>
              <w:t>Innowacyjna i konkurencyjna gospodarka</w:t>
            </w:r>
          </w:p>
          <w:p w14:paraId="33C3F352">
            <w:pPr>
              <w:spacing w:after="0" w:line="276" w:lineRule="auto"/>
              <w:jc w:val="both"/>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OBSZAR TEMATYCZNY III: KLIMAT I ŚRODOWISKO</w:t>
            </w:r>
          </w:p>
          <w:p w14:paraId="7F5A4DDA">
            <w:pPr>
              <w:spacing w:after="0" w:line="276" w:lineRule="auto"/>
              <w:jc w:val="both"/>
              <w:rPr>
                <w:rFonts w:ascii="Times New Roman" w:hAnsi="Times New Roman" w:eastAsia="Times New Roman" w:cs="Times New Roman"/>
                <w:i/>
                <w:iCs/>
                <w:sz w:val="20"/>
                <w:szCs w:val="20"/>
                <w:lang w:eastAsia="pl-PL"/>
              </w:rPr>
            </w:pPr>
            <w:r>
              <w:rPr>
                <w:rFonts w:ascii="Times New Roman" w:hAnsi="Times New Roman" w:eastAsia="Times New Roman" w:cs="Times New Roman"/>
                <w:sz w:val="20"/>
                <w:szCs w:val="20"/>
                <w:lang w:eastAsia="pl-PL"/>
              </w:rPr>
              <w:t xml:space="preserve">Cel szczegółowy: </w:t>
            </w:r>
            <w:r>
              <w:rPr>
                <w:rFonts w:ascii="Times New Roman" w:hAnsi="Times New Roman" w:eastAsia="Times New Roman" w:cs="Times New Roman"/>
                <w:i/>
                <w:iCs/>
                <w:sz w:val="20"/>
                <w:szCs w:val="20"/>
                <w:lang w:eastAsia="pl-PL"/>
              </w:rPr>
              <w:t xml:space="preserve">Wysoka jakość środowiska i dążenie do neutralności klimatycznej </w:t>
            </w:r>
          </w:p>
          <w:p w14:paraId="4669A5D2">
            <w:pPr>
              <w:spacing w:after="0" w:line="276" w:lineRule="auto"/>
              <w:jc w:val="both"/>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OBSZAR TEMATYCZNY IV: ZARZĄDZANIE STRATEGICZNE ROZWOJEM</w:t>
            </w:r>
          </w:p>
          <w:p w14:paraId="5E0B4C6B">
            <w:pPr>
              <w:spacing w:after="0" w:line="276" w:lineRule="auto"/>
              <w:jc w:val="both"/>
              <w:rPr>
                <w:rFonts w:ascii="Times New Roman" w:hAnsi="Times New Roman" w:eastAsia="Times New Roman" w:cs="Times New Roman"/>
                <w:i/>
                <w:iCs/>
                <w:sz w:val="20"/>
                <w:szCs w:val="20"/>
                <w:lang w:eastAsia="pl-PL"/>
              </w:rPr>
            </w:pPr>
            <w:r>
              <w:rPr>
                <w:rFonts w:ascii="Times New Roman" w:hAnsi="Times New Roman" w:eastAsia="Times New Roman" w:cs="Times New Roman"/>
                <w:sz w:val="20"/>
                <w:szCs w:val="20"/>
                <w:lang w:eastAsia="pl-PL"/>
              </w:rPr>
              <w:t xml:space="preserve">Cel szczegółowy: </w:t>
            </w:r>
            <w:r>
              <w:rPr>
                <w:rFonts w:ascii="Times New Roman" w:hAnsi="Times New Roman" w:eastAsia="Times New Roman" w:cs="Times New Roman"/>
                <w:i/>
                <w:iCs/>
                <w:sz w:val="20"/>
                <w:szCs w:val="20"/>
                <w:lang w:eastAsia="pl-PL"/>
              </w:rPr>
              <w:t>System zarządzania strategicznego rozwojem dostosowanym do wyzwań dekady 2020–2030</w:t>
            </w:r>
          </w:p>
          <w:p w14:paraId="727F8A9F">
            <w:pPr>
              <w:spacing w:after="0" w:line="276" w:lineRule="auto"/>
              <w:jc w:val="both"/>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OBSZAR TEMATYCZNY V: ROZWÓJ ZRÓWNOWAŻONY TERYTORIALNIE</w:t>
            </w:r>
          </w:p>
          <w:p w14:paraId="21F5E93A">
            <w:pPr>
              <w:spacing w:after="0" w:line="276" w:lineRule="auto"/>
              <w:jc w:val="both"/>
              <w:rPr>
                <w:rFonts w:ascii="Times New Roman" w:hAnsi="Times New Roman" w:eastAsia="Times New Roman" w:cs="Times New Roman"/>
                <w:i/>
                <w:iCs/>
                <w:sz w:val="20"/>
                <w:szCs w:val="20"/>
                <w:lang w:eastAsia="pl-PL"/>
              </w:rPr>
            </w:pPr>
            <w:r>
              <w:rPr>
                <w:rFonts w:ascii="Times New Roman" w:hAnsi="Times New Roman" w:eastAsia="Times New Roman" w:cs="Times New Roman"/>
                <w:sz w:val="20"/>
                <w:szCs w:val="20"/>
                <w:lang w:eastAsia="pl-PL"/>
              </w:rPr>
              <w:t xml:space="preserve">Cel szczegółowy: </w:t>
            </w:r>
            <w:r>
              <w:rPr>
                <w:rFonts w:ascii="Times New Roman" w:hAnsi="Times New Roman" w:eastAsia="Times New Roman" w:cs="Times New Roman"/>
                <w:i/>
                <w:iCs/>
                <w:sz w:val="20"/>
                <w:szCs w:val="20"/>
                <w:lang w:eastAsia="pl-PL"/>
              </w:rPr>
              <w:t>Zrównoważony i trwały rozwój oparty na endogenicznych potencjałach</w:t>
            </w:r>
          </w:p>
          <w:p w14:paraId="72012C76">
            <w:pPr>
              <w:spacing w:after="0" w:line="276" w:lineRule="auto"/>
              <w:jc w:val="both"/>
              <w:rPr>
                <w:rFonts w:ascii="Times New Roman" w:hAnsi="Times New Roman" w:eastAsia="Times New Roman" w:cs="Times New Roman"/>
                <w:sz w:val="20"/>
                <w:szCs w:val="20"/>
                <w:lang w:eastAsia="pl-PL"/>
              </w:rPr>
            </w:pPr>
            <w:r>
              <w:rPr>
                <w:rFonts w:ascii="Times New Roman" w:hAnsi="Times New Roman" w:eastAsia="Times New Roman" w:cs="Times New Roman"/>
                <w:sz w:val="20"/>
                <w:szCs w:val="20"/>
                <w:lang w:eastAsia="pl-PL"/>
              </w:rPr>
              <w:t xml:space="preserve">Wszystkie wyżej wymienione obszary ukierunkowane są na zapewnienie jak najlepszej jakości życia mieszkańców oraz ich rodzin poprzez zrównoważony rozwój różnych elementów takich jak m.in.: rozwój i umacnianie konkurencyjnej oraz innowacyjnej pozycji Małopolski w wymiarze krajowym i międzynarodowym, rozwój usług społecznych w tym opieki zdrowotnej i edukacji, ochrona środowiska i racjonalne korzystanie z zasobów naturalnych, promocja dziedzictwa kulturowego, tworzenie warunków do rozwoju sportu i rekreacji, cyfryzacja, wzmacnianie oferty turystycznej, racjonalne gospodarowanie przestrzenią, a także wspieranie rozwoju miast i obszarów wiejskich oraz zachowywanie spójności i dostępności wewnątrzregionalnej. </w:t>
            </w:r>
          </w:p>
          <w:p w14:paraId="32139544">
            <w:pPr>
              <w:spacing w:after="0" w:line="276" w:lineRule="auto"/>
              <w:jc w:val="both"/>
              <w:rPr>
                <w:rFonts w:ascii="Times New Roman" w:hAnsi="Times New Roman" w:eastAsia="Times New Roman" w:cs="Times New Roman"/>
                <w:i/>
                <w:iCs/>
                <w:sz w:val="20"/>
                <w:szCs w:val="20"/>
                <w:lang w:eastAsia="pl-PL"/>
              </w:rPr>
            </w:pPr>
            <w:r>
              <w:rPr>
                <w:rFonts w:ascii="Times New Roman" w:hAnsi="Times New Roman" w:cs="Times New Roman"/>
                <w:sz w:val="20"/>
                <w:szCs w:val="20"/>
              </w:rPr>
              <w:t xml:space="preserve">Zaplanowane do realizacji w ramach LSR przedsięwzięcia wpisują się bezpośrednio lub pośrednio w ww. cele. Najmocniej skorelowanym z założeniami LSR celem SRWM 2030 jest cel szczegółowy </w:t>
            </w:r>
            <w:r>
              <w:rPr>
                <w:rFonts w:ascii="Times New Roman" w:hAnsi="Times New Roman" w:cs="Times New Roman"/>
                <w:i/>
                <w:iCs/>
                <w:sz w:val="20"/>
                <w:szCs w:val="20"/>
              </w:rPr>
              <w:t xml:space="preserve">Zrównoważony i trwały rozwój oparty na endogenicznych potencjałach, </w:t>
            </w:r>
            <w:r>
              <w:rPr>
                <w:rFonts w:ascii="Times New Roman" w:hAnsi="Times New Roman" w:cs="Times New Roman"/>
                <w:sz w:val="20"/>
                <w:szCs w:val="20"/>
              </w:rPr>
              <w:t xml:space="preserve">poprzez jeden z głównych kierunków polityki rozwoju jakim jest </w:t>
            </w:r>
            <w:r>
              <w:rPr>
                <w:rFonts w:ascii="Times New Roman" w:hAnsi="Times New Roman" w:cs="Times New Roman"/>
                <w:i/>
                <w:iCs/>
                <w:sz w:val="20"/>
                <w:szCs w:val="20"/>
              </w:rPr>
              <w:t xml:space="preserve">Rozwój obszarów wiejskich, </w:t>
            </w:r>
            <w:r>
              <w:rPr>
                <w:rFonts w:ascii="Times New Roman" w:hAnsi="Times New Roman" w:cs="Times New Roman"/>
                <w:sz w:val="20"/>
                <w:szCs w:val="20"/>
              </w:rPr>
              <w:t xml:space="preserve">który zakłada wspierania wszelkiej aktywności społecznej, obywatelskiej i działania lokalnych organizacji pozarządowych oraz włączanie mieszkańców w procesy decyzyjne co do kierunków i form rozwoju ich miejsca zamieszkania. Główny cel LSR odnosi się właśnie do się do zwiększenia poczucia tożsamości mieszkańców, a szczególnie osób młodych, poprawy warunków dla zwiększenia aktywności społecznej mieszkańców i rozwoju inicjatyw kulturalnych. Ponadto w ramach celu LSR przewiduje się premiowanie innowacyjnych rozwiązań, zaś sama idea podejścia LEADER oraz zaplanowane w LSR przedsięwzięcia, w tym związane z wdrożeniem koncepcji Smart Villages oraz animujące do realizacji projektów w partnerstwie, są czynnikami pozwalającymi stwierdzić, że cel LSR jest spójny również z celem szczegółowym </w:t>
            </w:r>
            <w:r>
              <w:rPr>
                <w:rFonts w:ascii="Times New Roman" w:hAnsi="Times New Roman" w:cs="Times New Roman"/>
                <w:i/>
                <w:iCs/>
                <w:sz w:val="20"/>
                <w:szCs w:val="20"/>
              </w:rPr>
              <w:t>System zarządzania strategicznego rozwojem dostosowanym do wyzwań dekady 2020–2030</w:t>
            </w:r>
            <w:r>
              <w:rPr>
                <w:rFonts w:ascii="Times New Roman" w:hAnsi="Times New Roman" w:cs="Times New Roman"/>
                <w:sz w:val="20"/>
                <w:szCs w:val="20"/>
              </w:rPr>
              <w:t xml:space="preserve">, którego jednym z kierunków polityki rozwoju jest </w:t>
            </w:r>
            <w:r>
              <w:rPr>
                <w:rFonts w:ascii="Times New Roman" w:hAnsi="Times New Roman" w:cs="Times New Roman"/>
                <w:i/>
                <w:iCs/>
                <w:sz w:val="20"/>
                <w:szCs w:val="20"/>
              </w:rPr>
              <w:t>Współpraca i partnerstwo.</w:t>
            </w:r>
          </w:p>
        </w:tc>
      </w:tr>
      <w:tr w14:paraId="68AFBD77">
        <w:tblPrEx>
          <w:tblCellMar>
            <w:top w:w="0" w:type="dxa"/>
            <w:left w:w="10" w:type="dxa"/>
            <w:bottom w:w="0" w:type="dxa"/>
            <w:right w:w="10" w:type="dxa"/>
          </w:tblCellMar>
        </w:tblPrEx>
        <w:trPr>
          <w:trHeight w:val="340" w:hRule="atLeast"/>
          <w:jc w:val="center"/>
        </w:trPr>
        <w:tc>
          <w:tcPr>
            <w:tcW w:w="363"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EF5C9D3">
            <w:pPr>
              <w:suppressAutoHyphens/>
              <w:autoSpaceDN w:val="0"/>
              <w:spacing w:after="0" w:line="276" w:lineRule="auto"/>
              <w:ind w:left="-112"/>
              <w:jc w:val="center"/>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2.</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64C77F2">
            <w:pPr>
              <w:suppressAutoHyphens/>
              <w:autoSpaceDN w:val="0"/>
              <w:spacing w:after="0" w:line="276" w:lineRule="auto"/>
              <w:jc w:val="center"/>
              <w:textAlignment w:val="baseline"/>
              <w:rPr>
                <w:rFonts w:ascii="Times New Roman" w:hAnsi="Times New Roman" w:eastAsia="Calibri" w:cs="Times New Roman"/>
                <w:i/>
                <w:iCs/>
                <w:sz w:val="20"/>
                <w:szCs w:val="20"/>
              </w:rPr>
            </w:pPr>
            <w:r>
              <w:rPr>
                <w:rFonts w:ascii="Times New Roman" w:hAnsi="Times New Roman" w:eastAsia="Calibri" w:cs="Times New Roman"/>
                <w:i/>
                <w:iCs/>
                <w:sz w:val="20"/>
                <w:szCs w:val="20"/>
              </w:rPr>
              <w:t>Plan Zagospodarowania</w:t>
            </w:r>
            <w:r>
              <w:rPr>
                <w:rFonts w:ascii="Times New Roman" w:hAnsi="Times New Roman" w:eastAsia="Calibri" w:cs="Times New Roman"/>
                <w:i/>
                <w:iCs/>
                <w:sz w:val="20"/>
                <w:szCs w:val="20"/>
              </w:rPr>
              <w:br w:type="textWrapping"/>
            </w:r>
            <w:r>
              <w:rPr>
                <w:rFonts w:ascii="Times New Roman" w:hAnsi="Times New Roman" w:eastAsia="Calibri" w:cs="Times New Roman"/>
                <w:i/>
                <w:iCs/>
                <w:sz w:val="20"/>
                <w:szCs w:val="20"/>
              </w:rPr>
              <w:t>Przestrzennego</w:t>
            </w:r>
            <w:r>
              <w:rPr>
                <w:rFonts w:ascii="Times New Roman" w:hAnsi="Times New Roman" w:eastAsia="Calibri" w:cs="Times New Roman"/>
                <w:i/>
                <w:iCs/>
                <w:sz w:val="20"/>
                <w:szCs w:val="20"/>
              </w:rPr>
              <w:br w:type="textWrapping"/>
            </w:r>
            <w:r>
              <w:rPr>
                <w:rFonts w:ascii="Times New Roman" w:hAnsi="Times New Roman" w:eastAsia="Calibri" w:cs="Times New Roman"/>
                <w:i/>
                <w:iCs/>
                <w:sz w:val="20"/>
                <w:szCs w:val="20"/>
              </w:rPr>
              <w:t>Województwa</w:t>
            </w:r>
            <w:r>
              <w:rPr>
                <w:rFonts w:ascii="Times New Roman" w:hAnsi="Times New Roman" w:eastAsia="Calibri" w:cs="Times New Roman"/>
                <w:i/>
                <w:iCs/>
                <w:sz w:val="20"/>
                <w:szCs w:val="20"/>
              </w:rPr>
              <w:br w:type="textWrapping"/>
            </w:r>
            <w:r>
              <w:rPr>
                <w:rFonts w:ascii="Times New Roman" w:hAnsi="Times New Roman" w:eastAsia="Calibri" w:cs="Times New Roman"/>
                <w:i/>
                <w:iCs/>
                <w:sz w:val="20"/>
                <w:szCs w:val="20"/>
              </w:rPr>
              <w:t>Małopolskiego</w:t>
            </w:r>
            <w:r>
              <w:rPr>
                <w:rStyle w:val="17"/>
                <w:rFonts w:ascii="Times New Roman" w:hAnsi="Times New Roman" w:eastAsia="Calibri" w:cs="Times New Roman"/>
                <w:i/>
                <w:iCs/>
                <w:sz w:val="20"/>
                <w:szCs w:val="20"/>
              </w:rPr>
              <w:footnoteReference w:id="40"/>
            </w:r>
            <w:r>
              <w:rPr>
                <w:rFonts w:ascii="Times New Roman" w:hAnsi="Times New Roman" w:cs="Times New Roman"/>
                <w:sz w:val="20"/>
                <w:szCs w:val="20"/>
              </w:rPr>
              <w:br w:type="textWrapping"/>
            </w:r>
            <w:r>
              <w:rPr>
                <w:rStyle w:val="44"/>
                <w:rFonts w:ascii="Times New Roman" w:hAnsi="Times New Roman" w:cs="Times New Roman"/>
                <w:sz w:val="20"/>
                <w:szCs w:val="20"/>
              </w:rPr>
              <w:t>(PZPWM)</w:t>
            </w:r>
          </w:p>
        </w:tc>
        <w:tc>
          <w:tcPr>
            <w:tcW w:w="354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EA26603">
            <w:pPr>
              <w:suppressAutoHyphens/>
              <w:autoSpaceDN w:val="0"/>
              <w:spacing w:after="0" w:line="276" w:lineRule="auto"/>
              <w:jc w:val="both"/>
              <w:textAlignment w:val="baseline"/>
              <w:rPr>
                <w:rFonts w:ascii="Times New Roman" w:hAnsi="Times New Roman" w:eastAsia="Calibri" w:cs="Times New Roman"/>
                <w:i/>
                <w:iCs/>
                <w:sz w:val="20"/>
                <w:szCs w:val="20"/>
              </w:rPr>
            </w:pPr>
            <w:r>
              <w:rPr>
                <w:rFonts w:ascii="Times New Roman" w:hAnsi="Times New Roman" w:eastAsia="Calibri" w:cs="Times New Roman"/>
                <w:i/>
                <w:iCs/>
                <w:sz w:val="20"/>
                <w:szCs w:val="20"/>
              </w:rPr>
              <w:t xml:space="preserve">Plan Zagospodarowania Przestrzennego Województwa Małopolskiego </w:t>
            </w:r>
            <w:r>
              <w:rPr>
                <w:rFonts w:ascii="Times New Roman" w:hAnsi="Times New Roman" w:eastAsia="Calibri" w:cs="Times New Roman"/>
                <w:sz w:val="20"/>
                <w:szCs w:val="20"/>
              </w:rPr>
              <w:t>o</w:t>
            </w:r>
            <w:r>
              <w:rPr>
                <w:rStyle w:val="44"/>
                <w:rFonts w:ascii="Times New Roman" w:hAnsi="Times New Roman" w:cs="Times New Roman"/>
                <w:sz w:val="20"/>
                <w:szCs w:val="20"/>
              </w:rPr>
              <w:t xml:space="preserve">bok </w:t>
            </w:r>
            <w:r>
              <w:rPr>
                <w:rFonts w:ascii="Times New Roman" w:hAnsi="Times New Roman" w:cs="Times New Roman"/>
                <w:i/>
                <w:iCs/>
                <w:sz w:val="20"/>
                <w:szCs w:val="20"/>
              </w:rPr>
              <w:t xml:space="preserve">Strategii Rozwoju Województwa „Małopolska 2030” </w:t>
            </w:r>
            <w:r>
              <w:rPr>
                <w:rStyle w:val="44"/>
                <w:rFonts w:ascii="Times New Roman" w:hAnsi="Times New Roman" w:cs="Times New Roman"/>
                <w:sz w:val="20"/>
                <w:szCs w:val="20"/>
              </w:rPr>
              <w:t>i związanych z nią strategii sektorowych oraz programów operacyjnych należy do kluczowych narzędzi zarządzania rozwojem. Funkcją dokumentu jest ustalanie jakie cele i programy oraz w jaki sposób będą realizowane na jego poszczególnych terytoriach</w:t>
            </w:r>
            <w:r>
              <w:rPr>
                <w:rFonts w:ascii="Times New Roman" w:hAnsi="Times New Roman" w:eastAsia="Calibri" w:cs="Times New Roman"/>
                <w:sz w:val="20"/>
                <w:szCs w:val="20"/>
              </w:rPr>
              <w:t xml:space="preserve">. W dokumencie został określony cel: </w:t>
            </w:r>
            <w:r>
              <w:rPr>
                <w:rFonts w:ascii="Times New Roman" w:hAnsi="Times New Roman" w:eastAsia="Calibri" w:cs="Times New Roman"/>
                <w:i/>
                <w:iCs/>
                <w:sz w:val="20"/>
                <w:szCs w:val="20"/>
              </w:rPr>
              <w:t>C</w:t>
            </w:r>
            <w:r>
              <w:rPr>
                <w:rStyle w:val="44"/>
                <w:rFonts w:ascii="Times New Roman" w:hAnsi="Times New Roman" w:cs="Times New Roman"/>
                <w:i/>
                <w:iCs/>
                <w:sz w:val="20"/>
                <w:szCs w:val="20"/>
              </w:rPr>
              <w:t>elem rozwoju przestrzennego dla Małopolski jest utrzymanie, a w pewnych elementach nawet poprawienie stanu środowiska i podniesienie jakości krajobrazu i zasobów kultury, przy zapewnieniu warunków do stabilnego wzrostu gospodarczego i podniesienia standardów jakości życia mieszkańców drogą bardziej efektywnej gospodarki przestrzennej</w:t>
            </w:r>
            <w:r>
              <w:rPr>
                <w:rFonts w:ascii="Times New Roman" w:hAnsi="Times New Roman" w:eastAsia="Calibri" w:cs="Times New Roman"/>
                <w:i/>
                <w:iCs/>
                <w:sz w:val="20"/>
                <w:szCs w:val="20"/>
              </w:rPr>
              <w:t xml:space="preserve">. </w:t>
            </w:r>
          </w:p>
          <w:p w14:paraId="37307EE5">
            <w:pPr>
              <w:suppressAutoHyphens/>
              <w:autoSpaceDN w:val="0"/>
              <w:spacing w:after="0" w:line="276" w:lineRule="auto"/>
              <w:jc w:val="both"/>
              <w:textAlignment w:val="baseline"/>
              <w:rPr>
                <w:rFonts w:ascii="Times New Roman" w:hAnsi="Times New Roman" w:eastAsia="Calibri" w:cs="Times New Roman"/>
                <w:i/>
                <w:iCs/>
                <w:sz w:val="20"/>
                <w:szCs w:val="20"/>
              </w:rPr>
            </w:pPr>
            <w:r>
              <w:rPr>
                <w:rFonts w:ascii="Times New Roman" w:hAnsi="Times New Roman" w:eastAsia="Calibri" w:cs="Times New Roman"/>
                <w:sz w:val="20"/>
                <w:szCs w:val="20"/>
              </w:rPr>
              <w:t xml:space="preserve">Realizacja powyższego celu będzie możliwa poprzez 5 kluczowych zasad polityki przestrzennej, których realizacja wymaga skoordynowanych działań na poziomie regionalnym i lokalnym. </w:t>
            </w:r>
            <w:r>
              <w:rPr>
                <w:rFonts w:ascii="Times New Roman" w:hAnsi="Times New Roman" w:cs="Times New Roman"/>
                <w:sz w:val="20"/>
                <w:szCs w:val="20"/>
              </w:rPr>
              <w:t xml:space="preserve">Te, z którymi najbardziej powiązane są założenia LSR to: </w:t>
            </w:r>
            <w:r>
              <w:rPr>
                <w:rFonts w:ascii="Times New Roman" w:hAnsi="Times New Roman" w:eastAsia="Calibri" w:cs="Times New Roman"/>
                <w:i/>
                <w:iCs/>
                <w:sz w:val="20"/>
                <w:szCs w:val="20"/>
              </w:rPr>
              <w:t>4</w:t>
            </w:r>
            <w:r>
              <w:rPr>
                <w:rFonts w:ascii="Times New Roman" w:hAnsi="Times New Roman" w:cs="Times New Roman"/>
                <w:sz w:val="20"/>
                <w:szCs w:val="20"/>
              </w:rPr>
              <w:t xml:space="preserve">. </w:t>
            </w:r>
            <w:r>
              <w:rPr>
                <w:rFonts w:ascii="Times New Roman" w:hAnsi="Times New Roman" w:eastAsia="Calibri" w:cs="Times New Roman"/>
                <w:i/>
                <w:iCs/>
                <w:sz w:val="20"/>
                <w:szCs w:val="20"/>
              </w:rPr>
              <w:t>Ochrona dziedzictwa przyrodniczo-kulturowego i krajobrazu: 4c. rozwój różnych form turystyki zachowującej potencjał i wartości środowiska przyrodniczo-kulturowego i krajobrazu.</w:t>
            </w:r>
          </w:p>
          <w:p w14:paraId="5A80F021">
            <w:pPr>
              <w:suppressAutoHyphens/>
              <w:autoSpaceDN w:val="0"/>
              <w:spacing w:after="0" w:line="276" w:lineRule="auto"/>
              <w:jc w:val="both"/>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 xml:space="preserve">Ponadto PZPWM wyznacza 12 obszarów funkcjonalnych oraz tyle samo subregionów, gminy LGD znalazły się w obszarze Park – P2, w subregionie podhalańskim, sądeckim. </w:t>
            </w:r>
          </w:p>
          <w:p w14:paraId="1F891322">
            <w:pPr>
              <w:suppressAutoHyphens/>
              <w:autoSpaceDN w:val="0"/>
              <w:spacing w:after="0" w:line="276" w:lineRule="auto"/>
              <w:jc w:val="both"/>
              <w:textAlignment w:val="baseline"/>
              <w:rPr>
                <w:rFonts w:ascii="Times New Roman" w:hAnsi="Times New Roman" w:eastAsia="Calibri" w:cs="Times New Roman"/>
                <w:sz w:val="20"/>
                <w:szCs w:val="20"/>
              </w:rPr>
            </w:pPr>
            <w:r>
              <w:rPr>
                <w:rFonts w:ascii="Times New Roman" w:hAnsi="Times New Roman" w:cs="Times New Roman"/>
                <w:sz w:val="20"/>
                <w:szCs w:val="20"/>
              </w:rPr>
              <w:t>LSR nastawiona jest na wdrażanie rozwiązań innowacyjnych (operacje dedykowane innowacyjnym rozwiązaniom i premiowanie innowacyjnych rozwiązań). Ponadto wszelkie zaplanowanie działania będą wykorzystywać lokalne potencjały rozwoju. W ramach realizacji LSR premiowane będą m.in. operacje zapewniające racjonalne gospodarowanie zasobami lub ograniczające presję na środowisko, co wpłynie pozytywnie na ograniczenie wpływu i skutków oddziaływania człowieka na środowisko.</w:t>
            </w:r>
          </w:p>
        </w:tc>
      </w:tr>
      <w:tr w14:paraId="196A6F91">
        <w:tblPrEx>
          <w:tblCellMar>
            <w:top w:w="0" w:type="dxa"/>
            <w:left w:w="10" w:type="dxa"/>
            <w:bottom w:w="0" w:type="dxa"/>
            <w:right w:w="10" w:type="dxa"/>
          </w:tblCellMar>
        </w:tblPrEx>
        <w:trPr>
          <w:trHeight w:val="340" w:hRule="atLeast"/>
          <w:jc w:val="center"/>
        </w:trPr>
        <w:tc>
          <w:tcPr>
            <w:tcW w:w="363"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810BDC7">
            <w:pPr>
              <w:suppressAutoHyphens/>
              <w:autoSpaceDN w:val="0"/>
              <w:spacing w:after="0" w:line="276" w:lineRule="auto"/>
              <w:ind w:left="-112"/>
              <w:jc w:val="center"/>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3.</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54D2F72">
            <w:pPr>
              <w:suppressAutoHyphens/>
              <w:autoSpaceDN w:val="0"/>
              <w:spacing w:after="0" w:line="276" w:lineRule="auto"/>
              <w:jc w:val="center"/>
              <w:textAlignment w:val="baseline"/>
              <w:rPr>
                <w:rFonts w:ascii="Times New Roman" w:hAnsi="Times New Roman" w:eastAsia="Calibri" w:cs="Times New Roman"/>
                <w:i/>
                <w:iCs/>
                <w:sz w:val="20"/>
                <w:szCs w:val="20"/>
              </w:rPr>
            </w:pPr>
            <w:r>
              <w:rPr>
                <w:rFonts w:ascii="Times New Roman" w:hAnsi="Times New Roman" w:eastAsia="Calibri" w:cs="Times New Roman"/>
                <w:i/>
                <w:iCs/>
                <w:sz w:val="20"/>
                <w:szCs w:val="20"/>
              </w:rPr>
              <w:t>Strategia Rozwoju Powiatu Myślenickiego na lata 2021–2030</w:t>
            </w:r>
            <w:r>
              <w:rPr>
                <w:rStyle w:val="17"/>
                <w:rFonts w:ascii="Times New Roman" w:hAnsi="Times New Roman" w:eastAsia="Calibri" w:cs="Times New Roman"/>
                <w:i/>
                <w:iCs/>
                <w:sz w:val="20"/>
                <w:szCs w:val="20"/>
              </w:rPr>
              <w:footnoteReference w:id="41"/>
            </w:r>
          </w:p>
        </w:tc>
        <w:tc>
          <w:tcPr>
            <w:tcW w:w="354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5412885">
            <w:pPr>
              <w:suppressAutoHyphens/>
              <w:autoSpaceDN w:val="0"/>
              <w:spacing w:after="0" w:line="276" w:lineRule="auto"/>
              <w:jc w:val="both"/>
              <w:textAlignment w:val="baseline"/>
              <w:rPr>
                <w:rFonts w:ascii="Times New Roman" w:hAnsi="Times New Roman" w:cs="Times New Roman"/>
                <w:sz w:val="20"/>
                <w:szCs w:val="20"/>
              </w:rPr>
            </w:pPr>
            <w:r>
              <w:rPr>
                <w:rFonts w:ascii="Times New Roman" w:hAnsi="Times New Roman" w:cs="Times New Roman"/>
                <w:sz w:val="20"/>
                <w:szCs w:val="20"/>
              </w:rPr>
              <w:t>Wszystkie gminy objęte LSR wchodzą w skład Powiatu Myślenickiego.</w:t>
            </w:r>
          </w:p>
          <w:p w14:paraId="545438D7">
            <w:pPr>
              <w:suppressAutoHyphens/>
              <w:autoSpaceDN w:val="0"/>
              <w:spacing w:after="0" w:line="276"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Wizja Rozwoju Powiatu Myślenickiego – </w:t>
            </w:r>
            <w:r>
              <w:rPr>
                <w:rFonts w:ascii="Times New Roman" w:hAnsi="Times New Roman" w:cs="Times New Roman"/>
                <w:i/>
                <w:iCs/>
                <w:sz w:val="20"/>
                <w:szCs w:val="20"/>
              </w:rPr>
              <w:t>Powiat Myślenicki to</w:t>
            </w:r>
            <w:r>
              <w:rPr>
                <w:rFonts w:ascii="Times New Roman" w:hAnsi="Times New Roman" w:cs="Times New Roman"/>
                <w:sz w:val="20"/>
                <w:szCs w:val="20"/>
              </w:rPr>
              <w:t xml:space="preserve">: </w:t>
            </w:r>
          </w:p>
          <w:p w14:paraId="3A35997F">
            <w:pPr>
              <w:pStyle w:val="28"/>
              <w:numPr>
                <w:ilvl w:val="0"/>
                <w:numId w:val="31"/>
              </w:numPr>
              <w:suppressAutoHyphens/>
              <w:autoSpaceDN w:val="0"/>
              <w:spacing w:after="0" w:line="276" w:lineRule="auto"/>
              <w:ind w:left="313" w:hanging="313"/>
              <w:jc w:val="both"/>
              <w:textAlignment w:val="baseline"/>
              <w:rPr>
                <w:rFonts w:ascii="Times New Roman" w:hAnsi="Times New Roman" w:cs="Times New Roman"/>
                <w:i/>
                <w:iCs/>
                <w:sz w:val="20"/>
                <w:szCs w:val="20"/>
              </w:rPr>
            </w:pPr>
            <w:r>
              <w:rPr>
                <w:rFonts w:ascii="Times New Roman" w:hAnsi="Times New Roman" w:cs="Times New Roman"/>
                <w:i/>
                <w:iCs/>
                <w:sz w:val="20"/>
                <w:szCs w:val="20"/>
              </w:rPr>
              <w:t>powiat przyjazny, oferujący mieszkańcom wysoką jakość życia z dobrze zorganizowaną ofertą publiczną, terenami zieleni i efektywnym transportem publicznym,</w:t>
            </w:r>
          </w:p>
          <w:p w14:paraId="1A9F4FE1">
            <w:pPr>
              <w:pStyle w:val="28"/>
              <w:numPr>
                <w:ilvl w:val="0"/>
                <w:numId w:val="31"/>
              </w:numPr>
              <w:suppressAutoHyphens/>
              <w:autoSpaceDN w:val="0"/>
              <w:spacing w:after="0" w:line="276" w:lineRule="auto"/>
              <w:ind w:left="313" w:hanging="313"/>
              <w:jc w:val="both"/>
              <w:textAlignment w:val="baseline"/>
              <w:rPr>
                <w:rFonts w:ascii="Times New Roman" w:hAnsi="Times New Roman" w:cs="Times New Roman"/>
                <w:i/>
                <w:iCs/>
                <w:sz w:val="20"/>
                <w:szCs w:val="20"/>
              </w:rPr>
            </w:pPr>
            <w:r>
              <w:rPr>
                <w:rFonts w:ascii="Times New Roman" w:hAnsi="Times New Roman" w:cs="Times New Roman"/>
                <w:i/>
                <w:iCs/>
                <w:sz w:val="20"/>
                <w:szCs w:val="20"/>
              </w:rPr>
              <w:t xml:space="preserve">powiat spójny – społecznie, ekonomicznie i przestrzennie, troszczący się o zachowanie dziedzictwa kulturowego i cennych przyrodniczo obszarów, </w:t>
            </w:r>
          </w:p>
          <w:p w14:paraId="237EEE86">
            <w:pPr>
              <w:pStyle w:val="28"/>
              <w:numPr>
                <w:ilvl w:val="0"/>
                <w:numId w:val="31"/>
              </w:numPr>
              <w:suppressAutoHyphens/>
              <w:autoSpaceDN w:val="0"/>
              <w:spacing w:after="0" w:line="276" w:lineRule="auto"/>
              <w:ind w:left="313" w:hanging="313"/>
              <w:jc w:val="both"/>
              <w:textAlignment w:val="baseline"/>
              <w:rPr>
                <w:rFonts w:ascii="Times New Roman" w:hAnsi="Times New Roman" w:cs="Times New Roman"/>
                <w:i/>
                <w:iCs/>
                <w:sz w:val="20"/>
                <w:szCs w:val="20"/>
              </w:rPr>
            </w:pPr>
            <w:r>
              <w:rPr>
                <w:rFonts w:ascii="Times New Roman" w:hAnsi="Times New Roman" w:cs="Times New Roman"/>
                <w:i/>
                <w:iCs/>
                <w:sz w:val="20"/>
                <w:szCs w:val="20"/>
              </w:rPr>
              <w:t xml:space="preserve">powiat silny – posiadający mocną pozycję w regionie i wykorzystujący swój potencjał, </w:t>
            </w:r>
          </w:p>
          <w:p w14:paraId="7B91449D">
            <w:pPr>
              <w:pStyle w:val="28"/>
              <w:numPr>
                <w:ilvl w:val="0"/>
                <w:numId w:val="31"/>
              </w:numPr>
              <w:suppressAutoHyphens/>
              <w:autoSpaceDN w:val="0"/>
              <w:spacing w:after="0" w:line="276" w:lineRule="auto"/>
              <w:ind w:left="313" w:hanging="313"/>
              <w:jc w:val="both"/>
              <w:textAlignment w:val="baseline"/>
              <w:rPr>
                <w:rFonts w:ascii="Times New Roman" w:hAnsi="Times New Roman" w:cs="Times New Roman"/>
                <w:i/>
                <w:iCs/>
                <w:sz w:val="20"/>
                <w:szCs w:val="20"/>
              </w:rPr>
            </w:pPr>
            <w:r>
              <w:rPr>
                <w:rFonts w:ascii="Times New Roman" w:hAnsi="Times New Roman" w:cs="Times New Roman"/>
                <w:i/>
                <w:iCs/>
                <w:sz w:val="20"/>
                <w:szCs w:val="20"/>
              </w:rPr>
              <w:t xml:space="preserve">powiat konkurencyjny – przyjazny przedsiębiorcom, atrakcyjny do lokowania i prowadzenia innowacyjnego biznesu, oparty na gospodarce niskoemisyjnej, </w:t>
            </w:r>
          </w:p>
          <w:p w14:paraId="6A5D5391">
            <w:pPr>
              <w:pStyle w:val="28"/>
              <w:numPr>
                <w:ilvl w:val="0"/>
                <w:numId w:val="31"/>
              </w:numPr>
              <w:suppressAutoHyphens/>
              <w:autoSpaceDN w:val="0"/>
              <w:spacing w:after="0" w:line="276" w:lineRule="auto"/>
              <w:ind w:left="313" w:hanging="313"/>
              <w:jc w:val="both"/>
              <w:textAlignment w:val="baseline"/>
              <w:rPr>
                <w:rFonts w:ascii="Times New Roman" w:hAnsi="Times New Roman" w:cs="Times New Roman"/>
                <w:i/>
                <w:iCs/>
                <w:sz w:val="20"/>
                <w:szCs w:val="20"/>
              </w:rPr>
            </w:pPr>
            <w:r>
              <w:rPr>
                <w:rFonts w:ascii="Times New Roman" w:hAnsi="Times New Roman" w:cs="Times New Roman"/>
                <w:i/>
                <w:iCs/>
                <w:sz w:val="20"/>
                <w:szCs w:val="20"/>
              </w:rPr>
              <w:t xml:space="preserve">powiat sprawny – sprawnie zarządzany poprzez skuteczne zintegrowane działania oddziałowujące na cały jego obszar i aktywną współpracę z Gminami oraz Mieszkańcami. </w:t>
            </w:r>
          </w:p>
          <w:p w14:paraId="4584DF4E">
            <w:pPr>
              <w:suppressAutoHyphens/>
              <w:autoSpaceDN w:val="0"/>
              <w:spacing w:after="0" w:line="276" w:lineRule="auto"/>
              <w:jc w:val="both"/>
              <w:textAlignment w:val="baseline"/>
              <w:rPr>
                <w:rFonts w:ascii="Times New Roman" w:hAnsi="Times New Roman" w:cs="Times New Roman"/>
                <w:i/>
                <w:iCs/>
                <w:sz w:val="20"/>
                <w:szCs w:val="20"/>
              </w:rPr>
            </w:pPr>
            <w:r>
              <w:rPr>
                <w:rFonts w:ascii="Times New Roman" w:hAnsi="Times New Roman" w:cs="Times New Roman"/>
                <w:sz w:val="20"/>
                <w:szCs w:val="20"/>
              </w:rPr>
              <w:t xml:space="preserve">Misja Powiatu Myślenickiego: </w:t>
            </w:r>
            <w:r>
              <w:rPr>
                <w:rFonts w:ascii="Times New Roman" w:hAnsi="Times New Roman" w:cs="Times New Roman"/>
                <w:i/>
                <w:iCs/>
                <w:sz w:val="20"/>
                <w:szCs w:val="20"/>
              </w:rPr>
              <w:t>Powiat Myślenicki w 2030 roku to atrakcyjne i bezpieczne miejsce zamieszkania – pracy, edukacji, inwestowania i wypoczynku w czystym środowisku naturalnym</w:t>
            </w:r>
          </w:p>
          <w:p w14:paraId="719470C2">
            <w:pPr>
              <w:suppressAutoHyphens/>
              <w:autoSpaceDN w:val="0"/>
              <w:spacing w:after="0" w:line="276" w:lineRule="auto"/>
              <w:jc w:val="both"/>
              <w:textAlignment w:val="baseline"/>
              <w:rPr>
                <w:rFonts w:ascii="Times New Roman" w:hAnsi="Times New Roman" w:cs="Times New Roman"/>
                <w:sz w:val="20"/>
                <w:szCs w:val="20"/>
              </w:rPr>
            </w:pPr>
            <w:r>
              <w:rPr>
                <w:rFonts w:ascii="Times New Roman" w:hAnsi="Times New Roman" w:cs="Times New Roman"/>
                <w:sz w:val="20"/>
                <w:szCs w:val="20"/>
              </w:rPr>
              <w:t>W ramach Strategii określono obszary strategiczne, cele strategiczne, cele operacyjne i kierunki działań realizowane przez samorząd Powiatu Myślenickiego – w największym stopniu z celem LSR korelują:</w:t>
            </w:r>
          </w:p>
          <w:p w14:paraId="65209B5D">
            <w:pPr>
              <w:suppressAutoHyphens/>
              <w:autoSpaceDN w:val="0"/>
              <w:spacing w:after="0" w:line="276" w:lineRule="auto"/>
              <w:jc w:val="both"/>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Obszar Edukacja, kultura, sport, turystyka, promocja.</w:t>
            </w:r>
          </w:p>
          <w:p w14:paraId="46955901">
            <w:pPr>
              <w:suppressAutoHyphens/>
              <w:autoSpaceDN w:val="0"/>
              <w:spacing w:after="0" w:line="276" w:lineRule="auto"/>
              <w:jc w:val="both"/>
              <w:textAlignment w:val="baseline"/>
              <w:rPr>
                <w:rFonts w:ascii="Times New Roman" w:hAnsi="Times New Roman" w:cs="Times New Roman"/>
                <w:i/>
                <w:iCs/>
                <w:sz w:val="20"/>
                <w:szCs w:val="20"/>
              </w:rPr>
            </w:pPr>
            <w:r>
              <w:rPr>
                <w:rFonts w:ascii="Times New Roman" w:hAnsi="Times New Roman" w:cs="Times New Roman"/>
                <w:i/>
                <w:iCs/>
                <w:sz w:val="20"/>
                <w:szCs w:val="20"/>
              </w:rPr>
              <w:t>Cel strategiczny Rozwój edukacji, kultury, turystyki oraz kapitału społecznego</w:t>
            </w:r>
          </w:p>
          <w:p w14:paraId="7012901E">
            <w:pPr>
              <w:suppressAutoHyphens/>
              <w:autoSpaceDN w:val="0"/>
              <w:spacing w:after="0" w:line="276" w:lineRule="auto"/>
              <w:jc w:val="both"/>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Obszar Zdrowie i pomoc społeczna.</w:t>
            </w:r>
          </w:p>
          <w:p w14:paraId="02831973">
            <w:pPr>
              <w:spacing w:after="0" w:line="276" w:lineRule="auto"/>
              <w:jc w:val="both"/>
              <w:rPr>
                <w:rFonts w:ascii="Times New Roman" w:hAnsi="Times New Roman" w:cs="Times New Roman"/>
                <w:sz w:val="20"/>
                <w:szCs w:val="20"/>
              </w:rPr>
            </w:pPr>
            <w:r>
              <w:rPr>
                <w:rFonts w:ascii="Times New Roman" w:hAnsi="Times New Roman" w:eastAsia="Calibri" w:cs="Times New Roman"/>
                <w:i/>
                <w:iCs/>
                <w:sz w:val="20"/>
                <w:szCs w:val="20"/>
              </w:rPr>
              <w:t xml:space="preserve">Cel strategiczny </w:t>
            </w:r>
            <w:r>
              <w:rPr>
                <w:rFonts w:ascii="Times New Roman" w:hAnsi="Times New Roman" w:cs="Times New Roman"/>
                <w:i/>
                <w:iCs/>
                <w:sz w:val="20"/>
                <w:szCs w:val="20"/>
              </w:rPr>
              <w:t xml:space="preserve">Poprawa jakości życia mieszkańców, promocja zdrowego trybu życia </w:t>
            </w:r>
            <w:r>
              <w:rPr>
                <w:rFonts w:ascii="Times New Roman" w:hAnsi="Times New Roman" w:cs="Times New Roman"/>
                <w:sz w:val="20"/>
                <w:szCs w:val="20"/>
              </w:rPr>
              <w:t>(w LSR planuje się operacje zapewniające rozwój kompetencji społecznych mieszkańców, włączenie społeczne oraz integrację mieszkańców);</w:t>
            </w:r>
          </w:p>
          <w:p w14:paraId="16754002">
            <w:pPr>
              <w:suppressAutoHyphens/>
              <w:autoSpaceDN w:val="0"/>
              <w:spacing w:after="0" w:line="276"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Obszar Rynek pracy, przedsiębiorczość. </w:t>
            </w:r>
          </w:p>
          <w:p w14:paraId="0C5982E9">
            <w:pPr>
              <w:suppressAutoHyphens/>
              <w:autoSpaceDN w:val="0"/>
              <w:spacing w:after="0" w:line="276" w:lineRule="auto"/>
              <w:jc w:val="both"/>
              <w:textAlignment w:val="baseline"/>
              <w:rPr>
                <w:rFonts w:ascii="Times New Roman" w:hAnsi="Times New Roman" w:eastAsia="Calibri" w:cs="Times New Roman"/>
                <w:i/>
                <w:iCs/>
                <w:sz w:val="20"/>
                <w:szCs w:val="20"/>
              </w:rPr>
            </w:pPr>
            <w:r>
              <w:rPr>
                <w:rFonts w:ascii="Times New Roman" w:hAnsi="Times New Roman" w:eastAsia="Calibri" w:cs="Times New Roman"/>
                <w:i/>
                <w:iCs/>
                <w:sz w:val="20"/>
                <w:szCs w:val="20"/>
              </w:rPr>
              <w:t xml:space="preserve">Cel strategiczny Wzrost zatrudnienia i utrzymanie aktywności zawodowej klientów PUP Myślenice oraz wsparcie rozwoju lokalnej przedsiębiorczości </w:t>
            </w:r>
            <w:r>
              <w:rPr>
                <w:rFonts w:ascii="Times New Roman" w:hAnsi="Times New Roman" w:cs="Times New Roman"/>
                <w:sz w:val="20"/>
                <w:szCs w:val="20"/>
              </w:rPr>
              <w:t>(przedsięwzięcia określone w LSR ukierunkowane są na rozwój przedsiębiorczości oraz kompetencji społecznych mieszkańców).</w:t>
            </w:r>
          </w:p>
          <w:p w14:paraId="066A675B">
            <w:pPr>
              <w:suppressAutoHyphens/>
              <w:autoSpaceDN w:val="0"/>
              <w:spacing w:after="0" w:line="276" w:lineRule="auto"/>
              <w:jc w:val="both"/>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Obszar Drogi i transport, ochrona środowiska, architektura, geodezja.</w:t>
            </w:r>
          </w:p>
          <w:p w14:paraId="7D21EC12">
            <w:pPr>
              <w:spacing w:after="0" w:line="276" w:lineRule="auto"/>
              <w:jc w:val="both"/>
              <w:rPr>
                <w:rFonts w:ascii="Times New Roman" w:hAnsi="Times New Roman" w:cs="Times New Roman"/>
                <w:sz w:val="20"/>
                <w:szCs w:val="20"/>
              </w:rPr>
            </w:pPr>
            <w:r>
              <w:rPr>
                <w:rFonts w:ascii="Times New Roman" w:hAnsi="Times New Roman" w:eastAsia="Calibri" w:cs="Times New Roman"/>
                <w:i/>
                <w:iCs/>
                <w:sz w:val="20"/>
                <w:szCs w:val="20"/>
              </w:rPr>
              <w:t xml:space="preserve">Cel strategiczny Zapewnienie wysokiej jakości środowiska naturalnego </w:t>
            </w:r>
            <w:r>
              <w:rPr>
                <w:rFonts w:ascii="Times New Roman" w:hAnsi="Times New Roman" w:cs="Times New Roman"/>
                <w:sz w:val="20"/>
                <w:szCs w:val="20"/>
              </w:rPr>
              <w:t>(w LSR premiowane będą m.in operacje zapewniające racjonalne gospodarowanie zasobami lub ograniczające presję na środowisko, ponadto przedsięwzięcia określone w LSR ukierunkowane są na rozwój rekreacji i oferty spędzania czasu wolnego, przewidziano również operacje, w których premiowane będzie wykorzystanie dziedzictwa kulturowego i naturalnego).</w:t>
            </w:r>
          </w:p>
        </w:tc>
      </w:tr>
    </w:tbl>
    <w:p w14:paraId="39046E53">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 na podstawie dokumentów podanych w tabeli</w:t>
      </w:r>
    </w:p>
    <w:p w14:paraId="19C72963">
      <w:pPr>
        <w:spacing w:after="0" w:line="276" w:lineRule="auto"/>
        <w:ind w:firstLine="709"/>
        <w:jc w:val="both"/>
        <w:rPr>
          <w:rFonts w:ascii="Times New Roman" w:hAnsi="Times New Roman" w:cs="Times New Roman"/>
        </w:rPr>
      </w:pPr>
      <w:r>
        <w:rPr>
          <w:rFonts w:ascii="Times New Roman" w:hAnsi="Times New Roman" w:cs="Times New Roman"/>
        </w:rPr>
        <w:t xml:space="preserve">Oprócz wskazanej powyżej zgodności celów LSR z innymi dokumentami planistycznymi / strategiami, należy również zwrócić uwagę na zgodność LSR z celami określonymi w programach, z których będzie ona finansowana lub w ramach których możliwe jest wsparcie LGD w realizacji przedsięwzięć wynikających z LSR. Analizę spójności przedstawiono w tabeli 21. Przedsięwzięcia zaplanowane w LSR będą głównie finansowane ze środków PS WPR na lata 2023–2027 w ramach EFRROW. Drugim źródłem finansowania z jakiego mogą być realizowane przedsięwzięcia to program </w:t>
      </w:r>
      <w:r>
        <w:rPr>
          <w:rFonts w:ascii="Times New Roman" w:hAnsi="Times New Roman" w:cs="Times New Roman"/>
          <w:i/>
          <w:iCs/>
        </w:rPr>
        <w:t>Fundusze Europejskie dla Małopolski 2021–2027</w:t>
      </w:r>
      <w:r>
        <w:rPr>
          <w:rFonts w:ascii="Times New Roman" w:hAnsi="Times New Roman" w:cs="Times New Roman"/>
        </w:rPr>
        <w:t>.</w:t>
      </w:r>
      <w:r>
        <w:rPr>
          <w:rFonts w:ascii="Times New Roman" w:hAnsi="Times New Roman" w:cs="Times New Roman"/>
        </w:rPr>
        <w:br w:type="page"/>
      </w:r>
    </w:p>
    <w:p w14:paraId="1A701053">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43" w:name="_Toc136241409"/>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21</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Zgodność LSR z celami programów, z których będzie ona finansowana</w:t>
      </w:r>
      <w:bookmarkEnd w:id="143"/>
    </w:p>
    <w:tbl>
      <w:tblPr>
        <w:tblStyle w:val="23"/>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2411"/>
        <w:gridCol w:w="7229"/>
      </w:tblGrid>
      <w:tr w14:paraId="6BEA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61" w:type="dxa"/>
          </w:tcPr>
          <w:p w14:paraId="582F0FBA">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Lp.</w:t>
            </w:r>
          </w:p>
        </w:tc>
        <w:tc>
          <w:tcPr>
            <w:tcW w:w="2411" w:type="dxa"/>
          </w:tcPr>
          <w:p w14:paraId="207B28AA">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Nazwa programu</w:t>
            </w:r>
          </w:p>
        </w:tc>
        <w:tc>
          <w:tcPr>
            <w:tcW w:w="7229" w:type="dxa"/>
          </w:tcPr>
          <w:p w14:paraId="2FD3D049">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Opis spójności z celem LSR</w:t>
            </w:r>
          </w:p>
        </w:tc>
      </w:tr>
      <w:tr w14:paraId="017F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14EA7784">
            <w:pPr>
              <w:pStyle w:val="28"/>
              <w:numPr>
                <w:ilvl w:val="0"/>
                <w:numId w:val="32"/>
              </w:numPr>
              <w:spacing w:after="0" w:line="276" w:lineRule="auto"/>
              <w:ind w:left="447"/>
              <w:rPr>
                <w:rFonts w:ascii="Times New Roman" w:hAnsi="Times New Roman" w:cs="Times New Roman"/>
                <w:sz w:val="20"/>
                <w:szCs w:val="20"/>
              </w:rPr>
            </w:pPr>
          </w:p>
        </w:tc>
        <w:tc>
          <w:tcPr>
            <w:tcW w:w="2411" w:type="dxa"/>
            <w:vAlign w:val="center"/>
          </w:tcPr>
          <w:p w14:paraId="01F7BF20">
            <w:pPr>
              <w:spacing w:after="0" w:line="276" w:lineRule="auto"/>
              <w:jc w:val="center"/>
              <w:rPr>
                <w:rFonts w:ascii="Times New Roman" w:hAnsi="Times New Roman" w:cs="Times New Roman"/>
                <w:i/>
                <w:iCs/>
                <w:sz w:val="20"/>
                <w:szCs w:val="20"/>
              </w:rPr>
            </w:pPr>
            <w:r>
              <w:rPr>
                <w:rFonts w:ascii="Times New Roman" w:hAnsi="Times New Roman" w:cs="Times New Roman"/>
                <w:i/>
                <w:iCs/>
                <w:sz w:val="20"/>
                <w:szCs w:val="20"/>
              </w:rPr>
              <w:t>Plan Strategiczny dla Wspólnej Polityki Rolnej na lata 2023–2027</w:t>
            </w:r>
          </w:p>
          <w:p w14:paraId="186BDCA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(PS WPR 2023–2027)</w:t>
            </w:r>
          </w:p>
        </w:tc>
        <w:tc>
          <w:tcPr>
            <w:tcW w:w="7229" w:type="dxa"/>
          </w:tcPr>
          <w:p w14:paraId="61EA8077">
            <w:pPr>
              <w:spacing w:after="0" w:line="276" w:lineRule="auto"/>
              <w:jc w:val="both"/>
              <w:rPr>
                <w:rFonts w:ascii="Times New Roman" w:hAnsi="Times New Roman" w:cs="Times New Roman"/>
                <w:sz w:val="20"/>
                <w:szCs w:val="20"/>
              </w:rPr>
            </w:pPr>
            <w:r>
              <w:rPr>
                <w:rFonts w:ascii="Times New Roman" w:hAnsi="Times New Roman" w:cs="Times New Roman"/>
                <w:i/>
                <w:iCs/>
                <w:sz w:val="20"/>
                <w:szCs w:val="20"/>
              </w:rPr>
              <w:t>Plan Strategiczny dla Wspólnej Polityki Rolnej na lata 2023–2027</w:t>
            </w:r>
            <w:r>
              <w:rPr>
                <w:rFonts w:ascii="Times New Roman" w:hAnsi="Times New Roman" w:cs="Times New Roman"/>
                <w:sz w:val="20"/>
                <w:szCs w:val="20"/>
              </w:rPr>
              <w:t xml:space="preserve"> jest następcą </w:t>
            </w:r>
            <w:r>
              <w:rPr>
                <w:rFonts w:ascii="Times New Roman" w:hAnsi="Times New Roman" w:cs="Times New Roman"/>
                <w:i/>
                <w:iCs/>
                <w:sz w:val="20"/>
                <w:szCs w:val="20"/>
              </w:rPr>
              <w:t>Programu Rozwoju Obszarów Wiejskich na lata 2014–2020</w:t>
            </w:r>
            <w:r>
              <w:rPr>
                <w:rFonts w:ascii="Times New Roman" w:hAnsi="Times New Roman" w:cs="Times New Roman"/>
                <w:sz w:val="20"/>
                <w:szCs w:val="20"/>
              </w:rPr>
              <w:t xml:space="preserve">. PS WPR zakłada wspieranie zrównoważonego rozwoju polskich gospodarstw, sektora przetwórstwa i poprawę warunków życia i pracy w małych miejscowościach wiejskich. </w:t>
            </w:r>
          </w:p>
          <w:p w14:paraId="7C4F495E">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Jedną ze wskazanych w PS WPR interwencji jest właśnie LEADER/Rozwój Lokalny Kierowany przez Społeczność. Cel LSR wpisuje się w ukierunkowanie interwencji na: </w:t>
            </w:r>
            <w:r>
              <w:rPr>
                <w:rFonts w:ascii="Times New Roman" w:hAnsi="Times New Roman" w:cs="Times New Roman"/>
                <w:i/>
                <w:iCs/>
                <w:sz w:val="20"/>
                <w:szCs w:val="20"/>
              </w:rPr>
              <w:t>budowanie lokalnej tożsamości bazującej na aktywizacji społecznej i przy wykorzystaniu miejscowych zasobów w sposób zapewniający najlepsze zaspokojenie potrzeb społeczności wiejskich, w tym poprzez wykorzystanie wiedzy, innowacji i rozwiązań cyfrowych</w:t>
            </w:r>
            <w:r>
              <w:rPr>
                <w:rFonts w:ascii="Times New Roman" w:hAnsi="Times New Roman" w:cs="Times New Roman"/>
                <w:sz w:val="20"/>
                <w:szCs w:val="20"/>
              </w:rPr>
              <w:t xml:space="preserve">. Zgodnie z zapisami PS WPR: </w:t>
            </w:r>
            <w:r>
              <w:rPr>
                <w:rFonts w:ascii="Times New Roman" w:hAnsi="Times New Roman" w:cs="Times New Roman"/>
                <w:i/>
                <w:iCs/>
                <w:sz w:val="20"/>
                <w:szCs w:val="20"/>
              </w:rPr>
              <w:t>oczekuje się od LGD ukierunkowania na rozwój obszaru w oparciu o przedsiębiorczość z jednoczesnym poszanowaniem warunków przyrodniczych (biogospodarka, GOZ) i dziedzictwa kulturowego oraz szczególnej wrażliwości na wymiar społeczny rozwoju lokalnego. Mając na uwadze rolę LGD we wspieraniu włączenia społecznego, szczególny nacisk zostanie położony na potrzeby zdiagnozowanych na obszarach objętych LSR grup osób w niekorzystnej sytuacji</w:t>
            </w:r>
            <w:r>
              <w:rPr>
                <w:rFonts w:ascii="Times New Roman" w:hAnsi="Times New Roman" w:cs="Times New Roman"/>
                <w:sz w:val="20"/>
                <w:szCs w:val="20"/>
              </w:rPr>
              <w:t xml:space="preserve"> – w ramach realizacji LSR wspierana będzie przedsiębiorczość, zarówno ta gospodarcza jak i społeczna, poszanowane będą warunki przyrodnicze, premiowane będą operacje zapewniające racjonalne gospodarowanie zasobami lub ograniczające presję na środowisko, ponadto cała LSR ukierunkowana jest właśnie na wymiar społeczny, w tym integrację, włączenie społeczne, a szczególnie osób w niekorzystnej sytuacji. Wskazana w LSR grupa osób w niekorzystnej sytuacji – osoby z niepełnosprawnościami i ich opiekunowie, jest zgodna z katalogiem takich grup, wskazanym w PS WPR. </w:t>
            </w:r>
          </w:p>
          <w:p w14:paraId="08BE89D2">
            <w:pPr>
              <w:spacing w:after="0" w:line="276" w:lineRule="auto"/>
              <w:jc w:val="both"/>
              <w:rPr>
                <w:rFonts w:ascii="Times New Roman" w:hAnsi="Times New Roman" w:cs="Times New Roman"/>
                <w:sz w:val="20"/>
                <w:szCs w:val="20"/>
              </w:rPr>
            </w:pPr>
            <w:r>
              <w:rPr>
                <w:rFonts w:ascii="Times New Roman" w:hAnsi="Times New Roman" w:cs="Times New Roman"/>
                <w:i/>
                <w:iCs/>
                <w:sz w:val="20"/>
                <w:szCs w:val="20"/>
              </w:rPr>
              <w:t>Z uwagi natomiast na specyfikę metody LEADER wymaga się, iż LSR zarówno na etapie jej przygotowania jak i wdrażania zakładały maksymalne zastosowanie podejścia partnerskiego</w:t>
            </w:r>
            <w:r>
              <w:rPr>
                <w:rFonts w:ascii="Times New Roman" w:hAnsi="Times New Roman" w:cs="Times New Roman"/>
                <w:sz w:val="20"/>
                <w:szCs w:val="20"/>
              </w:rPr>
              <w:t xml:space="preserve"> – cały proces opracowania LSR oparty był na partnerstwie, zarówno </w:t>
            </w:r>
            <w:r>
              <w:rPr>
                <w:rFonts w:ascii="Times New Roman" w:hAnsi="Times New Roman" w:cs="Times New Roman"/>
                <w:sz w:val="20"/>
                <w:szCs w:val="20"/>
              </w:rPr>
              <w:br w:type="textWrapping"/>
            </w:r>
            <w:r>
              <w:rPr>
                <w:rFonts w:ascii="Times New Roman" w:hAnsi="Times New Roman" w:cs="Times New Roman"/>
                <w:sz w:val="20"/>
                <w:szCs w:val="20"/>
              </w:rPr>
              <w:t xml:space="preserve">w odniesieniu do partnerów skupionych w LGD, jak i z innymi partnerami z obszaru. Na etapie wdrażania zaplanowano działania zwiększające aktywność członków i ich zaangażowanie w realizację LSR, a także operacje polegające na kojarzeniu partnerów </w:t>
            </w:r>
            <w:r>
              <w:rPr>
                <w:rFonts w:ascii="Times New Roman" w:hAnsi="Times New Roman" w:cs="Times New Roman"/>
                <w:sz w:val="20"/>
                <w:szCs w:val="20"/>
              </w:rPr>
              <w:br w:type="textWrapping"/>
            </w:r>
            <w:r>
              <w:rPr>
                <w:rFonts w:ascii="Times New Roman" w:hAnsi="Times New Roman" w:cs="Times New Roman"/>
                <w:sz w:val="20"/>
                <w:szCs w:val="20"/>
              </w:rPr>
              <w:t>i animowaniu do realizacji projektów w partnerstwie. Zgodnie z zalecaniem (</w:t>
            </w:r>
            <w:r>
              <w:rPr>
                <w:rFonts w:ascii="Times New Roman" w:hAnsi="Times New Roman" w:cs="Times New Roman"/>
                <w:i/>
                <w:iCs/>
                <w:sz w:val="20"/>
                <w:szCs w:val="20"/>
              </w:rPr>
              <w:t>dużą wagę przywiązuje się do innowacyjności projektowanych rozwiązań</w:t>
            </w:r>
            <w:r>
              <w:rPr>
                <w:rFonts w:ascii="Times New Roman" w:hAnsi="Times New Roman" w:cs="Times New Roman"/>
                <w:sz w:val="20"/>
                <w:szCs w:val="20"/>
              </w:rPr>
              <w:t>), w LSR określono też mechanizmy mające zwiększyć poziom innowacyjności na obszarze, m.in. poprzez wdrożenie koncepcji Smart Villages. Poza operacją dedykowaną, we wszystkich przedsięwzięciach będzie premiowana innowacyjność. Zaplanowane operacje będą realizować co najmniej 7 z 9 celów interwencji PS WPR, tj.</w:t>
            </w:r>
          </w:p>
          <w:p w14:paraId="2E1AC958">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i/>
                <w:iCs/>
                <w:sz w:val="20"/>
                <w:szCs w:val="20"/>
              </w:rPr>
              <w:t>Rozwój przedsiębiorczości, w tym rozwój biogospodarki lub zielonej gospodarki</w:t>
            </w:r>
            <w:r>
              <w:rPr>
                <w:rFonts w:ascii="Times New Roman" w:hAnsi="Times New Roman" w:cs="Times New Roman"/>
                <w:sz w:val="20"/>
                <w:szCs w:val="20"/>
              </w:rPr>
              <w:t>;</w:t>
            </w:r>
          </w:p>
          <w:p w14:paraId="72C8E881">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2. </w:t>
            </w:r>
            <w:r>
              <w:rPr>
                <w:rFonts w:ascii="Times New Roman" w:hAnsi="Times New Roman" w:cs="Times New Roman"/>
                <w:i/>
                <w:iCs/>
                <w:sz w:val="20"/>
                <w:szCs w:val="20"/>
              </w:rPr>
              <w:t>Rozwój pozarolniczych funkcji małych gospodarstw rolnych w zakresie tworzenia i rozwijania</w:t>
            </w:r>
            <w:r>
              <w:rPr>
                <w:rFonts w:ascii="Times New Roman" w:hAnsi="Times New Roman" w:cs="Times New Roman"/>
                <w:sz w:val="20"/>
                <w:szCs w:val="20"/>
              </w:rPr>
              <w:t>;</w:t>
            </w:r>
          </w:p>
          <w:p w14:paraId="2364F438">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i/>
                <w:iCs/>
                <w:sz w:val="20"/>
                <w:szCs w:val="20"/>
              </w:rPr>
              <w:t>Poprawa dostępu do usług dla lokalnych społeczności</w:t>
            </w:r>
            <w:r>
              <w:rPr>
                <w:rFonts w:ascii="Times New Roman" w:hAnsi="Times New Roman" w:cs="Times New Roman"/>
                <w:sz w:val="20"/>
                <w:szCs w:val="20"/>
              </w:rPr>
              <w:t>;</w:t>
            </w:r>
          </w:p>
          <w:p w14:paraId="15C56178">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5. </w:t>
            </w:r>
            <w:r>
              <w:rPr>
                <w:rFonts w:ascii="Times New Roman" w:hAnsi="Times New Roman" w:cs="Times New Roman"/>
                <w:i/>
                <w:iCs/>
                <w:sz w:val="20"/>
                <w:szCs w:val="20"/>
              </w:rPr>
              <w:t>Przygotowanie koncepcji inteligentnej wsi</w:t>
            </w:r>
            <w:r>
              <w:rPr>
                <w:rFonts w:ascii="Times New Roman" w:hAnsi="Times New Roman" w:cs="Times New Roman"/>
                <w:sz w:val="20"/>
                <w:szCs w:val="20"/>
              </w:rPr>
              <w:t xml:space="preserve">; </w:t>
            </w:r>
          </w:p>
          <w:p w14:paraId="10B9FBB5">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6. </w:t>
            </w:r>
            <w:r>
              <w:rPr>
                <w:rFonts w:ascii="Times New Roman" w:hAnsi="Times New Roman" w:cs="Times New Roman"/>
                <w:i/>
                <w:iCs/>
                <w:sz w:val="20"/>
                <w:szCs w:val="20"/>
              </w:rPr>
              <w:t>Poprawa dostępu do małej infrastruktury publicznej</w:t>
            </w:r>
            <w:r>
              <w:rPr>
                <w:rFonts w:ascii="Times New Roman" w:hAnsi="Times New Roman" w:cs="Times New Roman"/>
                <w:sz w:val="20"/>
                <w:szCs w:val="20"/>
              </w:rPr>
              <w:t>;</w:t>
            </w:r>
          </w:p>
          <w:p w14:paraId="49FA0DFE">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7. </w:t>
            </w:r>
            <w:r>
              <w:rPr>
                <w:rFonts w:ascii="Times New Roman" w:hAnsi="Times New Roman" w:cs="Times New Roman"/>
                <w:i/>
                <w:iCs/>
                <w:sz w:val="20"/>
                <w:szCs w:val="20"/>
              </w:rPr>
              <w:t xml:space="preserve">Kształtowanie świadomości obywatelskiej o znaczeniu zrównoważonego rolnictwa, gospodarki rolno-spożywczej, zielonej gospodarki, biogospodarki, wsparcie rozwoju wiedzy i umiejętności w zakresie innowacyjności, cyfryzacji i przedsiębiorczości, a także wzmacnianie programów edukacji liderów życia publicznego i społecznego, </w:t>
            </w:r>
            <w:r>
              <w:rPr>
                <w:rFonts w:ascii="Times New Roman" w:hAnsi="Times New Roman" w:cs="Times New Roman"/>
                <w:i/>
                <w:iCs/>
                <w:sz w:val="20"/>
                <w:szCs w:val="20"/>
              </w:rPr>
              <w:br w:type="textWrapping"/>
            </w:r>
            <w:r>
              <w:rPr>
                <w:rFonts w:ascii="Times New Roman" w:hAnsi="Times New Roman" w:cs="Times New Roman"/>
                <w:i/>
                <w:iCs/>
                <w:sz w:val="20"/>
                <w:szCs w:val="20"/>
              </w:rPr>
              <w:t>z wyłączeniem inwestycji infrastrukturalnych</w:t>
            </w:r>
            <w:r>
              <w:rPr>
                <w:rFonts w:ascii="Times New Roman" w:hAnsi="Times New Roman" w:cs="Times New Roman"/>
                <w:sz w:val="20"/>
                <w:szCs w:val="20"/>
              </w:rPr>
              <w:t>;</w:t>
            </w:r>
          </w:p>
          <w:p w14:paraId="4E5A83CC">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8. </w:t>
            </w:r>
            <w:r>
              <w:rPr>
                <w:rFonts w:ascii="Times New Roman" w:hAnsi="Times New Roman" w:cs="Times New Roman"/>
                <w:i/>
                <w:iCs/>
                <w:sz w:val="20"/>
                <w:szCs w:val="20"/>
              </w:rPr>
              <w:t>Włączenie społeczne seniorów, ludzi młodych i osób w niekorzystnej sytuacji</w:t>
            </w:r>
            <w:r>
              <w:rPr>
                <w:rFonts w:ascii="Times New Roman" w:hAnsi="Times New Roman" w:cs="Times New Roman"/>
                <w:sz w:val="20"/>
                <w:szCs w:val="20"/>
              </w:rPr>
              <w:t>.</w:t>
            </w:r>
          </w:p>
        </w:tc>
      </w:tr>
      <w:tr w14:paraId="28CE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02DCFC38">
            <w:pPr>
              <w:pStyle w:val="28"/>
              <w:numPr>
                <w:ilvl w:val="0"/>
                <w:numId w:val="32"/>
              </w:numPr>
              <w:spacing w:after="0" w:line="276" w:lineRule="auto"/>
              <w:ind w:left="447"/>
              <w:rPr>
                <w:rFonts w:ascii="Times New Roman" w:hAnsi="Times New Roman" w:cs="Times New Roman"/>
                <w:sz w:val="20"/>
                <w:szCs w:val="20"/>
              </w:rPr>
            </w:pPr>
          </w:p>
        </w:tc>
        <w:tc>
          <w:tcPr>
            <w:tcW w:w="2411" w:type="dxa"/>
            <w:vAlign w:val="center"/>
          </w:tcPr>
          <w:p w14:paraId="72C494E8">
            <w:pPr>
              <w:spacing w:after="0" w:line="276" w:lineRule="auto"/>
              <w:jc w:val="center"/>
              <w:rPr>
                <w:rFonts w:ascii="Times New Roman" w:hAnsi="Times New Roman" w:cs="Times New Roman"/>
                <w:i/>
                <w:iCs/>
                <w:sz w:val="20"/>
                <w:szCs w:val="20"/>
              </w:rPr>
            </w:pPr>
            <w:r>
              <w:rPr>
                <w:rFonts w:ascii="Times New Roman" w:hAnsi="Times New Roman" w:cs="Times New Roman"/>
                <w:i/>
                <w:iCs/>
                <w:sz w:val="20"/>
                <w:szCs w:val="20"/>
              </w:rPr>
              <w:t>Fundusze Europejskie dla Małopolski 2021–2027</w:t>
            </w:r>
          </w:p>
          <w:p w14:paraId="7A918631">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(FEM)</w:t>
            </w:r>
          </w:p>
        </w:tc>
        <w:tc>
          <w:tcPr>
            <w:tcW w:w="7229" w:type="dxa"/>
          </w:tcPr>
          <w:p w14:paraId="3BD60BB3">
            <w:pPr>
              <w:spacing w:after="0" w:line="276" w:lineRule="auto"/>
              <w:jc w:val="both"/>
              <w:rPr>
                <w:rFonts w:ascii="Times New Roman" w:hAnsi="Times New Roman" w:cs="Times New Roman"/>
                <w:sz w:val="20"/>
                <w:szCs w:val="20"/>
              </w:rPr>
            </w:pPr>
            <w:r>
              <w:rPr>
                <w:rFonts w:ascii="Times New Roman" w:hAnsi="Times New Roman" w:cs="Times New Roman"/>
                <w:sz w:val="20"/>
                <w:szCs w:val="20"/>
              </w:rPr>
              <w:t>W Programie</w:t>
            </w:r>
            <w:r>
              <w:rPr>
                <w:sz w:val="20"/>
                <w:szCs w:val="20"/>
              </w:rPr>
              <w:t xml:space="preserve"> </w:t>
            </w:r>
            <w:r>
              <w:rPr>
                <w:rFonts w:ascii="Times New Roman" w:hAnsi="Times New Roman" w:cs="Times New Roman"/>
                <w:i/>
                <w:iCs/>
                <w:sz w:val="20"/>
                <w:szCs w:val="20"/>
              </w:rPr>
              <w:t>Fundusze Europejskie dla Małopolski 2021–2027</w:t>
            </w:r>
            <w:r>
              <w:rPr>
                <w:rFonts w:ascii="Times New Roman" w:hAnsi="Times New Roman" w:cs="Times New Roman"/>
                <w:sz w:val="20"/>
                <w:szCs w:val="20"/>
              </w:rPr>
              <w:t xml:space="preserve"> zostało określonych 11 priorytetów, które zostały podzielone z kolei na cele szczegółowe, w ramach których przewidziano finansowanie działań mających na celu rozwój województwa małopolskiego. W województwie małopolskim, w ramach programu regionalnego na obszarach wiejskich w formule instrumentu terytorialnego Rozwój Lokalny Kierowany przez Społeczność (RLKS), będą realizowane działania wynikające z Lokalnych Strategii Rozwoju. Instrument ten będzie zastosowany w ramach:</w:t>
            </w:r>
          </w:p>
          <w:p w14:paraId="1D8B9C49">
            <w:pPr>
              <w:spacing w:after="0" w:line="276" w:lineRule="auto"/>
              <w:jc w:val="both"/>
              <w:rPr>
                <w:rFonts w:ascii="Times New Roman" w:hAnsi="Times New Roman" w:cs="Times New Roman"/>
                <w:sz w:val="20"/>
                <w:szCs w:val="20"/>
              </w:rPr>
            </w:pPr>
            <w:bookmarkStart w:id="144" w:name="_Hlk133077023"/>
            <w:bookmarkStart w:id="145" w:name="_Hlk134110744"/>
            <w:r>
              <w:rPr>
                <w:rFonts w:ascii="Times New Roman" w:hAnsi="Times New Roman" w:cs="Times New Roman"/>
                <w:sz w:val="20"/>
                <w:szCs w:val="20"/>
              </w:rPr>
              <w:t xml:space="preserve">Priorytetu 6. </w:t>
            </w:r>
            <w:r>
              <w:rPr>
                <w:rFonts w:ascii="Times New Roman" w:hAnsi="Times New Roman" w:cs="Times New Roman"/>
                <w:i/>
                <w:iCs/>
                <w:sz w:val="20"/>
                <w:szCs w:val="20"/>
              </w:rPr>
              <w:t>Fundusze Europejskie dla rynku pracy, edukacji i włączenia społecznego</w:t>
            </w:r>
          </w:p>
          <w:p w14:paraId="0FF75039">
            <w:pPr>
              <w:spacing w:after="0" w:line="276" w:lineRule="auto"/>
              <w:jc w:val="both"/>
              <w:rPr>
                <w:rFonts w:ascii="Times New Roman" w:hAnsi="Times New Roman" w:cs="Times New Roman"/>
                <w:i/>
                <w:iCs/>
                <w:sz w:val="20"/>
                <w:szCs w:val="20"/>
              </w:rPr>
            </w:pPr>
            <w:r>
              <w:rPr>
                <w:rFonts w:ascii="Times New Roman" w:hAnsi="Times New Roman" w:cs="Times New Roman"/>
                <w:sz w:val="20"/>
                <w:szCs w:val="20"/>
              </w:rPr>
              <w:t>Celu szczegółowego polityki:</w:t>
            </w:r>
            <w:r>
              <w:rPr>
                <w:rFonts w:ascii="Times New Roman" w:hAnsi="Times New Roman" w:cs="Times New Roman"/>
                <w:i/>
                <w:iCs/>
                <w:sz w:val="20"/>
                <w:szCs w:val="20"/>
              </w:rPr>
              <w:t xml:space="preserve"> 4.</w:t>
            </w:r>
            <w:r>
              <w:rPr>
                <w:rFonts w:ascii="Times New Roman" w:hAnsi="Times New Roman" w:cs="Times New Roman"/>
                <w:sz w:val="20"/>
                <w:szCs w:val="20"/>
              </w:rPr>
              <w:t xml:space="preserve"> </w:t>
            </w:r>
            <w:r>
              <w:rPr>
                <w:rFonts w:ascii="Times New Roman" w:hAnsi="Times New Roman" w:cs="Times New Roman"/>
                <w:i/>
                <w:iCs/>
                <w:sz w:val="20"/>
                <w:szCs w:val="20"/>
              </w:rPr>
              <w:t>Europa o silniejszym wymiarze społecznym, bardziej sprzyjająca włączeniu społecznemu i wdrażająca Europejski filar praw socjalnych:</w:t>
            </w:r>
          </w:p>
          <w:p w14:paraId="1DCD5AEC">
            <w:pPr>
              <w:pStyle w:val="28"/>
              <w:numPr>
                <w:ilvl w:val="0"/>
                <w:numId w:val="33"/>
              </w:numPr>
              <w:spacing w:after="0" w:line="276" w:lineRule="auto"/>
              <w:ind w:left="357" w:hanging="357"/>
              <w:jc w:val="both"/>
              <w:rPr>
                <w:rFonts w:ascii="Times New Roman" w:hAnsi="Times New Roman" w:cs="Times New Roman"/>
                <w:i/>
                <w:iCs/>
                <w:sz w:val="20"/>
                <w:szCs w:val="20"/>
              </w:rPr>
            </w:pPr>
            <w:r>
              <w:rPr>
                <w:rFonts w:ascii="Times New Roman" w:hAnsi="Times New Roman" w:cs="Times New Roman"/>
                <w:i/>
                <w:iCs/>
                <w:sz w:val="20"/>
                <w:szCs w:val="20"/>
              </w:rPr>
              <w:t>4(h) wspieranie aktywnego włączenia społecznego w celu promowania równości szans, niedyskryminacji i aktywnego uczestnictwa, oraz zwiększanie zdolności do zatrudnienia, w szczególności grup w niekorzystnej sytuacji.</w:t>
            </w:r>
          </w:p>
          <w:p w14:paraId="6A25DCC2">
            <w:pPr>
              <w:spacing w:after="0" w:line="276" w:lineRule="auto"/>
              <w:jc w:val="both"/>
              <w:rPr>
                <w:rFonts w:ascii="Times New Roman" w:hAnsi="Times New Roman" w:cs="Times New Roman"/>
                <w:sz w:val="20"/>
                <w:szCs w:val="20"/>
              </w:rPr>
            </w:pPr>
            <w:r>
              <w:rPr>
                <w:rFonts w:ascii="Times New Roman" w:hAnsi="Times New Roman" w:cs="Times New Roman"/>
                <w:sz w:val="20"/>
                <w:szCs w:val="20"/>
              </w:rPr>
              <w:t>W ramach celu możliwa będzie aktywizacja społeczna, zawodowa, edukacyjna, zdrowotna, kulturalna i mieszkaniowa osób zagrożonych ubóstwem i wykluczeniem społecznym oraz osób biernych zawodowo, mająca na celu poprawę ich sytuacji na rynku pracy oraz zwiększenia aktywności w wymiarze społecznym.</w:t>
            </w:r>
          </w:p>
          <w:p w14:paraId="4992F430">
            <w:pPr>
              <w:pStyle w:val="28"/>
              <w:numPr>
                <w:ilvl w:val="0"/>
                <w:numId w:val="33"/>
              </w:numPr>
              <w:spacing w:after="0" w:line="276" w:lineRule="auto"/>
              <w:ind w:left="357" w:hanging="357"/>
              <w:jc w:val="both"/>
              <w:rPr>
                <w:rFonts w:ascii="Times New Roman" w:hAnsi="Times New Roman" w:cs="Times New Roman"/>
                <w:i/>
                <w:iCs/>
                <w:sz w:val="20"/>
                <w:szCs w:val="20"/>
              </w:rPr>
            </w:pPr>
            <w:r>
              <w:rPr>
                <w:rStyle w:val="44"/>
                <w:rFonts w:ascii="Times New Roman" w:hAnsi="Times New Roman" w:cs="Times New Roman"/>
                <w:i/>
                <w:iCs/>
                <w:sz w:val="20"/>
                <w:szCs w:val="20"/>
              </w:rPr>
              <w:t>4</w:t>
            </w:r>
            <w:r>
              <w:rPr>
                <w:rFonts w:ascii="Times New Roman" w:hAnsi="Times New Roman" w:cs="Times New Roman"/>
                <w:i/>
                <w:iCs/>
                <w:sz w:val="20"/>
                <w:szCs w:val="20"/>
              </w:rPr>
              <w:t xml:space="preserve">(k) zwiększanie równego i szybkiego dostępu do dobrej jakości, trwałych </w:t>
            </w:r>
            <w:r>
              <w:rPr>
                <w:rFonts w:ascii="Times New Roman" w:hAnsi="Times New Roman" w:cs="Times New Roman"/>
                <w:i/>
                <w:iCs/>
                <w:sz w:val="20"/>
                <w:szCs w:val="20"/>
              </w:rPr>
              <w:br w:type="textWrapping"/>
            </w:r>
            <w:r>
              <w:rPr>
                <w:rFonts w:ascii="Times New Roman" w:hAnsi="Times New Roman" w:cs="Times New Roman"/>
                <w:i/>
                <w:iCs/>
                <w:sz w:val="20"/>
                <w:szCs w:val="20"/>
              </w:rP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5AEBCFE">
            <w:pPr>
              <w:spacing w:after="0" w:line="276" w:lineRule="auto"/>
              <w:jc w:val="both"/>
              <w:rPr>
                <w:rFonts w:ascii="Times New Roman" w:hAnsi="Times New Roman" w:cs="Times New Roman"/>
                <w:sz w:val="20"/>
                <w:szCs w:val="20"/>
              </w:rPr>
            </w:pPr>
            <w:r>
              <w:rPr>
                <w:rFonts w:ascii="Times New Roman" w:hAnsi="Times New Roman" w:cs="Times New Roman"/>
                <w:sz w:val="20"/>
                <w:szCs w:val="20"/>
              </w:rPr>
              <w:t>W ramach celu możliwe będzie:</w:t>
            </w:r>
          </w:p>
          <w:p w14:paraId="3B9510CC">
            <w:pPr>
              <w:pStyle w:val="38"/>
              <w:numPr>
                <w:ilvl w:val="0"/>
                <w:numId w:val="34"/>
              </w:numPr>
              <w:spacing w:line="276" w:lineRule="auto"/>
              <w:ind w:left="357" w:hanging="357"/>
              <w:jc w:val="both"/>
              <w:rPr>
                <w:color w:val="auto"/>
                <w:sz w:val="20"/>
                <w:szCs w:val="20"/>
              </w:rPr>
            </w:pPr>
            <w:r>
              <w:rPr>
                <w:color w:val="auto"/>
                <w:sz w:val="20"/>
                <w:szCs w:val="20"/>
              </w:rPr>
              <w:t>tworzenie nowych oraz rozwój już istniejących placówek wsparcia dziennego dla dzieci i młodzieży;</w:t>
            </w:r>
          </w:p>
          <w:p w14:paraId="60B2489C">
            <w:pPr>
              <w:pStyle w:val="38"/>
              <w:numPr>
                <w:ilvl w:val="0"/>
                <w:numId w:val="34"/>
              </w:numPr>
              <w:spacing w:line="276" w:lineRule="auto"/>
              <w:ind w:left="357" w:hanging="357"/>
              <w:jc w:val="both"/>
              <w:rPr>
                <w:color w:val="auto"/>
                <w:sz w:val="20"/>
                <w:szCs w:val="20"/>
              </w:rPr>
            </w:pPr>
            <w:r>
              <w:rPr>
                <w:color w:val="auto"/>
                <w:sz w:val="20"/>
                <w:szCs w:val="20"/>
              </w:rPr>
              <w:t>usługi zgodne z zasadą deinstytucjonalizacji, w zakresie zapewnienia opieki osobom potrzebującym wsparcia w codziennym funkcjonowaniu, w tym ze względu na wiek oraz/lub usługi w zakresie wsparcia opiekunów nieformalnych;</w:t>
            </w:r>
          </w:p>
          <w:p w14:paraId="32987518">
            <w:pPr>
              <w:pStyle w:val="38"/>
              <w:numPr>
                <w:ilvl w:val="0"/>
                <w:numId w:val="34"/>
              </w:numPr>
              <w:spacing w:line="276" w:lineRule="auto"/>
              <w:ind w:left="357" w:hanging="357"/>
              <w:jc w:val="both"/>
              <w:rPr>
                <w:color w:val="auto"/>
                <w:sz w:val="20"/>
                <w:szCs w:val="20"/>
              </w:rPr>
            </w:pPr>
            <w:r>
              <w:rPr>
                <w:color w:val="auto"/>
                <w:sz w:val="20"/>
                <w:szCs w:val="20"/>
              </w:rPr>
              <w:t>usługi w zakresie rozwoju mieszkalnictwa chronionego, wspomaganego i innych rodzajów mieszkań z usługami;</w:t>
            </w:r>
          </w:p>
          <w:p w14:paraId="1DD0ED31">
            <w:pPr>
              <w:pStyle w:val="38"/>
              <w:numPr>
                <w:ilvl w:val="0"/>
                <w:numId w:val="34"/>
              </w:numPr>
              <w:spacing w:line="276" w:lineRule="auto"/>
              <w:ind w:left="357" w:hanging="357"/>
              <w:jc w:val="both"/>
              <w:rPr>
                <w:color w:val="auto"/>
                <w:sz w:val="20"/>
                <w:szCs w:val="20"/>
              </w:rPr>
            </w:pPr>
            <w:r>
              <w:rPr>
                <w:color w:val="auto"/>
                <w:sz w:val="20"/>
                <w:szCs w:val="20"/>
              </w:rPr>
              <w:t xml:space="preserve">usługi domowej opieki długoterminowej zgodne z zasadą deinstytucjonalizacji, </w:t>
            </w:r>
            <w:r>
              <w:rPr>
                <w:color w:val="auto"/>
                <w:sz w:val="20"/>
                <w:szCs w:val="20"/>
              </w:rPr>
              <w:br w:type="textWrapping"/>
            </w:r>
            <w:r>
              <w:rPr>
                <w:color w:val="auto"/>
                <w:sz w:val="20"/>
                <w:szCs w:val="20"/>
              </w:rPr>
              <w:t>w tym wykorzystanie modelu DDOM;</w:t>
            </w:r>
          </w:p>
          <w:p w14:paraId="7328319C">
            <w:pPr>
              <w:pStyle w:val="28"/>
              <w:numPr>
                <w:ilvl w:val="0"/>
                <w:numId w:val="35"/>
              </w:numPr>
              <w:spacing w:after="0" w:line="276" w:lineRule="auto"/>
              <w:ind w:left="357" w:hanging="357"/>
              <w:jc w:val="both"/>
              <w:rPr>
                <w:rFonts w:ascii="Times New Roman" w:hAnsi="Times New Roman" w:cs="Times New Roman"/>
                <w:sz w:val="20"/>
                <w:szCs w:val="20"/>
              </w:rPr>
            </w:pPr>
            <w:r>
              <w:rPr>
                <w:rFonts w:ascii="Times New Roman" w:hAnsi="Times New Roman" w:cs="Times New Roman"/>
                <w:sz w:val="20"/>
                <w:szCs w:val="20"/>
              </w:rPr>
              <w:t xml:space="preserve">wsparcie rozwoju lokalnego kierowanego przez społeczność (RLKS) poprzez finansowanie działań związanych z realizacją i zarządzaniem strategią LSR, w tym kosztów monitorowania, ewaluacji i działań animacyjnych podejmowanych przez LGD. </w:t>
            </w:r>
          </w:p>
          <w:p w14:paraId="68043271">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Priorytetu 7. </w:t>
            </w:r>
            <w:r>
              <w:rPr>
                <w:rFonts w:ascii="Times New Roman" w:hAnsi="Times New Roman" w:cs="Times New Roman"/>
                <w:i/>
                <w:iCs/>
                <w:sz w:val="20"/>
                <w:szCs w:val="20"/>
              </w:rPr>
              <w:t>Fundusze Europejskie dla wspólnot lokalnych</w:t>
            </w:r>
          </w:p>
          <w:p w14:paraId="04101429">
            <w:pPr>
              <w:spacing w:after="0" w:line="276" w:lineRule="auto"/>
              <w:jc w:val="both"/>
              <w:rPr>
                <w:rFonts w:ascii="Times New Roman" w:hAnsi="Times New Roman" w:cs="Times New Roman"/>
                <w:i/>
                <w:iCs/>
                <w:sz w:val="20"/>
                <w:szCs w:val="20"/>
              </w:rPr>
            </w:pPr>
            <w:r>
              <w:rPr>
                <w:rFonts w:ascii="Times New Roman" w:hAnsi="Times New Roman" w:cs="Times New Roman"/>
                <w:sz w:val="20"/>
                <w:szCs w:val="20"/>
              </w:rPr>
              <w:t>Celu szczegółowego polityki:</w:t>
            </w:r>
            <w:r>
              <w:rPr>
                <w:rFonts w:ascii="Times New Roman" w:hAnsi="Times New Roman" w:cs="Times New Roman"/>
                <w:i/>
                <w:iCs/>
                <w:sz w:val="20"/>
                <w:szCs w:val="20"/>
              </w:rPr>
              <w:t xml:space="preserve"> 5.</w:t>
            </w:r>
            <w:r>
              <w:rPr>
                <w:rFonts w:ascii="Times New Roman" w:hAnsi="Times New Roman" w:cs="Times New Roman"/>
                <w:sz w:val="20"/>
                <w:szCs w:val="20"/>
              </w:rPr>
              <w:t xml:space="preserve"> </w:t>
            </w:r>
            <w:r>
              <w:rPr>
                <w:rFonts w:ascii="Times New Roman" w:hAnsi="Times New Roman" w:cs="Times New Roman"/>
                <w:i/>
                <w:iCs/>
                <w:sz w:val="20"/>
                <w:szCs w:val="20"/>
              </w:rPr>
              <w:t>Europa bliższa obywatelom dzięki wspieraniu zrównoważonego i zintegrowanego rozwoju wszystkich rodzajów terytoriów i inicjatyw lokalnych:</w:t>
            </w:r>
          </w:p>
          <w:p w14:paraId="77E22D14">
            <w:pPr>
              <w:pStyle w:val="28"/>
              <w:numPr>
                <w:ilvl w:val="0"/>
                <w:numId w:val="33"/>
              </w:numPr>
              <w:spacing w:after="0" w:line="276" w:lineRule="auto"/>
              <w:ind w:left="357" w:hanging="357"/>
              <w:jc w:val="both"/>
              <w:rPr>
                <w:rFonts w:ascii="Times New Roman" w:hAnsi="Times New Roman" w:cs="Times New Roman"/>
                <w:i/>
                <w:iCs/>
                <w:sz w:val="20"/>
                <w:szCs w:val="20"/>
              </w:rPr>
            </w:pPr>
            <w:r>
              <w:rPr>
                <w:rFonts w:ascii="Times New Roman" w:hAnsi="Times New Roman" w:cs="Times New Roman"/>
                <w:i/>
                <w:iCs/>
                <w:sz w:val="20"/>
                <w:szCs w:val="20"/>
              </w:rPr>
              <w:t>5(ii) wspieranie zintegrowanego i sprzyjającego włączeniu społecznemu rozwoju społecznego, gospodarczego i środowiskowego, na poziomie lokalnym, kultury, dziedzictwa naturalnego, zrównoważonej turystyki i bezpieczeństwa na obszarach innych niż miejskie.</w:t>
            </w:r>
          </w:p>
          <w:p w14:paraId="3AE83D58">
            <w:pPr>
              <w:spacing w:after="0" w:line="276" w:lineRule="auto"/>
              <w:jc w:val="both"/>
              <w:rPr>
                <w:rFonts w:ascii="Times New Roman" w:hAnsi="Times New Roman" w:cs="Times New Roman"/>
                <w:sz w:val="20"/>
                <w:szCs w:val="20"/>
              </w:rPr>
            </w:pPr>
            <w:r>
              <w:rPr>
                <w:rFonts w:ascii="Times New Roman" w:hAnsi="Times New Roman" w:cs="Times New Roman"/>
                <w:sz w:val="20"/>
                <w:szCs w:val="20"/>
              </w:rPr>
              <w:t>W ramach celu możliwe będzie:</w:t>
            </w:r>
          </w:p>
          <w:p w14:paraId="7A863427">
            <w:pPr>
              <w:pStyle w:val="38"/>
              <w:spacing w:line="276" w:lineRule="auto"/>
              <w:jc w:val="both"/>
              <w:rPr>
                <w:color w:val="auto"/>
                <w:sz w:val="20"/>
                <w:szCs w:val="20"/>
              </w:rPr>
            </w:pPr>
            <w:r>
              <w:rPr>
                <w:color w:val="auto"/>
                <w:sz w:val="20"/>
                <w:szCs w:val="20"/>
              </w:rPr>
              <w:t xml:space="preserve">Rozwój infrastruktury kultury: </w:t>
            </w:r>
          </w:p>
          <w:p w14:paraId="098BBE8C">
            <w:pPr>
              <w:pStyle w:val="38"/>
              <w:numPr>
                <w:ilvl w:val="0"/>
                <w:numId w:val="35"/>
              </w:numPr>
              <w:spacing w:line="276" w:lineRule="auto"/>
              <w:ind w:left="357" w:hanging="357"/>
              <w:jc w:val="both"/>
              <w:rPr>
                <w:color w:val="auto"/>
                <w:sz w:val="20"/>
                <w:szCs w:val="20"/>
              </w:rPr>
            </w:pPr>
            <w:r>
              <w:rPr>
                <w:color w:val="auto"/>
                <w:sz w:val="20"/>
                <w:szCs w:val="20"/>
              </w:rPr>
              <w:t xml:space="preserve">rozwój m.in. domów kultury, bibliotek (mediatek), muzeów, w tym wyposażenie </w:t>
            </w:r>
            <w:r>
              <w:rPr>
                <w:color w:val="auto"/>
                <w:sz w:val="20"/>
                <w:szCs w:val="20"/>
              </w:rPr>
              <w:br w:type="textWrapping"/>
            </w:r>
            <w:r>
              <w:rPr>
                <w:color w:val="auto"/>
                <w:sz w:val="20"/>
                <w:szCs w:val="20"/>
              </w:rPr>
              <w:t>w nowe technologie wzmacniające ofertę kulturalną;</w:t>
            </w:r>
          </w:p>
          <w:p w14:paraId="5119B66F">
            <w:pPr>
              <w:pStyle w:val="38"/>
              <w:numPr>
                <w:ilvl w:val="0"/>
                <w:numId w:val="35"/>
              </w:numPr>
              <w:spacing w:line="276" w:lineRule="auto"/>
              <w:ind w:left="357" w:hanging="357"/>
              <w:jc w:val="both"/>
              <w:rPr>
                <w:color w:val="auto"/>
                <w:sz w:val="20"/>
                <w:szCs w:val="20"/>
              </w:rPr>
            </w:pPr>
            <w:r>
              <w:rPr>
                <w:color w:val="auto"/>
                <w:sz w:val="20"/>
                <w:szCs w:val="20"/>
              </w:rPr>
              <w:t xml:space="preserve">dokumentowanie, zachowanie i upowszechnianie dziedzictwa niematerialnego. </w:t>
            </w:r>
          </w:p>
          <w:p w14:paraId="6278954B">
            <w:pPr>
              <w:pStyle w:val="38"/>
              <w:spacing w:line="276" w:lineRule="auto"/>
              <w:jc w:val="both"/>
              <w:rPr>
                <w:color w:val="auto"/>
                <w:sz w:val="20"/>
                <w:szCs w:val="20"/>
              </w:rPr>
            </w:pPr>
            <w:r>
              <w:rPr>
                <w:color w:val="auto"/>
                <w:sz w:val="20"/>
                <w:szCs w:val="20"/>
              </w:rPr>
              <w:t xml:space="preserve">Ochrona i opieka nad zabytkami: </w:t>
            </w:r>
          </w:p>
          <w:p w14:paraId="47043756">
            <w:pPr>
              <w:pStyle w:val="38"/>
              <w:numPr>
                <w:ilvl w:val="0"/>
                <w:numId w:val="36"/>
              </w:numPr>
              <w:spacing w:line="276" w:lineRule="auto"/>
              <w:ind w:left="357" w:hanging="357"/>
              <w:jc w:val="both"/>
              <w:rPr>
                <w:color w:val="auto"/>
                <w:sz w:val="20"/>
                <w:szCs w:val="20"/>
              </w:rPr>
            </w:pPr>
            <w:r>
              <w:rPr>
                <w:color w:val="auto"/>
                <w:sz w:val="20"/>
                <w:szCs w:val="20"/>
              </w:rPr>
              <w:t xml:space="preserve">wspieranie prac konserwatorskich, restauratorskich i zabezpieczających oraz robót budowalnych przy zabytkach nieruchomych wraz z ich otoczeniem, umożliwiających zachowanie dotychczasowych funkcji zabytków, a także służących nadaniu im nowych funkcji. Objęte wsparciem zabytki będą mogły pełnić funkcje użytkowe, w szczególności kulturalne, edukacyjne, służące lokalnej społeczności oraz turystom. </w:t>
            </w:r>
          </w:p>
          <w:p w14:paraId="07CBB6F6">
            <w:pPr>
              <w:pStyle w:val="38"/>
              <w:spacing w:line="276" w:lineRule="auto"/>
              <w:jc w:val="both"/>
              <w:rPr>
                <w:color w:val="auto"/>
                <w:sz w:val="20"/>
                <w:szCs w:val="20"/>
              </w:rPr>
            </w:pPr>
            <w:r>
              <w:rPr>
                <w:color w:val="auto"/>
                <w:sz w:val="20"/>
                <w:szCs w:val="20"/>
              </w:rPr>
              <w:t xml:space="preserve">Oferta turystyczna: </w:t>
            </w:r>
          </w:p>
          <w:p w14:paraId="2D36B13E">
            <w:pPr>
              <w:pStyle w:val="38"/>
              <w:numPr>
                <w:ilvl w:val="0"/>
                <w:numId w:val="36"/>
              </w:numPr>
              <w:spacing w:line="276" w:lineRule="auto"/>
              <w:ind w:left="357" w:hanging="357"/>
              <w:jc w:val="both"/>
              <w:rPr>
                <w:color w:val="auto"/>
                <w:sz w:val="20"/>
                <w:szCs w:val="20"/>
              </w:rPr>
            </w:pPr>
            <w:r>
              <w:rPr>
                <w:color w:val="auto"/>
                <w:sz w:val="20"/>
                <w:szCs w:val="20"/>
              </w:rPr>
              <w:t xml:space="preserve">rozwój szlaków turystycznych oraz tworzenie produktów turystycznych bazujących na lokalnych potencjałach oraz walorach kulturowych i przyrodniczych, dzięki wsparciu infrastruktury do potrzeb zrównoważonej turystyki i stworzenia ponadlokalnej oferty turystycznej. </w:t>
            </w:r>
          </w:p>
          <w:bookmarkEnd w:id="144"/>
          <w:p w14:paraId="263A6201">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LGD planuje realizację projektów grantowych ze środków FEM w ramach wszystkich powyższych celów w zakresie przedsięwzięć: 1.16. </w:t>
            </w:r>
            <w:r>
              <w:rPr>
                <w:rFonts w:ascii="Times New Roman" w:hAnsi="Times New Roman" w:cs="Times New Roman"/>
                <w:i/>
                <w:iCs/>
                <w:sz w:val="20"/>
                <w:szCs w:val="20"/>
              </w:rPr>
              <w:t>Rozwój kultury, dziedzictwa kulturowego</w:t>
            </w:r>
            <w:r>
              <w:rPr>
                <w:rFonts w:ascii="Times New Roman" w:hAnsi="Times New Roman" w:cs="Times New Roman"/>
                <w:sz w:val="20"/>
                <w:szCs w:val="20"/>
              </w:rPr>
              <w:t xml:space="preserve"> </w:t>
            </w:r>
            <w:r>
              <w:rPr>
                <w:rFonts w:ascii="Times New Roman" w:hAnsi="Times New Roman" w:cs="Times New Roman"/>
                <w:i/>
                <w:iCs/>
                <w:sz w:val="20"/>
                <w:szCs w:val="20"/>
              </w:rPr>
              <w:t>i turystyki</w:t>
            </w:r>
            <w:r>
              <w:rPr>
                <w:rFonts w:ascii="Times New Roman" w:hAnsi="Times New Roman" w:cs="Times New Roman"/>
                <w:sz w:val="20"/>
                <w:szCs w:val="20"/>
              </w:rPr>
              <w:t xml:space="preserve"> oraz 1.17. </w:t>
            </w:r>
            <w:r>
              <w:rPr>
                <w:rFonts w:ascii="Times New Roman" w:hAnsi="Times New Roman" w:cs="Times New Roman"/>
                <w:i/>
                <w:iCs/>
                <w:sz w:val="20"/>
                <w:szCs w:val="20"/>
              </w:rPr>
              <w:t>Wspieranie oddolnych inicjatyw na rzecz aktywnego włączenia społecznego</w:t>
            </w:r>
            <w:bookmarkEnd w:id="145"/>
            <w:r>
              <w:rPr>
                <w:rFonts w:ascii="Times New Roman" w:hAnsi="Times New Roman" w:cs="Times New Roman"/>
                <w:i/>
                <w:iCs/>
                <w:sz w:val="20"/>
                <w:szCs w:val="20"/>
              </w:rPr>
              <w:t>.</w:t>
            </w:r>
          </w:p>
        </w:tc>
      </w:tr>
    </w:tbl>
    <w:p w14:paraId="16696C4F">
      <w:pPr>
        <w:jc w:val="center"/>
        <w:rPr>
          <w:rFonts w:ascii="Times New Roman" w:hAnsi="Times New Roman" w:cs="Times New Roman"/>
          <w:sz w:val="4"/>
          <w:szCs w:val="4"/>
        </w:rPr>
      </w:pPr>
      <w:r>
        <w:rPr>
          <w:rFonts w:ascii="Times New Roman" w:hAnsi="Times New Roman" w:cs="Times New Roman"/>
          <w:i/>
          <w:iCs/>
          <w:sz w:val="20"/>
          <w:szCs w:val="20"/>
        </w:rPr>
        <w:t>Źródło: opracowanie własne na podstawie dokumentów podanych w tabeli</w:t>
      </w:r>
      <w:r>
        <w:rPr>
          <w:rFonts w:ascii="Times New Roman" w:hAnsi="Times New Roman" w:cs="Times New Roman"/>
          <w:i/>
          <w:iCs/>
          <w:sz w:val="20"/>
          <w:szCs w:val="20"/>
        </w:rPr>
        <w:cr/>
      </w:r>
    </w:p>
    <w:p w14:paraId="656CE0D9">
      <w:pPr>
        <w:spacing w:after="0"/>
        <w:ind w:firstLine="708"/>
        <w:jc w:val="both"/>
        <w:rPr>
          <w:rFonts w:ascii="Times New Roman" w:hAnsi="Times New Roman" w:cs="Times New Roman"/>
        </w:rPr>
      </w:pPr>
      <w:r>
        <w:rPr>
          <w:rFonts w:ascii="Times New Roman" w:hAnsi="Times New Roman" w:cs="Times New Roman"/>
        </w:rPr>
        <w:t xml:space="preserve">LGD mogą również ubiegać się o fundusze na realizację przedsięwzięć w ramach innych programów oraz podejmować działania informacyjne na obszarze o możliwości finansowania przedsięwzięć z innych źródeł zewnętrznych zarówno w ramach środków europejskich, jak i krajowych, czy w ramach Funduszy Europejskiego Obszaru Gospodarczego i Funduszy Norweskich. Przedsięwzięcia zaplanowane do realizacji w ramach wdrażania LSR będą finansowane bezpośrednio z źródeł opisanych w tabeli 21. Ponadto wybrane przedsięwzięcia w ramach celu LSR </w:t>
      </w:r>
      <w:r>
        <w:rPr>
          <w:rFonts w:ascii="Times New Roman" w:hAnsi="Times New Roman" w:eastAsia="Calibri" w:cs="Times New Roman"/>
          <w:i/>
          <w:iCs/>
        </w:rPr>
        <w:t>Utworzenie Myślenickiej Strefy Przemysłu Czasu Wolnego</w:t>
      </w:r>
      <w:r>
        <w:rPr>
          <w:rFonts w:ascii="Times New Roman" w:hAnsi="Times New Roman" w:cs="Times New Roman"/>
          <w:i/>
          <w:iCs/>
        </w:rPr>
        <w:t xml:space="preserve"> </w:t>
      </w:r>
      <w:r>
        <w:rPr>
          <w:rFonts w:ascii="Times New Roman" w:hAnsi="Times New Roman" w:cs="Times New Roman"/>
        </w:rPr>
        <w:t>mogą być realizowane przez LGD oraz inne podmioty i partnerów, szczególnie z takich źródeł finansowania jak:</w:t>
      </w:r>
    </w:p>
    <w:p w14:paraId="722A716C">
      <w:pPr>
        <w:pStyle w:val="28"/>
        <w:numPr>
          <w:ilvl w:val="0"/>
          <w:numId w:val="37"/>
        </w:numPr>
        <w:spacing w:after="0"/>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 xml:space="preserve">Fundusze Europejskie na Infrastrukturę, Klimat, Środowisko 2021–2027 </w:t>
      </w:r>
      <w:r>
        <w:rPr>
          <w:rFonts w:ascii="Times New Roman" w:hAnsi="Times New Roman" w:cs="Times New Roman"/>
          <w:color w:val="000000" w:themeColor="text1"/>
          <w14:textFill>
            <w14:solidFill>
              <w14:schemeClr w14:val="tx1"/>
            </w14:solidFill>
          </w14:textFill>
        </w:rPr>
        <w:t xml:space="preserve">w ramach priorytetu VII </w:t>
      </w:r>
      <w:r>
        <w:rPr>
          <w:rFonts w:ascii="Times New Roman" w:hAnsi="Times New Roman" w:cs="Times New Roman"/>
          <w:i/>
          <w:iCs/>
          <w:color w:val="000000" w:themeColor="text1"/>
          <w14:textFill>
            <w14:solidFill>
              <w14:schemeClr w14:val="tx1"/>
            </w14:solidFill>
          </w14:textFill>
        </w:rPr>
        <w:t xml:space="preserve">Kultura </w:t>
      </w:r>
      <w:r>
        <w:rPr>
          <w:rFonts w:ascii="Times New Roman" w:hAnsi="Times New Roman" w:cs="Times New Roman"/>
          <w:color w:val="000000" w:themeColor="text1"/>
          <w14:textFill>
            <w14:solidFill>
              <w14:schemeClr w14:val="tx1"/>
            </w14:solidFill>
          </w14:textFill>
        </w:rPr>
        <w:t xml:space="preserve">Cel szczegółowy 4.6 </w:t>
      </w:r>
      <w:r>
        <w:rPr>
          <w:rFonts w:ascii="Times New Roman" w:hAnsi="Times New Roman" w:cs="Times New Roman"/>
          <w:i/>
          <w:iCs/>
          <w:color w:val="000000" w:themeColor="text1"/>
          <w14:textFill>
            <w14:solidFill>
              <w14:schemeClr w14:val="tx1"/>
            </w14:solidFill>
          </w14:textFill>
        </w:rPr>
        <w:t>Wzmacnianie roli kultury i zrównoważonej turystyki w rozwoju gospodarczym, włączeniu społecznym i innowacjach społecznych</w:t>
      </w:r>
      <w:r>
        <w:rPr>
          <w:rFonts w:ascii="Times New Roman" w:hAnsi="Times New Roman" w:cs="Times New Roman"/>
          <w:color w:val="000000" w:themeColor="text1"/>
          <w14:textFill>
            <w14:solidFill>
              <w14:schemeClr w14:val="tx1"/>
            </w14:solidFill>
          </w14:textFill>
        </w:rPr>
        <w:t xml:space="preserve">. W zakres finansowania z tego programu wpisują się w szczególności operacje określone w LSR odnoszące się do ogólnodostępnej infrastruktury publicznej (1.1) </w:t>
      </w:r>
      <w:r>
        <w:rPr>
          <w:rFonts w:ascii="Times New Roman" w:hAnsi="Times New Roman" w:cs="Times New Roman"/>
        </w:rPr>
        <w:t>i rozwoju kultury, dziedzictwa kulturowego i turystyki (1.16)</w:t>
      </w:r>
      <w:r>
        <w:rPr>
          <w:rFonts w:ascii="Times New Roman" w:hAnsi="Times New Roman" w:cs="Times New Roman"/>
          <w:color w:val="000000" w:themeColor="text1"/>
          <w14:textFill>
            <w14:solidFill>
              <w14:schemeClr w14:val="tx1"/>
            </w14:solidFill>
          </w14:textFill>
        </w:rPr>
        <w:t xml:space="preserve">. </w:t>
      </w:r>
    </w:p>
    <w:p w14:paraId="286D0695">
      <w:pPr>
        <w:pStyle w:val="28"/>
        <w:numPr>
          <w:ilvl w:val="0"/>
          <w:numId w:val="37"/>
        </w:numPr>
        <w:spacing w:after="0"/>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Program </w:t>
      </w:r>
      <w:r>
        <w:rPr>
          <w:rFonts w:ascii="Times New Roman" w:hAnsi="Times New Roman" w:cs="Times New Roman"/>
          <w:i/>
          <w:iCs/>
          <w:color w:val="000000" w:themeColor="text1"/>
          <w14:textFill>
            <w14:solidFill>
              <w14:schemeClr w14:val="tx1"/>
            </w14:solidFill>
          </w14:textFill>
        </w:rPr>
        <w:t>Fundusz Inicjatyw Obywatelskich NOWEFIO na lata 2021–2030</w:t>
      </w:r>
      <w:r>
        <w:rPr>
          <w:rFonts w:ascii="Times New Roman" w:hAnsi="Times New Roman" w:cs="Times New Roman"/>
          <w:color w:val="000000" w:themeColor="text1"/>
          <w14:textFill>
            <w14:solidFill>
              <w14:schemeClr w14:val="tx1"/>
            </w14:solidFill>
          </w14:textFill>
        </w:rPr>
        <w:t xml:space="preserve"> – w ramach priorytetu I </w:t>
      </w:r>
      <w:r>
        <w:rPr>
          <w:rFonts w:ascii="Times New Roman" w:hAnsi="Times New Roman" w:cs="Times New Roman"/>
          <w:i/>
          <w:iCs/>
          <w:color w:val="000000" w:themeColor="text1"/>
          <w14:textFill>
            <w14:solidFill>
              <w14:schemeClr w14:val="tx1"/>
            </w14:solidFill>
          </w14:textFill>
        </w:rPr>
        <w:t>Mikro-inicjatywy</w:t>
      </w:r>
      <w:r>
        <w:rPr>
          <w:rFonts w:ascii="Times New Roman" w:hAnsi="Times New Roman" w:cs="Times New Roman"/>
          <w:color w:val="000000" w:themeColor="text1"/>
          <w14:textFill>
            <w14:solidFill>
              <w14:schemeClr w14:val="tx1"/>
            </w14:solidFill>
          </w14:textFill>
        </w:rPr>
        <w:t xml:space="preserve"> oraz w ramach priorytetu II </w:t>
      </w:r>
      <w:r>
        <w:rPr>
          <w:rFonts w:ascii="Times New Roman" w:hAnsi="Times New Roman" w:cs="Times New Roman"/>
          <w:i/>
          <w:iCs/>
          <w:color w:val="000000" w:themeColor="text1"/>
          <w14:textFill>
            <w14:solidFill>
              <w14:schemeClr w14:val="tx1"/>
            </w14:solidFill>
          </w14:textFill>
        </w:rPr>
        <w:t>Organizacje obywatelskie na rzecz dobra wspólnego</w:t>
      </w:r>
      <w:r>
        <w:rPr>
          <w:rFonts w:ascii="Times New Roman" w:hAnsi="Times New Roman" w:cs="Times New Roman"/>
          <w:color w:val="000000" w:themeColor="text1"/>
          <w14:textFill>
            <w14:solidFill>
              <w14:schemeClr w14:val="tx1"/>
            </w14:solidFill>
          </w14:textFill>
        </w:rPr>
        <w:t>. W zakres finansowania tego programu wpisują się przedsięwzięcia (1.7, 1.8, 1.9, 1.10), które zakładają wykorzystanie potencjału organizacji pozarządowych do przygotowania, wdrażania i realizacji inicjatyw wynikających z koncepcji Smart Village oraz przedsięwzięcie (1.17) odnoszące się do wspierania oddolnych inicjatyw na rzecz aktywnego włączenia społecznego.</w:t>
      </w:r>
    </w:p>
    <w:p w14:paraId="5D09A048">
      <w:pPr>
        <w:pStyle w:val="28"/>
        <w:numPr>
          <w:ilvl w:val="0"/>
          <w:numId w:val="37"/>
        </w:numPr>
        <w:spacing w:after="0"/>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rPr>
        <w:t xml:space="preserve">Fundusze Europejskie dla Rozwoju Społecznego 2021–2027 </w:t>
      </w:r>
      <w:r>
        <w:rPr>
          <w:rFonts w:ascii="Times New Roman" w:hAnsi="Times New Roman" w:cs="Times New Roman"/>
        </w:rPr>
        <w:t xml:space="preserve">w ramach celu szczegółowego ESO4.7. </w:t>
      </w:r>
      <w:r>
        <w:rPr>
          <w:rFonts w:ascii="Times New Roman" w:hAnsi="Times New Roman" w:cs="Times New Roman"/>
          <w:i/>
          <w:iCs/>
        </w:rPr>
        <w:t xml:space="preserve">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 </w:t>
      </w:r>
      <w:r>
        <w:rPr>
          <w:rFonts w:ascii="Times New Roman" w:hAnsi="Times New Roman" w:cs="Times New Roman"/>
        </w:rPr>
        <w:t>(EFS+).</w:t>
      </w:r>
      <w:r>
        <w:rPr>
          <w:rFonts w:ascii="Times New Roman" w:hAnsi="Times New Roman" w:cs="Times New Roman"/>
          <w:i/>
          <w:iCs/>
        </w:rPr>
        <w:t xml:space="preserve"> </w:t>
      </w:r>
      <w:r>
        <w:rPr>
          <w:rFonts w:ascii="Times New Roman" w:hAnsi="Times New Roman" w:cs="Times New Roman"/>
        </w:rPr>
        <w:t>W zakres finansowania tego programu wpisuje się przedsięwzięcie 1.4, które zakłada integrację i wzmacnianie aktywności osób w niekorzystnej sytuacji (osoby z niepełnosprawnościami i ich opiekunowie)</w:t>
      </w:r>
      <w:r>
        <w:rPr>
          <w:rFonts w:ascii="Times New Roman" w:hAnsi="Times New Roman" w:cs="Times New Roman"/>
          <w:color w:val="000000" w:themeColor="text1"/>
          <w14:textFill>
            <w14:solidFill>
              <w14:schemeClr w14:val="tx1"/>
            </w14:solidFill>
          </w14:textFill>
        </w:rPr>
        <w:t>.</w:t>
      </w:r>
    </w:p>
    <w:p w14:paraId="5556CAAA">
      <w:pPr>
        <w:pStyle w:val="28"/>
        <w:numPr>
          <w:ilvl w:val="0"/>
          <w:numId w:val="37"/>
        </w:numPr>
        <w:ind w:left="851" w:hanging="42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Program Interreg Polska-Słowacja 2021–2027</w:t>
      </w:r>
      <w:r>
        <w:rPr>
          <w:rFonts w:ascii="Times New Roman" w:hAnsi="Times New Roman" w:cs="Times New Roman"/>
          <w:color w:val="000000" w:themeColor="text1"/>
          <w14:textFill>
            <w14:solidFill>
              <w14:schemeClr w14:val="tx1"/>
            </w14:solidFill>
          </w14:textFill>
        </w:rPr>
        <w:t xml:space="preserve"> w ramach priorytetu 3 </w:t>
      </w:r>
      <w:r>
        <w:rPr>
          <w:rFonts w:ascii="Times New Roman" w:hAnsi="Times New Roman" w:cs="Times New Roman"/>
          <w:i/>
          <w:iCs/>
          <w:color w:val="000000" w:themeColor="text1"/>
          <w14:textFill>
            <w14:solidFill>
              <w14:schemeClr w14:val="tx1"/>
            </w14:solidFill>
          </w14:textFill>
        </w:rPr>
        <w:t>Twórcze i atrakcyjne turystycznie Pogranicze</w:t>
      </w:r>
      <w:r>
        <w:rPr>
          <w:rFonts w:ascii="Times New Roman" w:hAnsi="Times New Roman" w:cs="Times New Roman"/>
          <w:color w:val="000000" w:themeColor="text1"/>
          <w14:textFill>
            <w14:solidFill>
              <w14:schemeClr w14:val="tx1"/>
            </w14:solidFill>
          </w14:textFill>
        </w:rPr>
        <w:t xml:space="preserve"> Cel szczegółowy: wzmacnianie roli kultury i zrównoważonej turystyki w rozwoju gospodarczym, włączeniu społecznym i innowacjach społecznych. W zakres finansowania z tego programu wpisują się w szczególności przedsięwzięcia określone w LSR odnoszące się do rozbudowy oferty infrastruktury publicznej (1.1).</w:t>
      </w:r>
    </w:p>
    <w:p w14:paraId="6A568A89">
      <w:pPr>
        <w:spacing w:after="0"/>
        <w:ind w:firstLine="708"/>
        <w:jc w:val="both"/>
        <w:rPr>
          <w:rFonts w:ascii="Times New Roman" w:hAnsi="Times New Roman" w:cs="Times New Roman"/>
        </w:rPr>
      </w:pPr>
      <w:r>
        <w:rPr>
          <w:rFonts w:ascii="Times New Roman" w:hAnsi="Times New Roman" w:cs="Times New Roman"/>
        </w:rPr>
        <w:t xml:space="preserve">Wykorzystanie różnych źródeł finansowania pozwoli na osiągnięcie lepszych efektów w realizacji zaplanowanych przedsięwzięć poprzez koordynację działań w ramach kilku programów. Niewątpliwie dywersyfikacja źródeł finansowania wywoła większy wpływ na obszar niż skorzystanie tylko z jednego programu. Wspieranie rozwoju kompetencji społecznych i gospodarczych będzie realizowane przez szereg zaplanowanych działań, które dotykają różnych zdiagnozowanych problemów, wzajemnie się uzupełniają i w sposób synergiczny wpłyną na osiągnięcie założonego celu LSR jakim jest </w:t>
      </w:r>
      <w:r>
        <w:rPr>
          <w:rFonts w:ascii="Times New Roman" w:hAnsi="Times New Roman" w:cs="Times New Roman"/>
          <w:i/>
          <w:iCs/>
        </w:rPr>
        <w:t>Utworzenie Myślenickiej Strefy Przemysłu Czasu Wolnego.</w:t>
      </w:r>
    </w:p>
    <w:p w14:paraId="007AC307">
      <w:pPr>
        <w:spacing w:after="0" w:line="276" w:lineRule="auto"/>
        <w:ind w:firstLine="708"/>
        <w:jc w:val="both"/>
        <w:rPr>
          <w:rFonts w:ascii="Times New Roman" w:hAnsi="Times New Roman" w:cs="Times New Roman"/>
        </w:rPr>
      </w:pPr>
      <w:bookmarkStart w:id="146" w:name="_Hlk135726666"/>
      <w:r>
        <w:rPr>
          <w:rFonts w:ascii="Times New Roman" w:hAnsi="Times New Roman" w:cs="Times New Roman"/>
        </w:rPr>
        <w:t xml:space="preserve">Cel LSR </w:t>
      </w:r>
      <w:r>
        <w:rPr>
          <w:rFonts w:ascii="Times New Roman" w:hAnsi="Times New Roman" w:cs="Times New Roman"/>
          <w:i/>
          <w:iCs/>
        </w:rPr>
        <w:t xml:space="preserve">Utworzenie Myślenickiej Strefy Przemysłu Czasu Wolnego </w:t>
      </w:r>
      <w:r>
        <w:rPr>
          <w:rFonts w:ascii="Times New Roman" w:hAnsi="Times New Roman" w:cs="Times New Roman"/>
        </w:rPr>
        <w:t xml:space="preserve">wpłynie na wzmocnienie integracji mieszkańców obszaru oraz zwiększy ich aktywność w zakresie podejmowania inicjatyw na rzecz wspólnego dobra. Przedsięwzięcia zaplanowane w ramach celu zaspokoją potrzebę mieszkańców związaną ze zwiększeniem oferty spędzania czasu wolnego i rekreacji, a także przyczynią się do zwiększenia dostępności infrastruktury, która będzie wykorzystywana przez mieszkańców. Ponadto cel jest odpowiedzią na potrzeby mieszkańców w zakresie zwiększenia możliwości rozwoju oraz podnoszenia kompetencji szczególnie w zakresie cyfryzacji, w tym skierowanych do osób w niekorzystnej sytuacji – osób z niepełnosprawnością i ich opiekunów. Działania skierowane do osób młodych oraz seniorów, a także osób w inny sposób zagrożonych wykluczeniem, pozwolą na wzmocnienie więzi społecznych, co zwiększy możliwości współdziałania na różnym poziomie. Przedsięwzięcia będą wspierały zarówno inicjatywy nieformalnych grup jak i organizacji pozarządowych, uzupełnieniem tych działań będzie kreowanie lokalnych liderów oraz aktywizacja seniorów oraz promowanie zdrowego trybu życia. Ważnym przedsięwzięciem w ramach tego celu będzie wdrożenie koncepcji Smart Village na obszarze, która będzie spajała wszystkie zaplanowane przedsięwzięcia, a tym samym zwiększy efekt ich synergii. Dla osiągnięcia mocniejszego efektu przedsięwzięcia będą realizowane w ramach środków z PS WPR oraz FEM. </w:t>
      </w:r>
    </w:p>
    <w:p w14:paraId="10932ED4">
      <w:pPr>
        <w:spacing w:after="0" w:line="276" w:lineRule="auto"/>
        <w:ind w:firstLine="708"/>
        <w:jc w:val="both"/>
        <w:rPr>
          <w:rFonts w:ascii="Times New Roman" w:hAnsi="Times New Roman" w:cs="Times New Roman"/>
        </w:rPr>
      </w:pPr>
      <w:r>
        <w:rPr>
          <w:rFonts w:ascii="Times New Roman" w:hAnsi="Times New Roman" w:cs="Times New Roman"/>
        </w:rPr>
        <w:t xml:space="preserve">Jednym z kryteriów premiujących będzie kryterium o brzmieniu: „specyfika działalności umożliwia jej świadczenie tylko na obszarze LGD” – ma to na celu ograniczenie przypadków, kiedy wsparcie udzielone jest na realizację usług mobilnych, czy zakup mobilnego sprzętu, które ostatecznie świadczone/używane są poza obszarem i nie stanowi żadnej wartości dodanej dla mieszkańców. Ważne, aby powstające działalności miały na celu wzrost jakości i dostępności usług dla lokalnej społeczności. Co więcej, dokonano skoncentrowania wsparcia dotyczącego wspierania przedsiębiorczości, w celu jak najlepszego wykorzystania posiadanych zasobów finansowych. W związku z tym, w oparciu o lokalne zasoby oraz zgłaszane potrzeby i zdiagnozowane problemy, wsparcie przeznaczone będzie na gospodarkę czasu wolnego, a więc wszelkie działalności, które mają na celu wzrost dostępności i jakości usług dla lokalnej społeczności w zakresie rekreacji, sportu, spędzania czasu wolnego, w tym samorozwoju, rozwoju pasji i talentów mieszkańców. Przykładowo mogą to być wioski tematyczne bazujące na dziedzictwie naturalnym, wydarzenia na rzecz zdrowia i rekreacji, a także oferta edukacyjna, kulturalna i integracyjna, gospodarstwa agroturystyczne, zagrody edukacyjne itp. </w:t>
      </w:r>
    </w:p>
    <w:p w14:paraId="6B9BE5D6">
      <w:pPr>
        <w:spacing w:after="0" w:line="276" w:lineRule="auto"/>
        <w:ind w:firstLine="708"/>
        <w:jc w:val="both"/>
        <w:rPr>
          <w:rFonts w:ascii="Times New Roman" w:hAnsi="Times New Roman" w:cs="Times New Roman"/>
        </w:rPr>
      </w:pPr>
      <w:r>
        <w:rPr>
          <w:rFonts w:ascii="Times New Roman" w:hAnsi="Times New Roman" w:cs="Times New Roman"/>
        </w:rPr>
        <w:t>W ramach LSR określono przedsięwzięcia, które będą realizowane przez różne podmioty, z wykorzystaniem różnych metod wdrażania. Są one kompatybilne, a ponadto bezpośrednio wpływają na osiągnięcie celu LSR</w:t>
      </w:r>
      <w:r>
        <w:rPr>
          <w:rFonts w:ascii="Times New Roman" w:hAnsi="Times New Roman" w:cs="Times New Roman"/>
          <w:i/>
          <w:iCs/>
        </w:rPr>
        <w:t xml:space="preserve">, </w:t>
      </w:r>
      <w:r>
        <w:rPr>
          <w:rFonts w:ascii="Times New Roman" w:hAnsi="Times New Roman" w:cs="Times New Roman"/>
        </w:rPr>
        <w:t xml:space="preserve">który odnosi się do wzmocnienia zasobu jakim jest kapitał ludzki na obszarze poprzez jego aktywizację, ale też do zapewnienia lokalnej społeczności możliwości rozwoju, dostępu do usług, atrakcyjnych przestrzeni publicznych </w:t>
      </w:r>
      <w:r>
        <w:rPr>
          <w:rFonts w:ascii="Times New Roman" w:hAnsi="Times New Roman" w:cs="Times New Roman"/>
        </w:rPr>
        <w:br w:type="textWrapping"/>
      </w:r>
      <w:r>
        <w:rPr>
          <w:rFonts w:ascii="Times New Roman" w:hAnsi="Times New Roman" w:cs="Times New Roman"/>
        </w:rPr>
        <w:t>i wsparcia osób w niekorzystnej sytuacji. Działania zaplanowane do realizacji będą wspierały mieszkańców w celu stworzenia obszaru silnego społecznie, a co za tym idzie również gospodarczo, gdzie mieszkańcy będą mieli zapewnione usługi na wysokim poziomie, co zachęci ich do większej aktywności oraz ciągłego ulepszania miejsca, w którym żyją. Przedsięwzięcia wzajemnie się uzupełniają dając efekt synergii, umożliwiający realizację celu. Realizacja każdego pojedynczego przedsięwzięcia wpływa na drugie, a działania zaplanowane na kolejne lata wzajemnie się uzupełniają przynosząc większe korzyści niż realizacja pojedynczego działania.</w:t>
      </w:r>
    </w:p>
    <w:bookmarkEnd w:id="146"/>
    <w:p w14:paraId="66A7C12F">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Poniżej wykazano wartość dodaną podejścia LEADER w realizacji LSR:</w:t>
      </w:r>
    </w:p>
    <w:p w14:paraId="4CAB2115">
      <w:pPr>
        <w:pStyle w:val="28"/>
        <w:numPr>
          <w:ilvl w:val="0"/>
          <w:numId w:val="38"/>
        </w:numPr>
        <w:ind w:left="714" w:hanging="357"/>
        <w:contextualSpacing w:val="0"/>
        <w:rPr>
          <w:rFonts w:ascii="Times New Roman" w:hAnsi="Times New Roman" w:cs="Times New Roman"/>
          <w:b/>
          <w:bCs/>
        </w:rPr>
      </w:pPr>
      <w:r>
        <w:rPr>
          <w:rFonts w:ascii="Times New Roman" w:hAnsi="Times New Roman" w:cs="Times New Roman"/>
          <w:b/>
          <w:bCs/>
        </w:rPr>
        <w:t>Korzyści planowane do osiągnięcia</w:t>
      </w:r>
    </w:p>
    <w:p w14:paraId="7A84E21D">
      <w:pPr>
        <w:pStyle w:val="28"/>
        <w:spacing w:line="276" w:lineRule="auto"/>
        <w:ind w:left="0" w:firstLine="709"/>
        <w:contextualSpacing w:val="0"/>
        <w:jc w:val="both"/>
        <w:rPr>
          <w:rFonts w:ascii="Times New Roman" w:hAnsi="Times New Roman" w:cs="Times New Roman"/>
        </w:rPr>
      </w:pPr>
      <w:r>
        <w:rPr>
          <w:rFonts w:ascii="Times New Roman" w:hAnsi="Times New Roman" w:cs="Times New Roman"/>
        </w:rPr>
        <w:t xml:space="preserve">Dzięki realizacji założeń Strategii planowane jest zwiększenie zainteresowania oraz realizacji projektów w partnerstwie, które przyczynią się do zwiększenia umiejętności współpracy oraz wiedzy poprzez wymianę doświadczeń między partnerami biorącymi udział w projekcie. Ponadto w przypadku projektów z partnerami spoza obszaru dodatkową korzyścią będzie promocja obszaru LGD. Wdrażanie LSR opierać się będzie przede wszystkim na partnerstwie w ramach LGD oraz partnerstwie LGD z innymi podmiotami zarówno z obszaru objętego LSR (szczególnie władzami lokalnymi), jak i spoza obszaru, co w rezultacie spowoduje, iż bliska współpraca międzysektorowa oraz z innymi obszarami nie będzie tylko punktowa, ale stanie się długofalowa i będzie </w:t>
      </w:r>
      <w:r>
        <w:rPr>
          <w:rFonts w:ascii="Times New Roman" w:hAnsi="Times New Roman" w:cs="Times New Roman"/>
        </w:rPr>
        <w:br w:type="textWrapping"/>
      </w:r>
      <w:r>
        <w:rPr>
          <w:rFonts w:ascii="Times New Roman" w:hAnsi="Times New Roman" w:cs="Times New Roman"/>
        </w:rPr>
        <w:t>w przyszłości standardem. Aktywizacja lokalnych społeczności, w tym szczególnie osób młodych, przyczyni się do wzrostu poczucia tożsamości lokalnej oraz lepszej integracji społeczności. Objęcie szczególnym wsparciem osób z niepełnosprawnością zmniejszy nierówności w możliwościach rozwoju oraz zniweluje wykluczenie społeczne tych osób. Również wartością dodaną będzie zwiększenie innowacyjności obszaru, która będzie związana z wdrażaniem koncepcji Smart Village na obszarze. Innowacyjne działania na rzecz rozwoju kapitału społecznego z wykorzystaniem technologii oraz zasobów lokalnych przyczynią się do wzmocnienia całego obszaru. Różnorodne metody wdrażania operacji przyczynią się również do rozwoju społecznego, w tym wzrostu potencjału członków lokalnych społeczności. Oddolny charakter LSR, w tym udział społeczności zarówno na etapie jej tworzenia, jak i na etapie wdrażania, przyczyni się do maksymalnego dopasowania założeń dokumentu i wdrażanych operacji do lokalnych potrzeb. Partnerskie i oddolne podejście będzie prowadzić do integracji członków społeczności, aktywizacji do udziału w życiu społecznym, poczucia sprawczości, co w dalszej kolejności sprzyjać będzie dojrzałości obywatelskiej, podejmowaniu własnych inicjatyw, samostanowienia, a także kontroli społecznej nad działaniami władz. Nie bez znaczenia jest także właśnie brak dominacji sektora publicznego. Ważnym aspektem jest to, że LSR będzie wdrażana na spójnym obszarze, a przedsięwzięcia realizowane będą poza obszarem jednostek administracyjnych gmin. Istotny we wszystkich powyższych działaniach jest ich wpływ na budowanie zaufania poprzez zapraszanie do współpracy wszystkich grup i mieszkańców, nawet dotąd nieobecnych, zarówno tych o dużym potencjale, jak i deficytach.</w:t>
      </w:r>
    </w:p>
    <w:p w14:paraId="6D53FE3D">
      <w:pPr>
        <w:pStyle w:val="28"/>
        <w:numPr>
          <w:ilvl w:val="0"/>
          <w:numId w:val="38"/>
        </w:numPr>
        <w:spacing w:before="240"/>
        <w:ind w:left="714" w:hanging="357"/>
        <w:contextualSpacing w:val="0"/>
        <w:rPr>
          <w:rFonts w:ascii="Times New Roman" w:hAnsi="Times New Roman" w:cs="Times New Roman"/>
          <w:b/>
          <w:bCs/>
        </w:rPr>
      </w:pPr>
      <w:r>
        <w:rPr>
          <w:rFonts w:ascii="Times New Roman" w:hAnsi="Times New Roman" w:cs="Times New Roman"/>
          <w:b/>
          <w:bCs/>
        </w:rPr>
        <w:t>Uzasadnienie wyboru zakresów wsparcia</w:t>
      </w:r>
    </w:p>
    <w:p w14:paraId="125E9881">
      <w:pPr>
        <w:pStyle w:val="28"/>
        <w:spacing w:line="276" w:lineRule="auto"/>
        <w:ind w:left="0" w:firstLine="708"/>
        <w:jc w:val="both"/>
        <w:rPr>
          <w:rFonts w:ascii="Times New Roman" w:hAnsi="Times New Roman" w:cs="Times New Roman"/>
        </w:rPr>
      </w:pPr>
      <w:r>
        <w:rPr>
          <w:rFonts w:ascii="Times New Roman" w:hAnsi="Times New Roman" w:cs="Times New Roman"/>
        </w:rPr>
        <w:t>W oddolnym procesie tworzenia LSR dokonano wyboru następujących zakresów wsparcia:</w:t>
      </w:r>
    </w:p>
    <w:p w14:paraId="0E7C489E">
      <w:pPr>
        <w:pStyle w:val="28"/>
        <w:numPr>
          <w:ilvl w:val="0"/>
          <w:numId w:val="39"/>
        </w:numPr>
        <w:spacing w:line="276" w:lineRule="auto"/>
        <w:jc w:val="both"/>
        <w:rPr>
          <w:rFonts w:ascii="Times New Roman" w:hAnsi="Times New Roman" w:cs="Times New Roman"/>
        </w:rPr>
      </w:pPr>
      <w:r>
        <w:rPr>
          <w:rFonts w:ascii="Times New Roman" w:hAnsi="Times New Roman" w:cs="Times New Roman"/>
        </w:rPr>
        <w:t>rozwój przedsiębiorczości, w tym rozwój biogospodarki lub zielonej gospodarki;</w:t>
      </w:r>
    </w:p>
    <w:p w14:paraId="50FA8F18">
      <w:pPr>
        <w:pStyle w:val="28"/>
        <w:numPr>
          <w:ilvl w:val="0"/>
          <w:numId w:val="39"/>
        </w:numPr>
        <w:spacing w:line="276" w:lineRule="auto"/>
        <w:jc w:val="both"/>
        <w:rPr>
          <w:rFonts w:ascii="Times New Roman" w:hAnsi="Times New Roman" w:cs="Times New Roman"/>
        </w:rPr>
      </w:pPr>
      <w:r>
        <w:rPr>
          <w:rFonts w:ascii="Times New Roman" w:hAnsi="Times New Roman" w:cs="Times New Roman"/>
        </w:rPr>
        <w:t>rozwój pozarolniczych funkcji małych gospodarstw rolnych w zakresie tworzenia i rozwijania;</w:t>
      </w:r>
    </w:p>
    <w:p w14:paraId="37506050">
      <w:pPr>
        <w:pStyle w:val="28"/>
        <w:numPr>
          <w:ilvl w:val="0"/>
          <w:numId w:val="39"/>
        </w:numPr>
        <w:spacing w:line="276" w:lineRule="auto"/>
        <w:jc w:val="both"/>
        <w:rPr>
          <w:rFonts w:ascii="Times New Roman" w:hAnsi="Times New Roman" w:cs="Times New Roman"/>
        </w:rPr>
      </w:pPr>
      <w:r>
        <w:rPr>
          <w:rFonts w:ascii="Times New Roman" w:hAnsi="Times New Roman" w:cs="Times New Roman"/>
        </w:rPr>
        <w:t>poprawa dostępu do usług dla lokalnych społeczności;</w:t>
      </w:r>
    </w:p>
    <w:p w14:paraId="218BB9AD">
      <w:pPr>
        <w:pStyle w:val="28"/>
        <w:numPr>
          <w:ilvl w:val="0"/>
          <w:numId w:val="39"/>
        </w:numPr>
        <w:spacing w:line="276" w:lineRule="auto"/>
        <w:jc w:val="both"/>
        <w:rPr>
          <w:rFonts w:ascii="Times New Roman" w:hAnsi="Times New Roman" w:cs="Times New Roman"/>
        </w:rPr>
      </w:pPr>
      <w:r>
        <w:rPr>
          <w:rFonts w:ascii="Times New Roman" w:hAnsi="Times New Roman" w:cs="Times New Roman"/>
        </w:rPr>
        <w:t xml:space="preserve">przygotowanie koncepcji inteligentnej wsi; </w:t>
      </w:r>
    </w:p>
    <w:p w14:paraId="085EE8CF">
      <w:pPr>
        <w:pStyle w:val="28"/>
        <w:numPr>
          <w:ilvl w:val="0"/>
          <w:numId w:val="39"/>
        </w:numPr>
        <w:spacing w:line="276" w:lineRule="auto"/>
        <w:jc w:val="both"/>
        <w:rPr>
          <w:rFonts w:ascii="Times New Roman" w:hAnsi="Times New Roman" w:cs="Times New Roman"/>
        </w:rPr>
      </w:pPr>
      <w:r>
        <w:rPr>
          <w:rFonts w:ascii="Times New Roman" w:hAnsi="Times New Roman" w:cs="Times New Roman"/>
        </w:rPr>
        <w:t>poprawa dostępu do małej infrastruktury publicznej;</w:t>
      </w:r>
    </w:p>
    <w:p w14:paraId="3338DD9E">
      <w:pPr>
        <w:pStyle w:val="28"/>
        <w:numPr>
          <w:ilvl w:val="0"/>
          <w:numId w:val="39"/>
        </w:numPr>
        <w:spacing w:line="276" w:lineRule="auto"/>
        <w:jc w:val="both"/>
        <w:rPr>
          <w:rFonts w:ascii="Times New Roman" w:hAnsi="Times New Roman" w:cs="Times New Roman"/>
        </w:rPr>
      </w:pPr>
      <w:r>
        <w:rPr>
          <w:rFonts w:ascii="Times New Roman" w:hAnsi="Times New Roman" w:cs="Times New Roman"/>
        </w:rPr>
        <w:t>kształtowanie świadomości obywatelskiej o znaczeniu zrównoważonego rolnictwa, gospodarki rolno-spożywczej, zielonej gospodarki, biogospodarki, wsparcie rozwoju wiedzy i umiejętności w zakresie innowacyjności, cyfryzacji i przedsiębiorczości, a także wzmacnianie programów edukacji liderów życia publicznego i społecznego, z wyłączeniem inwestycji infrastrukturalnych;</w:t>
      </w:r>
    </w:p>
    <w:p w14:paraId="4B3A831B">
      <w:pPr>
        <w:pStyle w:val="28"/>
        <w:numPr>
          <w:ilvl w:val="0"/>
          <w:numId w:val="39"/>
        </w:numPr>
        <w:spacing w:line="276" w:lineRule="auto"/>
        <w:jc w:val="both"/>
        <w:rPr>
          <w:rFonts w:ascii="Times New Roman" w:hAnsi="Times New Roman" w:cs="Times New Roman"/>
        </w:rPr>
      </w:pPr>
      <w:r>
        <w:rPr>
          <w:rFonts w:ascii="Times New Roman" w:hAnsi="Times New Roman" w:cs="Times New Roman"/>
        </w:rPr>
        <w:t>włączenie społeczne seniorów, ludzi młodych i osób w niekorzystnej sytuacji.</w:t>
      </w:r>
    </w:p>
    <w:p w14:paraId="1EC481F8">
      <w:pPr>
        <w:spacing w:after="0" w:line="276" w:lineRule="auto"/>
        <w:ind w:firstLine="708"/>
        <w:jc w:val="both"/>
        <w:rPr>
          <w:rFonts w:ascii="Times New Roman" w:hAnsi="Times New Roman" w:cs="Times New Roman"/>
        </w:rPr>
      </w:pPr>
      <w:r>
        <w:rPr>
          <w:rFonts w:ascii="Times New Roman" w:hAnsi="Times New Roman" w:cs="Times New Roman"/>
        </w:rPr>
        <w:t xml:space="preserve">Wspierane będą działalności z zakresu gospodarki czasu wolnego, dodatkowo wspierane będzie wzmocnienie potencjału podmiotów działających na rzecz grupy osób w niekorzystnej sytuacji – osób </w:t>
      </w:r>
      <w:r>
        <w:rPr>
          <w:rFonts w:ascii="Times New Roman" w:hAnsi="Times New Roman" w:cs="Times New Roman"/>
        </w:rPr>
        <w:br w:type="textWrapping"/>
      </w:r>
      <w:r>
        <w:rPr>
          <w:rFonts w:ascii="Times New Roman" w:hAnsi="Times New Roman" w:cs="Times New Roman"/>
        </w:rPr>
        <w:t xml:space="preserve">z niepełnosprawnościami i ich opiekunów oraz takie, których specyfika pozwoli na świadczenie usług tylko na obszarze LGD (wzrost dostępności usług dla lokalnej społeczności). Ponadto w zakresie włączenia społecznego </w:t>
      </w:r>
      <w:r>
        <w:rPr>
          <w:rFonts w:ascii="Times New Roman" w:hAnsi="Times New Roman" w:cs="Times New Roman"/>
        </w:rPr>
        <w:br w:type="textWrapping"/>
      </w:r>
      <w:r>
        <w:rPr>
          <w:rFonts w:ascii="Times New Roman" w:hAnsi="Times New Roman" w:cs="Times New Roman"/>
        </w:rPr>
        <w:t>i aktywizacji społecznej, szczególny nacisk zostanie położony na potrzeby seniorów (osoby, które ukończyły 60. rok życia) i ludzi młodych (do 25. roku życia). Mieszkańcy obszaru zdają sobie sprawę, że są świadkami coraz szybszych zmian, nie tylko klimatycznych, ale także społecznych, technicznych i technologicznych. Rolą lokalnych społeczności będzie partnerskie i oddolne wdrażanie Strategii, w tym poprzez inicjatywy innowacyjne (przygotowanie do wdrażana i realizacja inicjatyw wynikających z koncepcji Smart Village). Szczególną uwagę zwrócono na promowanie innowacji społecznych jako źródła wzrostu gospodarczego, wspieranie innowacyjnych przedsiębiorców oraz mobilizację inwestorów i organizacji publicznych.</w:t>
      </w:r>
    </w:p>
    <w:p w14:paraId="73BAD4CB">
      <w:pPr>
        <w:spacing w:line="276" w:lineRule="auto"/>
        <w:ind w:firstLine="708"/>
        <w:jc w:val="both"/>
        <w:rPr>
          <w:rFonts w:ascii="Times New Roman" w:hAnsi="Times New Roman" w:cs="Times New Roman"/>
        </w:rPr>
      </w:pPr>
      <w:r>
        <w:rPr>
          <w:rFonts w:ascii="Times New Roman" w:hAnsi="Times New Roman" w:cs="Times New Roman"/>
        </w:rPr>
        <w:t xml:space="preserve">Zgodnie z oczekiwaniami mieszkańców zaplanowano realizację projektów w zakresie poprawy dostępu do małej infrastruktury publicznej, która nie tylko poprawiłaby estetykę i funkcjonalność przestrzeni publicznych, ale też wsparłaby rozwój miejsc rekreacji i spędzania czasu wolnego, dodatkowo infrastruktura publiczna będzie posiadała udogodnienia dla osób z niepełnosprawnościami. Ze względu na niewykorzystany potencjał organizacji pozarządowych i niewielką aktywność mieszkańców w takich organizacjach, zaplanowano wsparcie organizacji i ich członków, szczególnie w zakresie animowania do realizacji wspólnych projektów, w tym przygotowania do wdrażania i wsparcia w zakresie realizacji inicjatyw oddolnych wynikających z Koncepcji Smart Villages. W ramach wsparcia w zakresie rozwoju pozarolniczych funkcji małych gospodarstw przewiduje się projekty związane </w:t>
      </w:r>
      <w:r>
        <w:rPr>
          <w:rFonts w:ascii="Times New Roman" w:hAnsi="Times New Roman" w:cs="Times New Roman"/>
        </w:rPr>
        <w:br w:type="textWrapping"/>
      </w:r>
      <w:r>
        <w:rPr>
          <w:rFonts w:ascii="Times New Roman" w:hAnsi="Times New Roman" w:cs="Times New Roman"/>
        </w:rPr>
        <w:t xml:space="preserve">z tworzeniem lub rozwijaniem gospodarstw agroturystycznych. Uzupełnieniem gospodarstw agroturystycznych może być działanie związane z prowadzeniem zagrody edukacyjnej. Wszystkie zakresy będą się wzajemnie uzupełniać, a realizowane operacje wywołają efekt kuli śnieżnej. Wsparcie dla przedsiębiorców będzie skoncentrowane tylko na te branże, które są związane z tworzeniem możliwości rozwoju turystyki, rekreacji i budowaniem oferty spędzania czasu wolnego dla mieszkańców i turystów oraz będą komplementarne w stosunku do tworzonej małej infrastruktury publicznej. Organizacje pozarządowe i ich członkowie będą nie tylko beneficjentami, ale i odbiorcami wsparcia. Będą miały możliwość rozwoju i jednocześnie będą mogły realizować projekty dla lokalnej społeczności. </w:t>
      </w:r>
    </w:p>
    <w:p w14:paraId="61825772">
      <w:pPr>
        <w:pStyle w:val="28"/>
        <w:numPr>
          <w:ilvl w:val="0"/>
          <w:numId w:val="38"/>
        </w:numPr>
        <w:rPr>
          <w:rFonts w:ascii="Times New Roman" w:hAnsi="Times New Roman" w:cs="Times New Roman"/>
          <w:b/>
          <w:bCs/>
        </w:rPr>
      </w:pPr>
      <w:r>
        <w:rPr>
          <w:rFonts w:ascii="Times New Roman" w:hAnsi="Times New Roman" w:cs="Times New Roman"/>
          <w:b/>
          <w:bCs/>
        </w:rPr>
        <w:t>Uzasadnienie wyboru dostępnych źródeł finansowania</w:t>
      </w:r>
    </w:p>
    <w:p w14:paraId="6061993D">
      <w:pPr>
        <w:spacing w:line="276" w:lineRule="auto"/>
        <w:ind w:firstLine="708"/>
        <w:jc w:val="both"/>
        <w:rPr>
          <w:rFonts w:ascii="Times New Roman" w:hAnsi="Times New Roman" w:cs="Times New Roman"/>
        </w:rPr>
      </w:pPr>
      <w:r>
        <w:rPr>
          <w:rFonts w:ascii="Times New Roman" w:hAnsi="Times New Roman" w:cs="Times New Roman"/>
        </w:rPr>
        <w:t xml:space="preserve">LSR będzie wdrażana przede wszystkim za pomocą środków PS WPR na lata 2023–2027 w ramach EFRROW oraz środków programu regionalnego </w:t>
      </w:r>
      <w:r>
        <w:rPr>
          <w:rFonts w:ascii="Times New Roman" w:hAnsi="Times New Roman" w:cs="Times New Roman"/>
          <w:i/>
          <w:iCs/>
        </w:rPr>
        <w:t>Fundusze Europejskie dla Małopolski 2021–2027</w:t>
      </w:r>
      <w:r>
        <w:rPr>
          <w:rFonts w:ascii="Times New Roman" w:hAnsi="Times New Roman" w:cs="Times New Roman"/>
        </w:rPr>
        <w:t xml:space="preserve"> (FEM) w ramach EFRR i EFS+. Niniejsza Strategia jest tzw. strategią wielofunduszową – RLKS na poziomie programu regionalnego wdrażany jest w formule bezpośredniej. LGD oraz inne podmioty z obszaru LSR będą mogły realizować projekty również w ramach programu regionalnego spoza ww. celów szczegółowych. Różnorodność źródeł finansowania umożliwi działanie w sposób wszechstronny, kompleksowy, a tym samym efektywniejszy niż w przypadku korzystania z jednego funduszu, dlatego też przewiduje się finansowanie LSR z innych źródeł, takich jak: </w:t>
      </w:r>
      <w:r>
        <w:rPr>
          <w:rFonts w:ascii="Times New Roman" w:hAnsi="Times New Roman" w:cs="Times New Roman"/>
          <w:i/>
          <w:iCs/>
        </w:rPr>
        <w:t xml:space="preserve">Fundusz Inicjatyw Obywatelskich NOWEFIO na lata 2021–2030, Fundusze Europejskie dla Rozwoju Społecznego </w:t>
      </w:r>
      <w:r>
        <w:rPr>
          <w:rFonts w:ascii="Times New Roman" w:hAnsi="Times New Roman" w:cs="Times New Roman"/>
          <w:i/>
          <w:iCs/>
        </w:rPr>
        <w:br w:type="textWrapping"/>
      </w:r>
      <w:r>
        <w:rPr>
          <w:rFonts w:ascii="Times New Roman" w:hAnsi="Times New Roman" w:cs="Times New Roman"/>
          <w:i/>
          <w:iCs/>
        </w:rPr>
        <w:t xml:space="preserve">2021–2027, Fundusze Europejskie na Infrastrukturę, Klimat, Środowisko 2021–2027 </w:t>
      </w:r>
      <w:r>
        <w:rPr>
          <w:rFonts w:ascii="Times New Roman" w:hAnsi="Times New Roman" w:cs="Times New Roman"/>
        </w:rPr>
        <w:t>i inne.</w:t>
      </w:r>
    </w:p>
    <w:p w14:paraId="1B40976C">
      <w:pPr>
        <w:pStyle w:val="28"/>
        <w:numPr>
          <w:ilvl w:val="0"/>
          <w:numId w:val="38"/>
        </w:numPr>
        <w:rPr>
          <w:rFonts w:ascii="Times New Roman" w:hAnsi="Times New Roman" w:cs="Times New Roman"/>
          <w:b/>
          <w:bCs/>
        </w:rPr>
      </w:pPr>
      <w:r>
        <w:rPr>
          <w:rFonts w:ascii="Times New Roman" w:hAnsi="Times New Roman" w:cs="Times New Roman"/>
          <w:b/>
          <w:bCs/>
        </w:rPr>
        <w:t>Uzasadnienie przyjętego sposobu wdrażania LSR</w:t>
      </w:r>
    </w:p>
    <w:p w14:paraId="36C7B581">
      <w:pPr>
        <w:spacing w:after="0" w:line="276" w:lineRule="auto"/>
        <w:ind w:firstLine="708"/>
        <w:jc w:val="both"/>
        <w:rPr>
          <w:rFonts w:ascii="Times New Roman" w:hAnsi="Times New Roman" w:cs="Times New Roman"/>
        </w:rPr>
      </w:pPr>
      <w:r>
        <w:rPr>
          <w:rFonts w:ascii="Times New Roman" w:hAnsi="Times New Roman" w:cs="Times New Roman"/>
        </w:rPr>
        <w:t>W celu opracowania LSR, która nie tylko będzie odpowiedzią na potrzeby lokalnej społeczności, ale też przyniesie wymierne efekty, podjęto trud wyspecjalizowania się w konkretnych obszarach. Dlatego podjęto decyzję o określeniu tylko jednego, konkretnego celu. Odpowiednie ukierunkowanie się na wybrane obszary wzmocni efekt synergii i będzie wzmacniać wartość dodaną zastosowanego podejścia LEADER w rozwoju obszaru. Ukierunkowanie to pozwoli też na skonkretyzowanie oczekiwanych rezultatów i osiągniecie założonych celów przy planowanym budżecie w określonym czasie. Rozwój obszaru objętego LSR ukierunkowany będzie przede wszystkim na rozwój kompetencji społecznych mieszkańców (kojarzenie partnerów i animowanie do realizacji projektów w partnerstwie) w oparciu o zasoby lokalne poprzez tworzenie oferty rozwoju, spędzania czasu wolnego i rekreacji (lepszy dostęp do ogólnodostępnej infrastruktury, wsparcie innowacyjnych inicjatyw i projekty w zakresie budowania tożsamości lokalnej). Podjęte w tym kierunku działania przełożą się na poprawę sytuacji osób w niekorzystnej sytuacji, poprawę warunków bytowych i minimalizację ryzyka ubóstwa. Uzupełnieniem działań z zakresu tożsamości lokalnej będą operacje realizowane z zakresu włączenia społecznego seniorów oraz osób w niekorzystnej sytuacji poprzez zwiększenie ich integracji i kompetencji.</w:t>
      </w:r>
    </w:p>
    <w:p w14:paraId="4A9EA49A">
      <w:pPr>
        <w:spacing w:after="0" w:line="276" w:lineRule="auto"/>
        <w:ind w:firstLine="708"/>
        <w:jc w:val="both"/>
        <w:rPr>
          <w:rFonts w:ascii="Times New Roman" w:hAnsi="Times New Roman" w:cs="Times New Roman"/>
        </w:rPr>
      </w:pPr>
      <w:r>
        <w:rPr>
          <w:rFonts w:ascii="Times New Roman" w:hAnsi="Times New Roman" w:cs="Times New Roman"/>
        </w:rPr>
        <w:t>LSR wdrażana będzie przez różne podmioty, w tym samą LGD w ramach projektów własnych. Zaplanowano również harmonizację następujących po sobie naborów wniosków. Pierwszymi operacjami realizowanymi w ramach przedsięwzięć będą te związane z opracowaniem koncepcji Smart Villages, rozpoczynając od projektu własnego związanego z kojarzeniem partnerów i animowaniem do realizacji wspólnych projektów, w tym przygotowaniem do wdrożenia idei Smart Villages (1.8), następnie projektu partnerskiego związanego z przygotowaniem partnerów do realizacji operacji wynikających z koncepcji (1.10). Zarówno na etapie przygotowania jak i wdrażania zakłada się maksymalne zastosowanie podejścia partnerskiego oraz przywiązanie dużej wagi do innowacyjności. Dzięki współpracy i gotowości do współdecydowania o rozwoju obszaru możliwe będzie rozpoczęcie projektu grantowego na opracowanie koncepcji Smart Village dla 10 miejscowości z obszaru LGD (1.11). Następnie zrealizowane będą operacje w formie konkursu dla JSFP i NGO wdrażające koncepcję inteligentnej wsi związane z powstaniem ogólnodostępnej infrastruktury publicznej i zwiększeniem oferty czasu wolnego dla mieszkańców (1.2, 1.7) oraz spójne do nich przedsięwzięcie związane z</w:t>
      </w:r>
      <w:r>
        <w:t xml:space="preserve"> </w:t>
      </w:r>
      <w:r>
        <w:rPr>
          <w:rFonts w:ascii="Times New Roman" w:hAnsi="Times New Roman" w:cs="Times New Roman"/>
        </w:rPr>
        <w:t>rozwojem kultury, dziedzictwa kulturowego i turystyki (1.16</w:t>
      </w:r>
      <w:r>
        <w:rPr>
          <w:rStyle w:val="17"/>
          <w:rFonts w:ascii="Times New Roman" w:hAnsi="Times New Roman" w:cs="Times New Roman"/>
        </w:rPr>
        <w:footnoteReference w:id="42"/>
      </w:r>
      <w:r>
        <w:rPr>
          <w:rFonts w:ascii="Times New Roman" w:hAnsi="Times New Roman" w:cs="Times New Roman"/>
        </w:rPr>
        <w:t>). Przewiduje się również wsparcie inicjatyw oddolnych wynikających z Koncepcji Smart Village (1.9), a także spójne do niego przedsięwzięcie w zakresie wspierania oddolnych inicjatyw na rzecz aktywnego włączenia społecznego (1.17</w:t>
      </w:r>
      <w:r>
        <w:rPr>
          <w:rStyle w:val="17"/>
          <w:rFonts w:ascii="Times New Roman" w:hAnsi="Times New Roman" w:cs="Times New Roman"/>
        </w:rPr>
        <w:footnoteReference w:id="43"/>
      </w:r>
      <w:r>
        <w:rPr>
          <w:rFonts w:ascii="Times New Roman" w:hAnsi="Times New Roman" w:cs="Times New Roman"/>
        </w:rPr>
        <w:t>).</w:t>
      </w:r>
    </w:p>
    <w:p w14:paraId="3BD11582">
      <w:pPr>
        <w:spacing w:line="276" w:lineRule="auto"/>
        <w:ind w:firstLine="708"/>
        <w:jc w:val="both"/>
        <w:rPr>
          <w:rFonts w:ascii="Times New Roman" w:hAnsi="Times New Roman" w:cs="Times New Roman"/>
        </w:rPr>
      </w:pPr>
      <w:r>
        <w:rPr>
          <w:rFonts w:ascii="Times New Roman" w:hAnsi="Times New Roman" w:cs="Times New Roman"/>
        </w:rPr>
        <w:t>Kolejno będzie realizowany projekt własny zwiększający integrację i wzmacniający aktywność osób w niekorzystnej sytuacji – osób z niepełnosprawnościami i ich opiekunów (1.4), następnie realizowana będzie operacja związana z infrastrukturą publiczną, w tym dostosowaną do osób z niepełnosprawnościami (1.1, 1.3). Następnie zrealizowane będą operacje związane ze zwiększeniem oferty rozwoju i zagospodarowania czasu wolnego mieszkańców skierowane do mieszkańców oraz przedsiębiorców (1.12, 1.13) oraz operacje związane z rozwojem gospodarstw agroturystycznych i powstaniem zagród edukacyjnych (1.14, 1.15).</w:t>
      </w:r>
    </w:p>
    <w:p w14:paraId="3CDE9690">
      <w:pPr>
        <w:pStyle w:val="28"/>
        <w:numPr>
          <w:ilvl w:val="0"/>
          <w:numId w:val="38"/>
        </w:numPr>
        <w:rPr>
          <w:rFonts w:ascii="Times New Roman" w:hAnsi="Times New Roman" w:cs="Times New Roman"/>
          <w:b/>
          <w:bCs/>
        </w:rPr>
      </w:pPr>
      <w:r>
        <w:rPr>
          <w:rFonts w:ascii="Times New Roman" w:hAnsi="Times New Roman" w:cs="Times New Roman"/>
          <w:b/>
          <w:bCs/>
        </w:rPr>
        <w:t>Uzasadnienie doboru dostępnych metod wdrażania operacji w ramach LSR</w:t>
      </w:r>
    </w:p>
    <w:p w14:paraId="39128169">
      <w:pPr>
        <w:tabs>
          <w:tab w:val="left" w:pos="709"/>
        </w:tabs>
        <w:spacing w:before="240" w:after="0" w:line="276" w:lineRule="auto"/>
        <w:ind w:firstLine="709"/>
        <w:contextualSpacing/>
        <w:jc w:val="both"/>
        <w:rPr>
          <w:rFonts w:ascii="Times New Roman" w:hAnsi="Times New Roman" w:cs="Times New Roman"/>
        </w:rPr>
      </w:pPr>
      <w:r>
        <w:rPr>
          <w:rFonts w:ascii="Times New Roman" w:hAnsi="Times New Roman" w:cs="Times New Roman"/>
        </w:rPr>
        <w:t>Przedsięwzięcia zaplanowane do finansowania w ramach LSR realizowane będą przez beneficjentów reprezentujących wszystkie sektory życia społeczno-gospodarczego obszaru LGD. Różnorodność zaplanowanych metod wdrażania operacji, tj. wsparcie finansowe poprzez projekty grantowe, operacje własne, organizacja szkoleń, warsztatów, prowadzenie doradztwa, promowanie dobrych praktyk, operacje realizowane przez Wnioskodawców innych niż LGD, mają na celu upodmiotowienie i usamodzielnienie społeczności lokalnych. Przy wyborze operacji punktowana będzie realizacja w partnerstwie z partnerami z obszaru LSR oraz spoza obszaru, co przyczyni się do zwiększenia współpracy mieszkańców i innych podmiotów oraz do osiągnięcia lepszych efektów realizowanych operacji, szczególnie w zakresie wykorzystania zasobów kulturowych i/lub naturalnych obszaru</w:t>
      </w:r>
      <w:r>
        <w:rPr>
          <w:rFonts w:ascii="Times New Roman" w:hAnsi="Times New Roman" w:cs="Times New Roman"/>
          <w:bCs/>
        </w:rPr>
        <w:t>. Zawiązywanie partnerstw będzie służyć poznawaniu dobrych praktyk, nawiązaniu trwalszej współpracy w celu wymiany doświadczeń i wymiany wiedzy</w:t>
      </w:r>
      <w:r>
        <w:rPr>
          <w:rFonts w:ascii="Times New Roman" w:hAnsi="Times New Roman" w:cs="Times New Roman"/>
        </w:rPr>
        <w:t xml:space="preserve">. Wybrane metody wdrażania LSR wpłyną na wzmocnienie potencjałów obszaru i są odpowiedzią na zgłaszane potrzeby społeczności. LGD planuje w pierwszej kolejności zrealizować przedsięwzięcia związane z przygotowaniem liderów i wdrażaniem koncepcji Smart Villages na obszarze LGD, kolejno – poprawiające dostęp do infrastruktury publicznej oraz realizujące tę koncepcję, następnie będą realizowane operacje wykorzystujące powstałą infrastrukturę do zwiększenia integracji mieszkańców oraz możliwości samorozwoju, w tym wśród osób młodych i seniorów. Podobnie będzie w przypadku osób w niekorzystnej sytuacji, najpierw będzie realizowana operacja własna w zakresie zwiększenia integracji i wzmocnienia aktywności osób z niepełnosprawnościami i ich opiekunów, następnie realizowana będzie operacja związana z infrastrukturą publiczną dostosowaną do osób z niepełnosprawnościami. </w:t>
      </w:r>
    </w:p>
    <w:p w14:paraId="1DAC575C">
      <w:pPr>
        <w:pStyle w:val="28"/>
        <w:spacing w:line="276" w:lineRule="auto"/>
        <w:ind w:left="0" w:firstLine="708"/>
        <w:jc w:val="both"/>
        <w:rPr>
          <w:rFonts w:ascii="Times New Roman" w:hAnsi="Times New Roman" w:cs="Times New Roman"/>
        </w:rPr>
      </w:pPr>
      <w:r>
        <w:rPr>
          <w:rFonts w:ascii="Times New Roman" w:hAnsi="Times New Roman" w:cs="Times New Roman"/>
        </w:rPr>
        <w:t xml:space="preserve">W tym celu w pierwszej kolejności będą realizowane operacje własne na rzecz kształtowania liderów, a następnie grantowe, które pozwolą liderom rozwijać obszar. Zaplanowane w LSR przedsięwzięcia są spójne, powiązane ze sobą oraz wzajemnie się uzupełniają. Zastosowane są w nich różne metody i różny może być stopień ich oddziaływania, jednak przyczyniać się będą do kompleksowego niwelowania ważnych deficytów zgłaszanych przez mieszkańców obszarów LSR. </w:t>
      </w:r>
    </w:p>
    <w:p w14:paraId="24302C9E">
      <w:pPr>
        <w:rPr>
          <w:rFonts w:ascii="Times New Roman" w:hAnsi="Times New Roman" w:cs="Times New Roman"/>
          <w:b/>
          <w:bCs/>
        </w:rPr>
      </w:pPr>
    </w:p>
    <w:p w14:paraId="77A0163F">
      <w:pPr>
        <w:rPr>
          <w:rFonts w:ascii="Times New Roman" w:hAnsi="Times New Roman" w:cs="Times New Roman"/>
          <w:b/>
          <w:bCs/>
        </w:rPr>
      </w:pPr>
      <w:r>
        <w:rPr>
          <w:rFonts w:ascii="Times New Roman" w:hAnsi="Times New Roman" w:cs="Times New Roman"/>
          <w:b/>
          <w:bCs/>
        </w:rPr>
        <w:br w:type="page"/>
      </w:r>
    </w:p>
    <w:p w14:paraId="53826712">
      <w:pPr>
        <w:pStyle w:val="28"/>
        <w:numPr>
          <w:ilvl w:val="0"/>
          <w:numId w:val="2"/>
        </w:numPr>
        <w:outlineLvl w:val="0"/>
        <w:rPr>
          <w:rFonts w:ascii="Times New Roman" w:hAnsi="Times New Roman" w:cs="Times New Roman"/>
          <w:b/>
          <w:bCs/>
        </w:rPr>
      </w:pPr>
      <w:bookmarkStart w:id="147" w:name="_Toc135647309"/>
      <w:bookmarkStart w:id="148" w:name="_Toc135994838"/>
      <w:r>
        <w:rPr>
          <w:rFonts w:ascii="Times New Roman" w:hAnsi="Times New Roman" w:cs="Times New Roman"/>
          <w:b/>
          <w:bCs/>
          <w:color w:val="000000" w:themeColor="text1"/>
          <w14:textFill>
            <w14:solidFill>
              <w14:schemeClr w14:val="tx1"/>
            </w14:solidFill>
          </w14:textFill>
        </w:rPr>
        <w:t>CELE I WSKAŹNIKI</w:t>
      </w:r>
      <w:bookmarkEnd w:id="147"/>
      <w:bookmarkEnd w:id="148"/>
      <w:r>
        <w:rPr>
          <w:rFonts w:ascii="Times New Roman" w:hAnsi="Times New Roman" w:cs="Times New Roman"/>
          <w:b/>
          <w:bCs/>
        </w:rPr>
        <w:t xml:space="preserve"> </w:t>
      </w:r>
    </w:p>
    <w:p w14:paraId="4CB904DD">
      <w:pPr>
        <w:spacing w:after="0" w:line="276" w:lineRule="auto"/>
        <w:ind w:firstLine="708"/>
        <w:jc w:val="both"/>
        <w:rPr>
          <w:rFonts w:ascii="Times New Roman" w:hAnsi="Times New Roman" w:cs="Times New Roman"/>
        </w:rPr>
      </w:pPr>
      <w:r>
        <w:rPr>
          <w:rFonts w:ascii="Times New Roman" w:hAnsi="Times New Roman" w:cs="Times New Roman"/>
        </w:rPr>
        <w:t>Wynikiem przeprowadzonej diagnozy opartej o analizę danych ilościowych, badania jakościowe oraz wniosków płynących z analizy SWOT, sporządzonych na pierwszym etapie prac nad LSR jest wyznaczenie celów realizacji LSR. Osiągniecie tych celów przyczyni się do ograniczenia słabych stron obszaru, poprzez wykorzystanie zdiagnozowanych potencjałów, czego efektem będzie zniwelowanie wskazanych problemów i zaspokojenie zgłoszonych przez społeczność potrzeb. W niniejszej LSR określono jeden cel oparty o określone obszary tematyczne wynikające ze zdiagnozowanych potrzeb</w:t>
      </w:r>
      <w:r>
        <w:rPr>
          <w:rFonts w:ascii="Times New Roman" w:hAnsi="Times New Roman" w:cs="Times New Roman"/>
          <w:b/>
          <w:bCs/>
        </w:rPr>
        <w:t>.</w:t>
      </w:r>
      <w:r>
        <w:rPr>
          <w:rFonts w:ascii="Times New Roman" w:hAnsi="Times New Roman" w:cs="Times New Roman"/>
        </w:rPr>
        <w:t xml:space="preserve"> Nie zawsze jedna potrzeba generuje jeden cel, czasami dopiero kilka potrzeb zgrupowanych w jeden cel daje możliwość kompleksowej realizacji tych potrzeb. </w:t>
      </w:r>
    </w:p>
    <w:p w14:paraId="70FC7EA1">
      <w:pPr>
        <w:spacing w:line="276" w:lineRule="auto"/>
        <w:ind w:firstLine="708"/>
        <w:jc w:val="both"/>
        <w:rPr>
          <w:rFonts w:ascii="Times New Roman" w:hAnsi="Times New Roman" w:cs="Times New Roman"/>
        </w:rPr>
      </w:pPr>
      <w:r>
        <w:rPr>
          <w:rFonts w:ascii="Times New Roman" w:hAnsi="Times New Roman" w:cs="Times New Roman"/>
        </w:rPr>
        <w:t>Na rysunku 1 przedstawiono sposób określania celu LSR.</w:t>
      </w:r>
    </w:p>
    <w:p w14:paraId="2192D95B">
      <w:pPr>
        <w:pStyle w:val="9"/>
        <w:spacing w:after="0"/>
        <w:jc w:val="center"/>
      </w:pPr>
      <w:bookmarkStart w:id="149" w:name="_Toc136241281"/>
      <w:r>
        <w:rPr>
          <w:rFonts w:ascii="Times New Roman" w:hAnsi="Times New Roman" w:cs="Times New Roman"/>
          <w:b/>
          <w:bCs/>
          <w:i w:val="0"/>
          <w:iCs w:val="0"/>
          <w:color w:val="000000" w:themeColor="text1"/>
          <w:sz w:val="20"/>
          <w:szCs w:val="20"/>
          <w14:textFill>
            <w14:solidFill>
              <w14:schemeClr w14:val="tx1"/>
            </w14:solidFill>
          </w14:textFill>
        </w:rPr>
        <w:t xml:space="preserve">Rysunek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Rysunek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1</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Sposób określania celu LSR</w:t>
      </w:r>
      <w:bookmarkEnd w:id="149"/>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7"/>
      </w:tblGrid>
      <w:tr w14:paraId="555F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3D12">
            <w:pPr>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bookmarkStart w:id="150" w:name="_Hlk128645137"/>
            <w:r>
              <w:rPr>
                <w:rFonts w:ascii="Times New Roman" w:hAnsi="Times New Roman" w:cs="Times New Roman"/>
                <w:b/>
                <w:bCs/>
                <w:color w:val="000000" w:themeColor="text1"/>
                <w:sz w:val="20"/>
                <w:szCs w:val="20"/>
                <w14:textFill>
                  <w14:solidFill>
                    <w14:schemeClr w14:val="tx1"/>
                  </w14:solidFill>
                </w14:textFill>
              </w:rPr>
              <w:t xml:space="preserve">ZDIAGNOZOWANY PROBLEM  </w:t>
            </w:r>
          </w:p>
          <w:p w14:paraId="0C989A2F">
            <w:pPr>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POSIADANE SPECYFICZNE LOKALNE ZASOBY DO WYKORZYSTANIA</w:t>
            </w:r>
          </w:p>
        </w:tc>
      </w:tr>
      <w:tr w14:paraId="4099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17" w:type="dxa"/>
            <w:tcBorders>
              <w:top w:val="single" w:color="000000" w:sz="4" w:space="0"/>
              <w:left w:val="nil"/>
              <w:bottom w:val="single" w:color="000000" w:sz="4" w:space="0"/>
              <w:right w:val="nil"/>
            </w:tcBorders>
            <w:shd w:val="clear" w:color="auto" w:fill="auto"/>
            <w:vAlign w:val="center"/>
          </w:tcPr>
          <w:p w14:paraId="522A6CB9">
            <w:pPr>
              <w:spacing w:after="0" w:line="240" w:lineRule="auto"/>
              <w:rPr>
                <w:rFonts w:ascii="Times New Roman" w:hAnsi="Times New Roman" w:cs="Times New Roman"/>
                <w:color w:val="000000" w:themeColor="text1"/>
                <w:sz w:val="20"/>
                <w:szCs w:val="20"/>
                <w14:textFill>
                  <w14:solidFill>
                    <w14:schemeClr w14:val="tx1"/>
                  </w14:solidFill>
                </w14:textFill>
              </w:rPr>
            </w:pPr>
            <w:r>
              <w:rPr>
                <w:color w:val="000000" w:themeColor="text1"/>
                <w:lang w:eastAsia="pl-PL"/>
                <w14:textFill>
                  <w14:solidFill>
                    <w14:schemeClr w14:val="tx1"/>
                  </w14:solidFill>
                </w14:textFill>
              </w:rPr>
              <mc:AlternateContent>
                <mc:Choice Requires="wps">
                  <w:drawing>
                    <wp:anchor distT="0" distB="0" distL="113665" distR="113665" simplePos="0" relativeHeight="251659264" behindDoc="0" locked="0" layoutInCell="1" allowOverlap="1">
                      <wp:simplePos x="0" y="0"/>
                      <wp:positionH relativeFrom="column">
                        <wp:posOffset>2766060</wp:posOffset>
                      </wp:positionH>
                      <wp:positionV relativeFrom="paragraph">
                        <wp:posOffset>3175</wp:posOffset>
                      </wp:positionV>
                      <wp:extent cx="0" cy="236220"/>
                      <wp:effectExtent l="76200" t="0" r="57150" b="49530"/>
                      <wp:wrapNone/>
                      <wp:docPr id="1643526309" name="Łącznik prosty ze strzałką 3"/>
                      <wp:cNvGraphicFramePr/>
                      <a:graphic xmlns:a="http://schemas.openxmlformats.org/drawingml/2006/main">
                        <a:graphicData uri="http://schemas.microsoft.com/office/word/2010/wordprocessingShape">
                          <wps:wsp>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3" o:spid="_x0000_s1026" o:spt="32" type="#_x0000_t32" style="position:absolute;left:0pt;margin-left:217.8pt;margin-top:0.25pt;height:18.6pt;width:0pt;z-index:251659264;mso-width-relative:page;mso-height-relative:page;" filled="f" stroked="t" coordsize="21600,21600" o:gfxdata="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3gp3TAAAABwEAAA8AAAAAAAAAAQAgAAAAIgAAAGRycy9k&#10;b3ducmV2LnhtbFBLAQIUABQAAAAIAIdO4kC0t0OdBwIAAPIDAAAOAAAAAAAAAAEAIAAAACIBAABk&#10;cnMvZTJvRG9jLnhtbFBLBQYAAAAABgAGAFkBAACbBQAAAAA=&#10;">
                      <v:fill on="f" focussize="0,0"/>
                      <v:stroke weight="0.5pt" color="#000000 [3213]" miterlimit="8" joinstyle="miter" endarrow="block"/>
                      <v:imagedata o:title=""/>
                      <o:lock v:ext="edit" aspectratio="f"/>
                    </v:shape>
                  </w:pict>
                </mc:Fallback>
              </mc:AlternateContent>
            </w:r>
          </w:p>
        </w:tc>
      </w:tr>
      <w:tr w14:paraId="6BDC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06F1">
            <w:pPr>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GŁÓWNE POTRZEBY</w:t>
            </w:r>
          </w:p>
        </w:tc>
      </w:tr>
      <w:tr w14:paraId="4CB5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17" w:type="dxa"/>
            <w:tcBorders>
              <w:top w:val="single" w:color="000000" w:sz="4" w:space="0"/>
              <w:left w:val="nil"/>
              <w:bottom w:val="single" w:color="000000" w:sz="4" w:space="0"/>
              <w:right w:val="nil"/>
            </w:tcBorders>
            <w:shd w:val="clear" w:color="auto" w:fill="auto"/>
            <w:vAlign w:val="center"/>
          </w:tcPr>
          <w:p w14:paraId="7B1416A6">
            <w:pPr>
              <w:spacing w:after="0" w:line="240" w:lineRule="auto"/>
              <w:rPr>
                <w:rFonts w:ascii="Times New Roman" w:hAnsi="Times New Roman" w:cs="Times New Roman"/>
                <w:color w:val="000000" w:themeColor="text1"/>
                <w:sz w:val="20"/>
                <w:szCs w:val="20"/>
                <w14:textFill>
                  <w14:solidFill>
                    <w14:schemeClr w14:val="tx1"/>
                  </w14:solidFill>
                </w14:textFill>
              </w:rPr>
            </w:pPr>
            <w:r>
              <w:rPr>
                <w:color w:val="000000" w:themeColor="text1"/>
                <w:lang w:eastAsia="pl-PL"/>
                <w14:textFill>
                  <w14:solidFill>
                    <w14:schemeClr w14:val="tx1"/>
                  </w14:solidFill>
                </w14:textFill>
              </w:rPr>
              <mc:AlternateContent>
                <mc:Choice Requires="wps">
                  <w:drawing>
                    <wp:anchor distT="0" distB="0" distL="113665" distR="113665" simplePos="0" relativeHeight="251660288" behindDoc="0" locked="0" layoutInCell="1" allowOverlap="1">
                      <wp:simplePos x="0" y="0"/>
                      <wp:positionH relativeFrom="column">
                        <wp:posOffset>2767965</wp:posOffset>
                      </wp:positionH>
                      <wp:positionV relativeFrom="paragraph">
                        <wp:posOffset>12065</wp:posOffset>
                      </wp:positionV>
                      <wp:extent cx="0" cy="236220"/>
                      <wp:effectExtent l="76200" t="0" r="57150" b="49530"/>
                      <wp:wrapNone/>
                      <wp:docPr id="924166945" name="Łącznik prosty ze strzałką 2"/>
                      <wp:cNvGraphicFramePr/>
                      <a:graphic xmlns:a="http://schemas.openxmlformats.org/drawingml/2006/main">
                        <a:graphicData uri="http://schemas.microsoft.com/office/word/2010/wordprocessingShape">
                          <wps:wsp>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2" o:spid="_x0000_s1026" o:spt="32" type="#_x0000_t32" style="position:absolute;left:0pt;margin-left:217.95pt;margin-top:0.95pt;height:18.6pt;width:0pt;z-index:251660288;mso-width-relative:page;mso-height-relative:page;" filled="f" stroked="t" coordsize="21600,21600" o:gfxdata="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8qYX1AAAAAgBAAAPAAAAAAAAAAEAIAAAACIAAABkcnMv&#10;ZG93bnJldi54bWxQSwECFAAUAAAACACHTuJATRAHsQcCAADxAwAADgAAAAAAAAABACAAAAAjAQAA&#10;ZHJzL2Uyb0RvYy54bWxQSwUGAAAAAAYABgBZAQAAnAUAAAAA&#10;">
                      <v:fill on="f" focussize="0,0"/>
                      <v:stroke weight="0.5pt" color="#000000 [3213]" miterlimit="8" joinstyle="miter" endarrow="block"/>
                      <v:imagedata o:title=""/>
                      <o:lock v:ext="edit" aspectratio="f"/>
                    </v:shape>
                  </w:pict>
                </mc:Fallback>
              </mc:AlternateContent>
            </w:r>
          </w:p>
        </w:tc>
      </w:tr>
      <w:tr w14:paraId="7130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95A1">
            <w:pPr>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CEL</w:t>
            </w:r>
          </w:p>
        </w:tc>
      </w:tr>
      <w:bookmarkEnd w:id="150"/>
    </w:tbl>
    <w:p w14:paraId="631897D6">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w:t>
      </w:r>
    </w:p>
    <w:p w14:paraId="4185DDF6">
      <w:pPr>
        <w:spacing w:before="24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Zgodnie z powyższym schematem przyjęto następujący ciąg logiczny określenia celów LSR:</w:t>
      </w:r>
    </w:p>
    <w:p w14:paraId="47A0EB73">
      <w:pPr>
        <w:pStyle w:val="28"/>
        <w:numPr>
          <w:ilvl w:val="0"/>
          <w:numId w:val="40"/>
        </w:numPr>
        <w:spacing w:before="240" w:line="276" w:lineRule="auto"/>
        <w:jc w:val="both"/>
        <w:rPr>
          <w:rFonts w:ascii="Times New Roman" w:hAnsi="Times New Roman" w:cs="Times New Roman"/>
          <w:b/>
          <w:bCs/>
        </w:rPr>
      </w:pPr>
      <w:r>
        <w:rPr>
          <w:rFonts w:ascii="Times New Roman" w:hAnsi="Times New Roman" w:cs="Times New Roman"/>
          <w:b/>
          <w:bCs/>
        </w:rPr>
        <w:t>Najistotniejsze zdiagnozowane problemy i potencjały:</w:t>
      </w:r>
    </w:p>
    <w:p w14:paraId="037586C1">
      <w:pPr>
        <w:pStyle w:val="28"/>
        <w:spacing w:before="240" w:line="276" w:lineRule="auto"/>
        <w:ind w:left="0" w:firstLine="709"/>
        <w:jc w:val="both"/>
        <w:rPr>
          <w:rFonts w:ascii="Times New Roman" w:hAnsi="Times New Roman" w:cs="Times New Roman"/>
        </w:rPr>
      </w:pPr>
      <w:r>
        <w:rPr>
          <w:rFonts w:ascii="Times New Roman" w:hAnsi="Times New Roman" w:cs="Times New Roman"/>
        </w:rPr>
        <w:t xml:space="preserve">Obszar LGD jest obszarem charakteryzującym się wzrostem liczby mieszkańców. Jednocześnie posiada kapitał społeczny mieszkańców oraz bogatą historię i dziedzictwo kulturowe. Potencjał organizacji pozarządowych nie jest odpowiednio wykorzystany, a dotychczasowa aktywizacja w zakresie przedsiębiorczości i aktywności mieszkańców wymaga kontynuacji. Zauważany przez mieszkańców jest brak atrakcyjnej oferty spędzania czasu wolnego i możliwości rekreacji. Występują braki w przedsiębiorczości i innowacyjności. Problem stanowi ilość osób zagrożonych wykluczeniem społecznym, a w szczególności osób z niepełnosprawnościami. </w:t>
      </w:r>
    </w:p>
    <w:p w14:paraId="4EBF43C6">
      <w:pPr>
        <w:pStyle w:val="28"/>
        <w:spacing w:before="240" w:line="276" w:lineRule="auto"/>
        <w:ind w:left="0"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Na tej podstawie sformułowano głó</w:t>
      </w:r>
      <w:r>
        <w:rPr>
          <w:rFonts w:ascii="Times New Roman" w:hAnsi="Times New Roman" w:cs="Times New Roman"/>
          <w:color w:val="000000" w:themeColor="text1"/>
          <w14:textFill>
            <w14:solidFill>
              <w14:schemeClr w14:val="tx1"/>
            </w14:solidFill>
          </w14:textFill>
        </w:rPr>
        <w:t>wny „</w:t>
      </w:r>
      <w:r>
        <w:rPr>
          <w:rFonts w:ascii="Times New Roman" w:hAnsi="Times New Roman" w:cs="Times New Roman"/>
          <w:b/>
          <w:bCs/>
          <w:color w:val="000000" w:themeColor="text1"/>
          <w14:textFill>
            <w14:solidFill>
              <w14:schemeClr w14:val="tx1"/>
            </w14:solidFill>
          </w14:textFill>
        </w:rPr>
        <w:t>ZDIAGNOZOWANY PROBLEM</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b/>
          <w:bCs/>
          <w:color w:val="000000" w:themeColor="text1"/>
          <w:sz w:val="20"/>
          <w:szCs w:val="20"/>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 xml:space="preserve">Nienadążająca za wzrostem liczby mieszkańców infrastruktura publiczna, słaba oferta zagospodarowania czasu wolnego, niska aktywność społeczna i w organizacjach pozarządowych, </w:t>
      </w:r>
      <w:r>
        <w:rPr>
          <w:rFonts w:ascii="Times New Roman" w:hAnsi="Times New Roman" w:cs="Times New Roman"/>
          <w:color w:val="000000" w:themeColor="text1"/>
          <w14:textFill>
            <w14:solidFill>
              <w14:schemeClr w14:val="tx1"/>
            </w14:solidFill>
          </w14:textFill>
        </w:rPr>
        <w:t>oraz główne</w:t>
      </w: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b/>
          <w:bCs/>
          <w:color w:val="000000" w:themeColor="text1"/>
          <w14:textFill>
            <w14:solidFill>
              <w14:schemeClr w14:val="tx1"/>
            </w14:solidFill>
          </w14:textFill>
        </w:rPr>
        <w:t>POSIADANE SPECYFICZNE LOKALNE ZASOBY DO WYKORZYSTANIA</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b/>
          <w:bCs/>
          <w:color w:val="000000" w:themeColor="text1"/>
          <w:sz w:val="20"/>
          <w:szCs w:val="20"/>
          <w14:textFill>
            <w14:solidFill>
              <w14:schemeClr w14:val="tx1"/>
            </w14:solidFill>
          </w14:textFill>
        </w:rPr>
        <w:t xml:space="preserve"> – </w:t>
      </w:r>
      <w:r>
        <w:rPr>
          <w:rFonts w:ascii="Times New Roman" w:hAnsi="Times New Roman" w:cs="Times New Roman"/>
          <w:i/>
          <w:iCs/>
          <w:color w:val="000000" w:themeColor="text1"/>
          <w14:textFill>
            <w14:solidFill>
              <w14:schemeClr w14:val="tx1"/>
            </w14:solidFill>
          </w14:textFill>
        </w:rPr>
        <w:t>Lesistość i pagórkowatość terenu, walory krajobrazowe, struktura wieku i napływ ludności, bliskość Krakowa.</w:t>
      </w:r>
    </w:p>
    <w:p w14:paraId="1A97DC79">
      <w:pPr>
        <w:pStyle w:val="28"/>
        <w:numPr>
          <w:ilvl w:val="0"/>
          <w:numId w:val="40"/>
        </w:numPr>
        <w:spacing w:before="240" w:line="276"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GŁÓWNE POTRZEBY</w:t>
      </w:r>
      <w:r>
        <w:rPr>
          <w:rFonts w:ascii="Times New Roman" w:hAnsi="Times New Roman" w:cs="Times New Roman"/>
          <w:b/>
          <w:bCs/>
          <w:color w:val="000000" w:themeColor="text1"/>
          <w14:textFill>
            <w14:solidFill>
              <w14:schemeClr w14:val="tx1"/>
            </w14:solidFill>
          </w14:textFill>
        </w:rPr>
        <w:t>:</w:t>
      </w:r>
    </w:p>
    <w:p w14:paraId="4EF1C3C1">
      <w:pPr>
        <w:pStyle w:val="28"/>
        <w:numPr>
          <w:ilvl w:val="0"/>
          <w:numId w:val="41"/>
        </w:numPr>
        <w:spacing w:before="240" w:line="276" w:lineRule="auto"/>
        <w:ind w:left="1276"/>
        <w:jc w:val="both"/>
        <w:rPr>
          <w:rFonts w:ascii="Times New Roman" w:hAnsi="Times New Roman" w:cs="Times New Roman"/>
        </w:rPr>
      </w:pPr>
      <w:r>
        <w:rPr>
          <w:rFonts w:ascii="Times New Roman" w:hAnsi="Times New Roman" w:cs="Times New Roman"/>
        </w:rPr>
        <w:t>Zwiększenie możliwości rekreacji i dostępu do atrakcyjnej oferty spędzania czasu wolnego.</w:t>
      </w:r>
    </w:p>
    <w:p w14:paraId="2BEFACFD">
      <w:pPr>
        <w:pStyle w:val="28"/>
        <w:numPr>
          <w:ilvl w:val="0"/>
          <w:numId w:val="41"/>
        </w:numPr>
        <w:spacing w:before="240" w:line="276" w:lineRule="auto"/>
        <w:ind w:left="1276"/>
        <w:jc w:val="both"/>
        <w:rPr>
          <w:rFonts w:ascii="Times New Roman" w:hAnsi="Times New Roman" w:cs="Times New Roman"/>
        </w:rPr>
      </w:pPr>
      <w:r>
        <w:rPr>
          <w:rFonts w:ascii="Times New Roman" w:hAnsi="Times New Roman" w:cs="Times New Roman"/>
        </w:rPr>
        <w:t>Wzmocnienie potencjału organizacji pozarządowych.</w:t>
      </w:r>
    </w:p>
    <w:p w14:paraId="24CC32A4">
      <w:pPr>
        <w:pStyle w:val="28"/>
        <w:numPr>
          <w:ilvl w:val="0"/>
          <w:numId w:val="41"/>
        </w:numPr>
        <w:spacing w:before="240" w:line="276" w:lineRule="auto"/>
        <w:ind w:left="1276"/>
        <w:jc w:val="both"/>
        <w:rPr>
          <w:rFonts w:ascii="Times New Roman" w:hAnsi="Times New Roman" w:cs="Times New Roman"/>
        </w:rPr>
      </w:pPr>
      <w:r>
        <w:rPr>
          <w:rFonts w:ascii="Times New Roman" w:hAnsi="Times New Roman" w:cs="Times New Roman"/>
        </w:rPr>
        <w:t>Zwiększenie dostępu do kultury i efektywne wykorzystanie dziedzictwa kulturowego.</w:t>
      </w:r>
    </w:p>
    <w:p w14:paraId="48BF710E">
      <w:pPr>
        <w:pStyle w:val="28"/>
        <w:numPr>
          <w:ilvl w:val="0"/>
          <w:numId w:val="41"/>
        </w:numPr>
        <w:spacing w:before="240" w:line="276" w:lineRule="auto"/>
        <w:ind w:left="1276"/>
        <w:jc w:val="both"/>
        <w:rPr>
          <w:rFonts w:ascii="Times New Roman" w:hAnsi="Times New Roman" w:cs="Times New Roman"/>
        </w:rPr>
      </w:pPr>
      <w:r>
        <w:rPr>
          <w:rFonts w:ascii="Times New Roman" w:hAnsi="Times New Roman" w:cs="Times New Roman"/>
        </w:rPr>
        <w:t>Włączenie osób starszych i osób w niekorzystnej sytuacji.</w:t>
      </w:r>
    </w:p>
    <w:p w14:paraId="7360F7C1">
      <w:pPr>
        <w:pStyle w:val="28"/>
        <w:numPr>
          <w:ilvl w:val="0"/>
          <w:numId w:val="41"/>
        </w:numPr>
        <w:spacing w:before="240" w:line="276" w:lineRule="auto"/>
        <w:ind w:left="1276"/>
        <w:jc w:val="both"/>
        <w:rPr>
          <w:rFonts w:ascii="Times New Roman" w:hAnsi="Times New Roman" w:cs="Times New Roman"/>
        </w:rPr>
      </w:pPr>
      <w:r>
        <w:rPr>
          <w:rFonts w:ascii="Times New Roman" w:hAnsi="Times New Roman" w:cs="Times New Roman"/>
        </w:rPr>
        <w:t>Aktywizacja osób młodych.</w:t>
      </w:r>
    </w:p>
    <w:p w14:paraId="6A0DA6DD">
      <w:pPr>
        <w:pStyle w:val="28"/>
        <w:spacing w:before="240" w:line="276" w:lineRule="auto"/>
        <w:jc w:val="both"/>
        <w:rPr>
          <w:rFonts w:ascii="Times New Roman" w:hAnsi="Times New Roman" w:cs="Times New Roman"/>
          <w:b/>
          <w:bCs/>
        </w:rPr>
      </w:pPr>
    </w:p>
    <w:p w14:paraId="28C760F3">
      <w:pPr>
        <w:spacing w:before="240" w:line="276" w:lineRule="auto"/>
        <w:ind w:firstLine="708"/>
        <w:jc w:val="both"/>
        <w:rPr>
          <w:rFonts w:ascii="Times New Roman" w:hAnsi="Times New Roman" w:cs="Times New Roman"/>
        </w:rPr>
      </w:pPr>
      <w:r>
        <w:rPr>
          <w:lang w:eastAsia="pl-PL"/>
        </w:rPr>
        <mc:AlternateContent>
          <mc:Choice Requires="wps">
            <w:drawing>
              <wp:anchor distT="45720" distB="45720" distL="114300" distR="114300" simplePos="0" relativeHeight="251661312" behindDoc="0" locked="0" layoutInCell="1" allowOverlap="1">
                <wp:simplePos x="0" y="0"/>
                <wp:positionH relativeFrom="margin">
                  <wp:posOffset>1826895</wp:posOffset>
                </wp:positionH>
                <wp:positionV relativeFrom="paragraph">
                  <wp:posOffset>52705</wp:posOffset>
                </wp:positionV>
                <wp:extent cx="2576195" cy="731520"/>
                <wp:effectExtent l="0" t="0" r="14605" b="11430"/>
                <wp:wrapSquare wrapText="bothSides"/>
                <wp:docPr id="5" name="Pole tekstowe 1"/>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wps:spPr>
                      <wps:style>
                        <a:lnRef idx="2">
                          <a:schemeClr val="dk1"/>
                        </a:lnRef>
                        <a:fillRef idx="1">
                          <a:schemeClr val="lt1"/>
                        </a:fillRef>
                        <a:effectRef idx="0">
                          <a:schemeClr val="dk1"/>
                        </a:effectRef>
                        <a:fontRef idx="minor">
                          <a:schemeClr val="dk1"/>
                        </a:fontRef>
                      </wps:style>
                      <wps:txbx>
                        <w:txbxContent>
                          <w:p w14:paraId="591A8E23">
                            <w:pPr>
                              <w:spacing w:after="0" w:line="276" w:lineRule="auto"/>
                              <w:jc w:val="center"/>
                              <w:rPr>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CEL LSR  </w:t>
                            </w:r>
                            <w:r>
                              <w:rPr>
                                <w:rFonts w:ascii="Times New Roman" w:hAnsi="Times New Roman" w:cs="Times New Roman"/>
                                <w:b/>
                                <w:bCs/>
                                <w:color w:val="000000" w:themeColor="text1"/>
                                <w14:textFill>
                                  <w14:solidFill>
                                    <w14:schemeClr w14:val="tx1"/>
                                  </w14:solidFill>
                                </w14:textFill>
                              </w:rPr>
                              <w:br w:type="textWrapping"/>
                            </w:r>
                            <w:r>
                              <w:rPr>
                                <w:rFonts w:ascii="Times New Roman" w:hAnsi="Times New Roman" w:cs="Times New Roman"/>
                                <w:b/>
                                <w:bCs/>
                                <w:i/>
                                <w:iCs/>
                                <w:color w:val="000000" w:themeColor="text1"/>
                                <w14:textFill>
                                  <w14:solidFill>
                                    <w14:schemeClr w14:val="tx1"/>
                                  </w14:solidFill>
                                </w14:textFill>
                              </w:rPr>
                              <w:t>Utworzenie Myślenickiej Strefy Przemysłu Czasu Wolnego</w:t>
                            </w:r>
                          </w:p>
                        </w:txbxContent>
                      </wps:txbx>
                      <wps:bodyPr rot="0" vert="horz" wrap="square" lIns="91440" tIns="45720" rIns="91440" bIns="45720" anchor="t" anchorCtr="0">
                        <a:noAutofit/>
                      </wps:bodyPr>
                    </wps:wsp>
                  </a:graphicData>
                </a:graphic>
              </wp:anchor>
            </w:drawing>
          </mc:Choice>
          <mc:Fallback>
            <w:pict>
              <v:shape id="Pole tekstowe 1" o:spid="_x0000_s1026" o:spt="202" type="#_x0000_t202" style="position:absolute;left:0pt;margin-left:143.85pt;margin-top:4.15pt;height:57.6pt;width:202.85pt;mso-position-horizontal-relative:margin;mso-wrap-distance-bottom:3.6pt;mso-wrap-distance-left:9pt;mso-wrap-distance-right:9pt;mso-wrap-distance-top:3.6pt;z-index:251661312;mso-width-relative:page;mso-height-relative:page;" fillcolor="#FFFFFF [3201]" filled="t" stroked="t" coordsize="21600,21600" o:gfxdata="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xeBcA2wAAAAkB&#10;AAAPAAAAAAAAAAEAIAAAACIAAABkcnMvZG93bnJldi54bWxQSwECFAAUAAAACACHTuJAyyPxYlEC&#10;AAC6BAAADgAAAAAAAAABACAAAAAqAQAAZHJzL2Uyb0RvYy54bWxQSwUGAAAAAAYABgBZAQAA7QUA&#10;AAAA&#10;">
                <v:fill on="t" focussize="0,0"/>
                <v:stroke weight="1pt" color="#000000 [3200]" miterlimit="8" joinstyle="miter"/>
                <v:imagedata o:title=""/>
                <o:lock v:ext="edit" aspectratio="f"/>
                <v:textbox>
                  <w:txbxContent>
                    <w:p w14:paraId="591A8E23">
                      <w:pPr>
                        <w:spacing w:after="0" w:line="276" w:lineRule="auto"/>
                        <w:jc w:val="center"/>
                        <w:rPr>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CEL LSR  </w:t>
                      </w:r>
                      <w:r>
                        <w:rPr>
                          <w:rFonts w:ascii="Times New Roman" w:hAnsi="Times New Roman" w:cs="Times New Roman"/>
                          <w:b/>
                          <w:bCs/>
                          <w:color w:val="000000" w:themeColor="text1"/>
                          <w14:textFill>
                            <w14:solidFill>
                              <w14:schemeClr w14:val="tx1"/>
                            </w14:solidFill>
                          </w14:textFill>
                        </w:rPr>
                        <w:br w:type="textWrapping"/>
                      </w:r>
                      <w:r>
                        <w:rPr>
                          <w:rFonts w:ascii="Times New Roman" w:hAnsi="Times New Roman" w:cs="Times New Roman"/>
                          <w:b/>
                          <w:bCs/>
                          <w:i/>
                          <w:iCs/>
                          <w:color w:val="000000" w:themeColor="text1"/>
                          <w14:textFill>
                            <w14:solidFill>
                              <w14:schemeClr w14:val="tx1"/>
                            </w14:solidFill>
                          </w14:textFill>
                        </w:rPr>
                        <w:t>Utworzenie Myślenickiej Strefy Przemysłu Czasu Wolnego</w:t>
                      </w:r>
                    </w:p>
                  </w:txbxContent>
                </v:textbox>
                <w10:wrap type="square"/>
              </v:shape>
            </w:pict>
          </mc:Fallback>
        </mc:AlternateContent>
      </w:r>
    </w:p>
    <w:p w14:paraId="4278029F">
      <w:pPr>
        <w:spacing w:before="240" w:line="276" w:lineRule="auto"/>
        <w:ind w:firstLine="708"/>
        <w:jc w:val="both"/>
        <w:rPr>
          <w:rFonts w:ascii="Times New Roman" w:hAnsi="Times New Roman" w:cs="Times New Roman"/>
        </w:rPr>
      </w:pPr>
    </w:p>
    <w:p w14:paraId="21C2AC11">
      <w:pPr>
        <w:spacing w:before="240" w:line="276" w:lineRule="auto"/>
        <w:ind w:firstLine="708"/>
        <w:jc w:val="both"/>
        <w:rPr>
          <w:rFonts w:ascii="Times New Roman" w:hAnsi="Times New Roman" w:cs="Times New Roman"/>
        </w:rPr>
      </w:pPr>
    </w:p>
    <w:p w14:paraId="03DF1D01">
      <w:pPr>
        <w:rPr>
          <w:rFonts w:ascii="Times New Roman" w:hAnsi="Times New Roman" w:cs="Times New Roman"/>
        </w:rPr>
      </w:pPr>
      <w:r>
        <w:rPr>
          <w:rFonts w:ascii="Times New Roman" w:hAnsi="Times New Roman" w:cs="Times New Roman"/>
        </w:rPr>
        <w:br w:type="page"/>
      </w:r>
    </w:p>
    <w:p w14:paraId="1FB95EBF">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celu LSR przypisano konkretne przedsięwzięcia, dla których wskazano sposób ich realizacji wraz z uzasadnieniem, źródło finansowania, a także określono adekwatne rezultaty i wskaźniki. W tabeli 22 przedstawiono powiązanie celu i przedsięwzięć ze zidentyfikowanymi podczas analizy obszaru problemami. Tabela zawiera również informacje o charakterze danego przedsięwzięcia (inwestycyjny, nieinwestycyjny) budżecie, poziomie dofinansowania, maksymalnej i minimalnej kwocie, grupie docelowej i sposobie realizacji – stanowi ona poszerzoną wersję załącznika nr 1 do LSR. Opis celu i przedsięwzięć został również ujęty w Załączniku nr 1 do LSR pn. Cele i przedsięwzięcia. Do celu przypisano wskaźniki rezultatu (z katalogu obowiązkowych wskaźników, zawartych w części V Załącznika nr 3 do Regulaminu Konkursu na wybór LSR) natomiast do przedsięwzięć przypisano wskaźniki produktu. Dla ww. wskaźników określono również wartości planowane do osiągnięcia w poszczególnych latach realizacji LSR. Przyjęte wskaźniki wraz z haromonogramem osiągania, które są adekwatne do założonych celów zostały przedstawione w</w:t>
      </w:r>
      <w:r>
        <w:rPr>
          <w:color w:val="000000" w:themeColor="text1"/>
          <w14:textFill>
            <w14:solidFill>
              <w14:schemeClr w14:val="tx1"/>
            </w14:solidFill>
          </w14:textFill>
        </w:rPr>
        <w:t xml:space="preserve"> Załączniku nr 2 do LSR pn. </w:t>
      </w:r>
      <w:r>
        <w:rPr>
          <w:rFonts w:ascii="Times New Roman" w:hAnsi="Times New Roman" w:cs="Times New Roman"/>
          <w:color w:val="000000" w:themeColor="text1"/>
          <w14:textFill>
            <w14:solidFill>
              <w14:schemeClr w14:val="tx1"/>
            </w14:solidFill>
          </w14:textFill>
        </w:rPr>
        <w:t>Plan działania, który jest spójny z Załącznikiem nr 4 do LSR pn. Plan wykorzystania budżetu LSR.</w:t>
      </w:r>
    </w:p>
    <w:p w14:paraId="25748680">
      <w:pPr>
        <w:spacing w:after="0"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Pomiar wskaźników zawartych w załącznikach będzie odbywał się za pomocą prowadzonego monitoringu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i ewaluacji (rozdz. X) zaś źródłem wiedzy o osiągniętych wskaźnikach będą sprawozdania beneficjentów, dane LGD.</w:t>
      </w:r>
    </w:p>
    <w:p w14:paraId="0258B06C">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Kryteria osiągnięte, w wyniku zrealizowania przedsięwzięć, pozwolą na wykazanie wzrostu kapitału społecznego mieszkańców obszaru LGD i wzrostu atrakcyjności miejsca zamieszkania, które nastąpią poprzez wzrost liczby miejsc spędzania czasu wolnego, zwiększenie oferty zagospodarowania czasu wolnego i zaangażowanie mieszkańców w korzystanie z oferty edukacyjnej, kulturalnej i integracyjnej. </w:t>
      </w:r>
    </w:p>
    <w:p w14:paraId="39F2C2D1">
      <w:pPr>
        <w:spacing w:line="276" w:lineRule="auto"/>
        <w:ind w:firstLine="70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Osiągnięcie wskaźników będzie świadczyło o realizacji zakładanych przedsięwzięć. Ponadto realizacja wskaźników przypisanych do przedsięwzięć zobrazuje wzrost świadomości mieszkańców w zakresie możliwości podejmowania działalności gospodarczych, co samym wpłynie na rozwój przedsiębiorczości mieszkańców obszaru, co z kolei przełoży się m.in. na wzrost liczby miejsc pracy oraz wzrost dochodów mieszkańców. Ponadto osiągnięcie realizacja wskaźników wpłynie na zwiększenie dostępności mieszkańców i turystów do oferty spędzania czasu wolnego również dedykowanej osobom z niepełnosprawnościami i ich opiekunów, która będzie obejmowała zarówno ogólnodostępną infrastrukturę publiczną jak i wydarzenia kulturalne oraz sportowe. Kolejnym efektem realizacji wskaźników będzie zwiększenie innowacyjności obszaru, pogłębienia partnerstwa między różnymi podmiotami oraz zwiększenie integracji społecznej. Realizacja wskaźników będzie również świadczyła o wzroście zainteresowania obszarem LGD. Osiągniecie wskaźników przyczyni się również do rozszerzenia oferty wsparcia oraz podniesienia jakości oferowanych usług dla lokalnej społeczności w tym osób zagrożonych wykluczeniem społecznym. </w:t>
      </w:r>
    </w:p>
    <w:p w14:paraId="1A704476">
      <w:pPr>
        <w:pStyle w:val="9"/>
        <w:spacing w:after="0" w:line="276" w:lineRule="auto"/>
        <w:ind w:firstLine="708"/>
        <w:jc w:val="both"/>
        <w:rPr>
          <w:rFonts w:ascii="Times New Roman" w:hAnsi="Times New Roman" w:cs="Times New Roman"/>
          <w:i w:val="0"/>
          <w:iCs w:val="0"/>
          <w:color w:val="000000" w:themeColor="text1"/>
          <w:sz w:val="22"/>
          <w:szCs w:val="22"/>
          <w14:textFill>
            <w14:solidFill>
              <w14:schemeClr w14:val="tx1"/>
            </w14:solidFill>
          </w14:textFill>
        </w:rPr>
      </w:pPr>
      <w:r>
        <w:rPr>
          <w:rFonts w:ascii="Times New Roman" w:hAnsi="Times New Roman" w:cs="Times New Roman"/>
          <w:i w:val="0"/>
          <w:iCs w:val="0"/>
          <w:color w:val="000000" w:themeColor="text1"/>
          <w:sz w:val="22"/>
          <w:szCs w:val="22"/>
          <w14:textFill>
            <w14:solidFill>
              <w14:schemeClr w14:val="tx1"/>
            </w14:solidFill>
          </w14:textFill>
        </w:rPr>
        <w:t xml:space="preserve">W ramach celu LSR </w:t>
      </w:r>
      <w:r>
        <w:rPr>
          <w:rFonts w:ascii="Times New Roman" w:hAnsi="Times New Roman" w:cs="Times New Roman"/>
          <w:color w:val="000000" w:themeColor="text1"/>
          <w:sz w:val="22"/>
          <w:szCs w:val="22"/>
          <w14:textFill>
            <w14:solidFill>
              <w14:schemeClr w14:val="tx1"/>
            </w14:solidFill>
          </w14:textFill>
        </w:rPr>
        <w:t xml:space="preserve">Utworzenie Myślenickiej Strefy Przemysłu Czasu Wolnego </w:t>
      </w:r>
      <w:r>
        <w:rPr>
          <w:rFonts w:ascii="Times New Roman" w:hAnsi="Times New Roman" w:cs="Times New Roman"/>
          <w:i w:val="0"/>
          <w:iCs w:val="0"/>
          <w:color w:val="000000" w:themeColor="text1"/>
          <w:sz w:val="22"/>
          <w:szCs w:val="22"/>
          <w14:textFill>
            <w14:solidFill>
              <w14:schemeClr w14:val="tx1"/>
            </w14:solidFill>
          </w14:textFill>
        </w:rPr>
        <w:t xml:space="preserve">samorządy (sektor publiczny) będą mogły opracować koncepcję Smart Villages dla wybranych miejscowości. W pierwszej kolejności planuje się projekty, które będą wzmacniać potencjał organizacji pozarządowych oraz przyczyniać się do budowania partnerskich relacji pomiędzy nimi. W ramach celu przewidziano realizację projektu własnego LGD, pożądanego do realizacji w partnerstwie krajowym lub zagranicznym, będzie on polegał na kojarzeniu partnerów i animowaniu do realizacji wspólnych projektów, w tym przygotowaniu do wdrażania idei Smart Villages. Metody wybierane przez LGD będą miały na celu przede wszystkim pobudzanie aktywności mieszkańców oraz instytucji i organizacji działających w społeczności lokalnej, integrowanie społeczności lokalnej, koncentrowanie jej działań na dobru wspólnym oraz budowanie trwałych wzajemnych relacji między nimi. Dzięki współpracy i włączeniu się do współdecydowania o obszarze możliwe będzie wdrażanie koncepcji w poszczególnych miejscowościach, bazujących na nowoczesnych technologiach i narzędziach dla polepszenia jakości życia i podniesienia standardu usług publicznych. Podejmowane działania będą ukierunkowane na budowanie lokalnej tożsamości bazującej na aktywizacji społecznej i przy wykorzystaniu miejscowych zasobów w sposób zapewniający zaspokojenie potrzeb społeczności, w tym poprzez wykorzystanie wiedzy, innowacji i rozwiązań cyfrowych. W ramach koncepcji samorządy będą mogły stworzyć/zmodernizować ogólnodostępną, małą infrastrukturę publiczną służącą rekreacji, sportowi i zwiększaniu możliwości spędzania czasu wolnego (np. place zabaw, siłownie plenerowe, skateparki, parki do parkoura, street workout parki, parki linowe, piaskownice, miejskie i wiejskie tereny rekreacyjne o połączonych formach rekreacji, ścieżki edukacyjne). Dodatkowo stworzona infrastruktura będzie wzbogacona o udogodnienia dla osób z niepełnosprawnościami (np. place zabaw dostosowane do wózków inwalidzkich, parki sensoryczne dla osób ze spektrum autyzmu), co przyczyni się do zwiększenia innowacyjności obszaru. </w:t>
      </w:r>
      <w:r>
        <w:rPr>
          <w:rFonts w:ascii="Times New Roman" w:hAnsi="Times New Roman" w:eastAsia="Calibri" w:cs="Times New Roman"/>
          <w:i w:val="0"/>
          <w:iCs w:val="0"/>
          <w:color w:val="000000"/>
          <w:sz w:val="22"/>
          <w:szCs w:val="22"/>
          <w:lang w:eastAsia="pl-PL"/>
        </w:rPr>
        <w:t>Ponadto samorządy będą mogły realizować zadania związane z doposażeniem instytucji kultury oraz budową i rozbudową infrastruktury publicznej poprzez kompleksowe działania uwzględniające potrzeby życiowe wszystkich mieszkańców obszaru LGD i ich rodzin oraz podniesienie jakości ich życia.</w:t>
      </w:r>
      <w:r>
        <w:rPr>
          <w:rFonts w:ascii="Times New Roman" w:hAnsi="Times New Roman" w:cs="Times New Roman"/>
          <w:i w:val="0"/>
          <w:iCs w:val="0"/>
          <w:color w:val="000000" w:themeColor="text1"/>
          <w:sz w:val="22"/>
          <w:szCs w:val="22"/>
          <w14:textFill>
            <w14:solidFill>
              <w14:schemeClr w14:val="tx1"/>
            </w14:solidFill>
          </w14:textFill>
        </w:rPr>
        <w:t xml:space="preserve"> Ponadto efekt tych działań będzie dodatkowo wzmocniony poprzez realizację operacji obejmującej zwiększenie dostępu do oferty kulturalnej, ochrony i rozwoju lokalnych zasobów dziedzictwa oraz rozwoju oferty turystycznej bazującej na lokalnych potencjałach, realizowanej w ramach FEM.</w:t>
      </w:r>
    </w:p>
    <w:p w14:paraId="0106FCD5">
      <w:pPr>
        <w:pStyle w:val="9"/>
        <w:spacing w:after="0" w:line="276" w:lineRule="auto"/>
        <w:ind w:firstLine="708"/>
        <w:jc w:val="both"/>
        <w:rPr>
          <w:rFonts w:ascii="Times New Roman" w:hAnsi="Times New Roman" w:cs="Times New Roman"/>
          <w:i w:val="0"/>
          <w:iCs w:val="0"/>
          <w:color w:val="000000" w:themeColor="text1"/>
          <w:sz w:val="22"/>
          <w:szCs w:val="22"/>
          <w14:textFill>
            <w14:solidFill>
              <w14:schemeClr w14:val="tx1"/>
            </w14:solidFill>
          </w14:textFill>
        </w:rPr>
      </w:pPr>
      <w:r>
        <w:rPr>
          <w:rFonts w:ascii="Times New Roman" w:hAnsi="Times New Roman" w:cs="Times New Roman"/>
          <w:i w:val="0"/>
          <w:iCs w:val="0"/>
          <w:color w:val="000000" w:themeColor="text1"/>
          <w:sz w:val="22"/>
          <w:szCs w:val="22"/>
          <w14:textFill>
            <w14:solidFill>
              <w14:schemeClr w14:val="tx1"/>
            </w14:solidFill>
          </w14:textFill>
        </w:rPr>
        <w:t xml:space="preserve">Mieszkańcy, jednostki organizacyjne nieposiadające osobowości prawnej, którym ustawa przyznaje zdolność prawną, organizacje pozarządowe, mikro i małe przedsiębiorstwa, jednostki sektora finansów publicznych (sektor społeczny, publiczny i gospodarczy) będą, w ramach udzielonych grantów realizować projekty (w tym partnerskie i/lub innowacyjne), polegające na włączeniu seniorów, których celem będzie integracja, wzmocnienie i umożliwienie aktywności społecznej tej grupie mieszkańców oraz promowanie zdrowego stylu życia, wzrost możliwości spędzania czasu wolnego, samorozwoju i rekreacji oraz przedłużenia aktywności zawodowej. Również w ramach projektów grantowych będą realizowane innowacyjne operacje w zakresie rozwoju osób do 25. roku życia i zagospodarowywania ich czasu wolnego. </w:t>
      </w:r>
    </w:p>
    <w:p w14:paraId="5B2463EE">
      <w:pPr>
        <w:spacing w:after="0" w:line="276" w:lineRule="auto"/>
        <w:ind w:firstLine="708"/>
        <w:jc w:val="both"/>
        <w:rPr>
          <w:rFonts w:ascii="Times New Roman" w:hAnsi="Times New Roman" w:cs="Times New Roman"/>
          <w:lang w:eastAsia="pl-PL"/>
        </w:rPr>
      </w:pPr>
      <w:r>
        <w:rPr>
          <w:rFonts w:ascii="Times New Roman" w:hAnsi="Times New Roman" w:cs="Times New Roman"/>
          <w:color w:val="000000" w:themeColor="text1"/>
          <w14:textFill>
            <w14:solidFill>
              <w14:schemeClr w14:val="tx1"/>
            </w14:solidFill>
          </w14:textFill>
        </w:rPr>
        <w:t>Również w ramach tego celu mieszkańcy będą mogli ubiegać się o wsparcie na podejmowanie działalności, natomiast mikro i małe przedsiębiorstwa (sektor gospodarczy) będą mogły ubiegać się o wsparcie na rozwijanie działalności – tylko konkretne rodzaje działalności gospodarczej, w zakresie zgodnym z celem LSR. Dokonano skoncentrowania, w celu jak najlepszego wykorzystania posiadanych zasobów finansowych. W związku z tym, w</w:t>
      </w:r>
      <w:r>
        <w:rPr>
          <w:rFonts w:ascii="Times New Roman" w:hAnsi="Times New Roman" w:cs="Times New Roman"/>
          <w:i/>
          <w:iCs/>
          <w:color w:val="000000" w:themeColor="text1"/>
          <w14:textFill>
            <w14:solidFill>
              <w14:schemeClr w14:val="tx1"/>
            </w14:solidFill>
          </w14:textFill>
        </w:rPr>
        <w:t> </w:t>
      </w:r>
      <w:r>
        <w:rPr>
          <w:rFonts w:ascii="Times New Roman" w:hAnsi="Times New Roman" w:cs="Times New Roman"/>
          <w:color w:val="000000" w:themeColor="text1"/>
          <w14:textFill>
            <w14:solidFill>
              <w14:schemeClr w14:val="tx1"/>
            </w14:solidFill>
          </w14:textFill>
        </w:rPr>
        <w:t>oparciu o lokalne zasoby oraz zgłaszane potrzeby i zdiagnozowane problemy, wsparcie przeznaczone będzie na gospodarkę czasu wolnego, a więc wszelkie działalności, które mają na celu wzrost dostępności i jakości usług dla lokalnej społeczności oraz turystów, w tym dla osób z niepełnosprawnościami w zakresie rekreacji, sportu, spędzania czasu wolnego, w tym samorozwoju oraz zwiększenie tożsamości lokalnej wśród mieszkańców. Przykładowo mogą to być siłownie, infrastruktura rekreacyjna, usługi w zakresie promocji lokalnych tradycji oraz rękodzieła, robotyka, oferta kulturalna itp. W ramach wsparcia w zakresie rozwoju przedsiębiorczości przewiduje się finansowanie kosztów szkoleniowych związanych ściśle z celem danej operacji, takich jak nabycie lub podwyższenie kwalifikacji, reorientacja zawodowa, koszty kursów specjalistycznych lub obejmujących wiedzę niezbędną do prowadzenia działalności gospodarczej np. podstawy księgowości.</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rPr>
        <w:t xml:space="preserve">Dodatkowo będzie możliwość zakupu wyposażenia i rzeczy niezbędnych do realizacji operacji, takich jak wyposażenie biurowe, rzeczy do prowadzenia zajęć itp. </w:t>
      </w:r>
      <w:r>
        <w:rPr>
          <w:rFonts w:ascii="Times New Roman" w:hAnsi="Times New Roman" w:cs="Times New Roman"/>
          <w:lang w:eastAsia="pl-PL"/>
        </w:rPr>
        <w:t xml:space="preserve">Kolejno zaplanowano operacje, które dadzą możliwość rozwijania działalności w zakresie agroturystyki oraz stworzenia zagrody edukacyjnej w gospodarstwie rolnym, które będzie mogło przyjmować dzieci i młodzież w ramach programów szkolnych i aktywności pozaszkolnej, realizując cele edukacyjne związane z produkcją roślinną, zwierzęcą, przetwórstwem, świadomością ekologiczną i konsumencką, dziedzictwem kultury materialnej wsi, tradycyjnymi zawodami, rękodziełem i twórczością ludową. </w:t>
      </w:r>
    </w:p>
    <w:p w14:paraId="7E18F122">
      <w:pPr>
        <w:pStyle w:val="9"/>
        <w:spacing w:after="0" w:line="276" w:lineRule="auto"/>
        <w:ind w:firstLine="708"/>
        <w:jc w:val="both"/>
        <w:rPr>
          <w:rFonts w:ascii="Times New Roman" w:hAnsi="Times New Roman" w:cs="Times New Roman"/>
          <w:i w:val="0"/>
          <w:iCs w:val="0"/>
          <w:color w:val="000000" w:themeColor="text1"/>
          <w:sz w:val="22"/>
          <w:szCs w:val="22"/>
          <w14:textFill>
            <w14:solidFill>
              <w14:schemeClr w14:val="tx1"/>
            </w14:solidFill>
          </w14:textFill>
        </w:rPr>
      </w:pPr>
      <w:r>
        <w:rPr>
          <w:rFonts w:ascii="Times New Roman" w:hAnsi="Times New Roman" w:cs="Times New Roman"/>
          <w:bCs/>
          <w:i w:val="0"/>
          <w:iCs w:val="0"/>
          <w:color w:val="000000" w:themeColor="text1"/>
          <w:sz w:val="22"/>
          <w:szCs w:val="22"/>
          <w14:textFill>
            <w14:solidFill>
              <w14:schemeClr w14:val="tx1"/>
            </w14:solidFill>
          </w14:textFill>
        </w:rPr>
        <w:t xml:space="preserve">Planowane przedsięwzięcia będą realizowane przez podmioty z różnych sektorów, uzupełniając się i tworząc tzw. wartość dodaną w rozwoju obszaru LGD. W ramach przedsięwzięć realizowane będą operacje wykorzystujące różne zasoby przyrodnicze, kulturowe, historyczne i społeczne obszaru. Wszystkie przedsięwzięcia przewidziane </w:t>
      </w:r>
      <w:r>
        <w:rPr>
          <w:rFonts w:ascii="Times New Roman" w:hAnsi="Times New Roman" w:cs="Times New Roman"/>
          <w:bCs/>
          <w:i w:val="0"/>
          <w:iCs w:val="0"/>
          <w:color w:val="000000" w:themeColor="text1"/>
          <w:sz w:val="22"/>
          <w:szCs w:val="22"/>
          <w14:textFill>
            <w14:solidFill>
              <w14:schemeClr w14:val="tx1"/>
            </w14:solidFill>
          </w14:textFill>
        </w:rPr>
        <w:br w:type="textWrapping"/>
      </w:r>
      <w:r>
        <w:rPr>
          <w:rFonts w:ascii="Times New Roman" w:hAnsi="Times New Roman" w:cs="Times New Roman"/>
          <w:bCs/>
          <w:i w:val="0"/>
          <w:iCs w:val="0"/>
          <w:color w:val="000000" w:themeColor="text1"/>
          <w:sz w:val="22"/>
          <w:szCs w:val="22"/>
          <w14:textFill>
            <w14:solidFill>
              <w14:schemeClr w14:val="tx1"/>
            </w14:solidFill>
          </w14:textFill>
        </w:rPr>
        <w:t xml:space="preserve">w ramach LSR są zintegrowane i mają na celu wzrost aktywności gospodarczej i społecznej. </w:t>
      </w:r>
    </w:p>
    <w:p w14:paraId="203636C5">
      <w:pPr>
        <w:pStyle w:val="9"/>
        <w:spacing w:after="0" w:line="276" w:lineRule="auto"/>
        <w:ind w:firstLine="708"/>
        <w:jc w:val="both"/>
        <w:rPr>
          <w:rFonts w:ascii="Times New Roman" w:hAnsi="Times New Roman" w:eastAsia="Calibri" w:cs="Times New Roman"/>
          <w:i w:val="0"/>
          <w:iCs w:val="0"/>
          <w:color w:val="000000"/>
          <w:sz w:val="22"/>
          <w:szCs w:val="22"/>
          <w:lang w:eastAsia="pl-PL"/>
        </w:rPr>
      </w:pPr>
      <w:r>
        <w:rPr>
          <w:rFonts w:ascii="Times New Roman" w:hAnsi="Times New Roman" w:cs="Times New Roman"/>
          <w:i w:val="0"/>
          <w:iCs w:val="0"/>
          <w:color w:val="000000" w:themeColor="text1"/>
          <w:sz w:val="22"/>
          <w:szCs w:val="22"/>
          <w14:textFill>
            <w14:solidFill>
              <w14:schemeClr w14:val="tx1"/>
            </w14:solidFill>
          </w14:textFill>
        </w:rPr>
        <w:t xml:space="preserve">W ramach celu przewidziano również projekt własny, który będzie przyczyniał się do integracji i wzmocnienia aktywności osób z niepełnosprawnościami i ich opiekunów. Podejmowane działania polegać będą na </w:t>
      </w:r>
      <w:r>
        <w:rPr>
          <w:rFonts w:ascii="Times New Roman" w:hAnsi="Times New Roman" w:cs="Times New Roman"/>
          <w:i w:val="0"/>
          <w:iCs w:val="0"/>
          <w:color w:val="000000" w:themeColor="text1"/>
          <w:sz w:val="22"/>
          <w:szCs w:val="22"/>
          <w:lang w:eastAsia="pl-PL"/>
          <w14:textFill>
            <w14:solidFill>
              <w14:schemeClr w14:val="tx1"/>
            </w14:solidFill>
          </w14:textFill>
        </w:rPr>
        <w:t>wyrównywaniu szans osób z niepełnosprawnościami, przeciwdziałaniu ich wykluczeniu społecznemu</w:t>
      </w:r>
      <w:r>
        <w:rPr>
          <w:rFonts w:ascii="Times New Roman" w:hAnsi="Times New Roman" w:cs="Times New Roman"/>
          <w:color w:val="000000" w:themeColor="text1"/>
          <w:sz w:val="22"/>
          <w:szCs w:val="22"/>
          <w:lang w:eastAsia="pl-PL"/>
          <w14:textFill>
            <w14:solidFill>
              <w14:schemeClr w14:val="tx1"/>
            </w14:solidFill>
          </w14:textFill>
        </w:rPr>
        <w:t xml:space="preserve"> </w:t>
      </w:r>
      <w:r>
        <w:rPr>
          <w:rFonts w:ascii="Times New Roman" w:hAnsi="Times New Roman" w:eastAsia="Calibri" w:cs="Times New Roman"/>
          <w:i w:val="0"/>
          <w:iCs w:val="0"/>
          <w:color w:val="000000"/>
          <w:sz w:val="22"/>
          <w:szCs w:val="22"/>
          <w:lang w:eastAsia="pl-PL"/>
        </w:rPr>
        <w:t>oraz umożliwieniu im pełnego rozwoju na płaszczyźnie społecznej i edukacyjnej. Dla realizacji przedmiotowych założeń niezbędna jest wysoka aktywność i współpraca organizacji pozarządowych, wolontariatu, podmiotów niepublicznych i wielu innych partnerów społecznych, dająca możliwość niwelowania wszelkich barier w życiu społecznym i zawodowym osób z niepełnosprawnościami, a także podnosząca świadomość i wiedzę wszystkich uczestników interakcji społecznych na temat problemów i potrzeb tych osób.</w:t>
      </w:r>
    </w:p>
    <w:p w14:paraId="09951A0C">
      <w:pPr>
        <w:pStyle w:val="9"/>
        <w:spacing w:after="0" w:line="276" w:lineRule="auto"/>
        <w:ind w:firstLine="708"/>
        <w:jc w:val="both"/>
        <w:rPr>
          <w:rFonts w:ascii="Times New Roman" w:hAnsi="Times New Roman" w:cs="Times New Roman"/>
          <w:i w:val="0"/>
          <w:iCs w:val="0"/>
          <w:color w:val="000000" w:themeColor="text1"/>
          <w:sz w:val="22"/>
          <w:szCs w:val="22"/>
          <w14:textFill>
            <w14:solidFill>
              <w14:schemeClr w14:val="tx1"/>
            </w14:solidFill>
          </w14:textFill>
        </w:rPr>
      </w:pPr>
      <w:r>
        <w:rPr>
          <w:rFonts w:ascii="Times New Roman" w:hAnsi="Times New Roman" w:cs="Times New Roman"/>
          <w:i w:val="0"/>
          <w:iCs w:val="0"/>
          <w:color w:val="000000" w:themeColor="text1"/>
          <w:sz w:val="22"/>
          <w:szCs w:val="22"/>
          <w14:textFill>
            <w14:solidFill>
              <w14:schemeClr w14:val="tx1"/>
            </w14:solidFill>
          </w14:textFill>
        </w:rPr>
        <w:t>Uzupełnieniem będą operacje realizowane w ramach FEM z zakresu wspierania oddolnych inicjatyw na rzecz aktywnego włączenia społecznego poprzez aktywizację zawodową, edukacyjną, a także kulturalną osób zagrożonych ubóstwem i wykluczeniem społecznym oraz biernych zawodowo, w tym szczególnie osób z niepełnosprawnościami oraz ich opiekunów, a także rozwoju usług społecznych.</w:t>
      </w:r>
    </w:p>
    <w:p w14:paraId="3E0D0BAB">
      <w:pPr>
        <w:pStyle w:val="9"/>
        <w:spacing w:after="0" w:line="276" w:lineRule="auto"/>
        <w:jc w:val="both"/>
        <w:rPr>
          <w:rFonts w:ascii="Times New Roman" w:hAnsi="Times New Roman" w:cs="Times New Roman"/>
          <w:i w:val="0"/>
          <w:iCs w:val="0"/>
          <w:color w:val="000000" w:themeColor="text1"/>
          <w:sz w:val="22"/>
          <w:szCs w:val="22"/>
          <w14:textFill>
            <w14:solidFill>
              <w14:schemeClr w14:val="tx1"/>
            </w14:solidFill>
          </w14:textFill>
        </w:rPr>
      </w:pPr>
    </w:p>
    <w:p w14:paraId="160A365E">
      <w:pPr>
        <w:pStyle w:val="9"/>
        <w:spacing w:after="0" w:line="276" w:lineRule="auto"/>
        <w:ind w:firstLine="708"/>
        <w:jc w:val="both"/>
        <w:rPr>
          <w:rFonts w:ascii="Times New Roman" w:hAnsi="Times New Roman" w:cs="Times New Roman"/>
          <w:i w:val="0"/>
          <w:iCs w:val="0"/>
          <w:color w:val="000000" w:themeColor="text1"/>
          <w:sz w:val="22"/>
          <w:szCs w:val="22"/>
          <w14:textFill>
            <w14:solidFill>
              <w14:schemeClr w14:val="tx1"/>
            </w14:solidFill>
          </w14:textFill>
        </w:rPr>
      </w:pPr>
      <w:r>
        <w:rPr>
          <w:rFonts w:ascii="Times New Roman" w:hAnsi="Times New Roman" w:cs="Times New Roman"/>
          <w:i w:val="0"/>
          <w:iCs w:val="0"/>
          <w:color w:val="000000" w:themeColor="text1"/>
          <w:sz w:val="22"/>
          <w:szCs w:val="22"/>
          <w14:textFill>
            <w14:solidFill>
              <w14:schemeClr w14:val="tx1"/>
            </w14:solidFill>
          </w14:textFill>
        </w:rPr>
        <w:t xml:space="preserve">Lokalna Strategia Rozwoju Stowarzyszenia Lokalna Grupa Działania „Między Dalinem i Gościbią” to strategia wielofunduszowa, w związku z tym Cel LSR będzie finansowany z dwóch źródeł. Przedsięwzięcia </w:t>
      </w:r>
      <w:r>
        <w:rPr>
          <w:rFonts w:ascii="Times New Roman" w:hAnsi="Times New Roman" w:cs="Times New Roman"/>
          <w:i w:val="0"/>
          <w:iCs w:val="0"/>
          <w:color w:val="000000" w:themeColor="text1"/>
          <w:sz w:val="22"/>
          <w:szCs w:val="22"/>
          <w14:textFill>
            <w14:solidFill>
              <w14:schemeClr w14:val="tx1"/>
            </w14:solidFill>
          </w14:textFill>
        </w:rPr>
        <w:br w:type="textWrapping"/>
      </w:r>
      <w:r>
        <w:rPr>
          <w:rFonts w:ascii="Times New Roman" w:hAnsi="Times New Roman" w:cs="Times New Roman"/>
          <w:i w:val="0"/>
          <w:iCs w:val="0"/>
          <w:color w:val="000000" w:themeColor="text1"/>
          <w:sz w:val="22"/>
          <w:szCs w:val="22"/>
          <w14:textFill>
            <w14:solidFill>
              <w14:schemeClr w14:val="tx1"/>
            </w14:solidFill>
          </w14:textFill>
        </w:rPr>
        <w:t xml:space="preserve">1.1–1.15 będą finansowane ze środków Europejskiego Funduszu Rolnego na rzecz Rozwoju Obszarów Wiejskich w ramach </w:t>
      </w:r>
      <w:r>
        <w:rPr>
          <w:rFonts w:ascii="Times New Roman" w:hAnsi="Times New Roman" w:cs="Times New Roman"/>
          <w:color w:val="000000" w:themeColor="text1"/>
          <w:sz w:val="22"/>
          <w:szCs w:val="22"/>
          <w14:textFill>
            <w14:solidFill>
              <w14:schemeClr w14:val="tx1"/>
            </w14:solidFill>
          </w14:textFill>
        </w:rPr>
        <w:t>Planu Strategicznego dla Wspólnej Polityki Rolnej na lata 2023–2027</w:t>
      </w:r>
      <w:r>
        <w:rPr>
          <w:rFonts w:ascii="Times New Roman" w:hAnsi="Times New Roman" w:cs="Times New Roman"/>
          <w:i w:val="0"/>
          <w:iCs w:val="0"/>
          <w:color w:val="000000" w:themeColor="text1"/>
          <w:sz w:val="22"/>
          <w:szCs w:val="22"/>
          <w14:textFill>
            <w14:solidFill>
              <w14:schemeClr w14:val="tx1"/>
            </w14:solidFill>
          </w14:textFill>
        </w:rPr>
        <w:t>, natomiast przedsięwzięcie 1.16 będzie finansowane z Europejskiego Funduszu Rozwoju Regionalnego (EFRR), zaś 1.17 z Europejskiego Funduszu społecznego Plus (EFS+) będą finansowane w ramach programu regionalnego Fundusze Europejskie dla Małopolski 2021–2027</w:t>
      </w:r>
    </w:p>
    <w:p w14:paraId="216F8E70">
      <w:pPr>
        <w:pStyle w:val="9"/>
        <w:spacing w:line="276" w:lineRule="auto"/>
        <w:ind w:firstLine="708"/>
        <w:jc w:val="both"/>
        <w:rPr>
          <w:rFonts w:ascii="Times New Roman" w:hAnsi="Times New Roman" w:cs="Times New Roman"/>
          <w:i w:val="0"/>
          <w:iCs w:val="0"/>
          <w:color w:val="000000" w:themeColor="text1"/>
          <w:sz w:val="22"/>
          <w:szCs w:val="22"/>
          <w14:textFill>
            <w14:solidFill>
              <w14:schemeClr w14:val="tx1"/>
            </w14:solidFill>
          </w14:textFill>
        </w:rPr>
      </w:pPr>
      <w:r>
        <w:rPr>
          <w:rFonts w:ascii="Times New Roman" w:hAnsi="Times New Roman" w:cs="Times New Roman"/>
          <w:i w:val="0"/>
          <w:iCs w:val="0"/>
          <w:color w:val="000000" w:themeColor="text1"/>
          <w:sz w:val="22"/>
          <w:szCs w:val="22"/>
          <w14:textFill>
            <w14:solidFill>
              <w14:schemeClr w14:val="tx1"/>
            </w14:solidFill>
          </w14:textFill>
        </w:rPr>
        <w:t>Wszystkie projekty realizowane w ramach celu będą musiały być zgodne z zasadami horyzontalnymi.</w:t>
      </w:r>
    </w:p>
    <w:p w14:paraId="5329A594"/>
    <w:p w14:paraId="4EA4CCE7"/>
    <w:p w14:paraId="75BDDD0C">
      <w:pPr>
        <w:spacing w:line="276" w:lineRule="auto"/>
        <w:jc w:val="both"/>
        <w:rPr>
          <w:rFonts w:ascii="Times New Roman" w:hAnsi="Times New Roman" w:cs="Times New Roman"/>
          <w:b/>
          <w:bCs/>
        </w:rPr>
        <w:sectPr>
          <w:pgSz w:w="11906" w:h="16838"/>
          <w:pgMar w:top="851" w:right="851" w:bottom="851" w:left="851" w:header="709" w:footer="709" w:gutter="0"/>
          <w:cols w:space="708" w:num="1"/>
          <w:titlePg/>
          <w:docGrid w:linePitch="360" w:charSpace="0"/>
        </w:sectPr>
      </w:pPr>
    </w:p>
    <w:p w14:paraId="0F30BB75">
      <w:pPr>
        <w:pStyle w:val="9"/>
        <w:spacing w:after="0"/>
        <w:jc w:val="center"/>
        <w:rPr>
          <w:rFonts w:ascii="Times New Roman" w:hAnsi="Times New Roman" w:cs="Times New Roman"/>
          <w:b/>
          <w:bCs/>
          <w:i w:val="0"/>
          <w:iCs w:val="0"/>
          <w:color w:val="000000" w:themeColor="text1"/>
          <w:sz w:val="20"/>
          <w:szCs w:val="20"/>
          <w14:textFill>
            <w14:solidFill>
              <w14:schemeClr w14:val="tx1"/>
            </w14:solidFill>
          </w14:textFill>
        </w:rPr>
      </w:pPr>
      <w:bookmarkStart w:id="151" w:name="_Toc136241410"/>
      <w:r>
        <w:rPr>
          <w:rFonts w:ascii="Times New Roman" w:hAnsi="Times New Roman" w:cs="Times New Roman"/>
          <w:b/>
          <w:bCs/>
          <w:i w:val="0"/>
          <w:iCs w:val="0"/>
          <w:color w:val="000000" w:themeColor="text1"/>
          <w:sz w:val="20"/>
          <w:szCs w:val="20"/>
          <w14:textFill>
            <w14:solidFill>
              <w14:schemeClr w14:val="tx1"/>
            </w14:solidFill>
          </w14:textFill>
        </w:rPr>
        <w:t xml:space="preserve">Tabela </w:t>
      </w:r>
      <w:r>
        <w:rPr>
          <w:rFonts w:ascii="Times New Roman" w:hAnsi="Times New Roman" w:cs="Times New Roman"/>
          <w:b/>
          <w:bCs/>
          <w:i w:val="0"/>
          <w:iCs w:val="0"/>
          <w:color w:val="000000" w:themeColor="text1"/>
          <w:sz w:val="20"/>
          <w:szCs w:val="20"/>
          <w14:textFill>
            <w14:solidFill>
              <w14:schemeClr w14:val="tx1"/>
            </w14:solidFill>
          </w14:textFill>
        </w:rPr>
        <w:fldChar w:fldCharType="begin"/>
      </w:r>
      <w:r>
        <w:rPr>
          <w:rFonts w:ascii="Times New Roman" w:hAnsi="Times New Roman" w:cs="Times New Roman"/>
          <w:b/>
          <w:bCs/>
          <w:i w:val="0"/>
          <w:iCs w:val="0"/>
          <w:color w:val="000000" w:themeColor="text1"/>
          <w:sz w:val="20"/>
          <w:szCs w:val="20"/>
          <w14:textFill>
            <w14:solidFill>
              <w14:schemeClr w14:val="tx1"/>
            </w14:solidFill>
          </w14:textFill>
        </w:rPr>
        <w:instrText xml:space="preserve"> SEQ Tabela \* ARABIC </w:instrText>
      </w:r>
      <w:r>
        <w:rPr>
          <w:rFonts w:ascii="Times New Roman" w:hAnsi="Times New Roman" w:cs="Times New Roman"/>
          <w:b/>
          <w:bCs/>
          <w:i w:val="0"/>
          <w:iCs w:val="0"/>
          <w:color w:val="000000" w:themeColor="text1"/>
          <w:sz w:val="20"/>
          <w:szCs w:val="20"/>
          <w14:textFill>
            <w14:solidFill>
              <w14:schemeClr w14:val="tx1"/>
            </w14:solidFill>
          </w14:textFill>
        </w:rPr>
        <w:fldChar w:fldCharType="separate"/>
      </w:r>
      <w:r>
        <w:rPr>
          <w:rFonts w:ascii="Times New Roman" w:hAnsi="Times New Roman" w:cs="Times New Roman"/>
          <w:b/>
          <w:bCs/>
          <w:i w:val="0"/>
          <w:iCs w:val="0"/>
          <w:color w:val="000000" w:themeColor="text1"/>
          <w:sz w:val="20"/>
          <w:szCs w:val="20"/>
          <w14:textFill>
            <w14:solidFill>
              <w14:schemeClr w14:val="tx1"/>
            </w14:solidFill>
          </w14:textFill>
        </w:rPr>
        <w:t>22</w:t>
      </w:r>
      <w:r>
        <w:rPr>
          <w:rFonts w:ascii="Times New Roman" w:hAnsi="Times New Roman" w:cs="Times New Roman"/>
          <w:b/>
          <w:bCs/>
          <w:i w:val="0"/>
          <w:iCs w:val="0"/>
          <w:color w:val="000000" w:themeColor="text1"/>
          <w:sz w:val="20"/>
          <w:szCs w:val="20"/>
          <w14:textFill>
            <w14:solidFill>
              <w14:schemeClr w14:val="tx1"/>
            </w14:solidFill>
          </w14:textFill>
        </w:rPr>
        <w:fldChar w:fldCharType="end"/>
      </w:r>
      <w:r>
        <w:rPr>
          <w:rFonts w:ascii="Times New Roman" w:hAnsi="Times New Roman" w:cs="Times New Roman"/>
          <w:b/>
          <w:bCs/>
          <w:i w:val="0"/>
          <w:iCs w:val="0"/>
          <w:color w:val="000000" w:themeColor="text1"/>
          <w:sz w:val="20"/>
          <w:szCs w:val="20"/>
          <w14:textFill>
            <w14:solidFill>
              <w14:schemeClr w14:val="tx1"/>
            </w14:solidFill>
          </w14:textFill>
        </w:rPr>
        <w:t xml:space="preserve"> Przedsięwzięcia – powiązanie z analizą potrzeb, charakter, budżet, poziom dofinansowania, maks. i min. kwota, grupa docelowa i sposób realizacji (rozszerzona wersja analogicznej tabeli stanowiącej załącznik nr 1 do LSR)</w:t>
      </w:r>
      <w:bookmarkEnd w:id="151"/>
    </w:p>
    <w:tbl>
      <w:tblPr>
        <w:tblStyle w:val="6"/>
        <w:tblW w:w="5000" w:type="pct"/>
        <w:tblInd w:w="0" w:type="dxa"/>
        <w:tblLayout w:type="autofit"/>
        <w:tblCellMar>
          <w:top w:w="0" w:type="dxa"/>
          <w:left w:w="70" w:type="dxa"/>
          <w:bottom w:w="0" w:type="dxa"/>
          <w:right w:w="70" w:type="dxa"/>
        </w:tblCellMar>
      </w:tblPr>
      <w:tblGrid>
        <w:gridCol w:w="1922"/>
        <w:gridCol w:w="455"/>
        <w:gridCol w:w="1982"/>
        <w:gridCol w:w="1358"/>
        <w:gridCol w:w="2259"/>
        <w:gridCol w:w="1351"/>
        <w:gridCol w:w="1820"/>
        <w:gridCol w:w="1843"/>
        <w:gridCol w:w="1350"/>
        <w:gridCol w:w="936"/>
      </w:tblGrid>
      <w:tr w14:paraId="6DFF60BD">
        <w:tblPrEx>
          <w:tblCellMar>
            <w:top w:w="0" w:type="dxa"/>
            <w:left w:w="70" w:type="dxa"/>
            <w:bottom w:w="0" w:type="dxa"/>
            <w:right w:w="70" w:type="dxa"/>
          </w:tblCellMar>
        </w:tblPrEx>
        <w:trPr>
          <w:trHeight w:val="458" w:hRule="atLeast"/>
        </w:trPr>
        <w:tc>
          <w:tcPr>
            <w:tcW w:w="7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B7F065">
            <w:pPr>
              <w:spacing w:after="0" w:line="240" w:lineRule="auto"/>
              <w:jc w:val="center"/>
              <w:rPr>
                <w:rFonts w:ascii="Times New Roman" w:hAnsi="Times New Roman" w:eastAsia="Times New Roman" w:cs="Times New Roman"/>
                <w:i/>
                <w:iCs/>
                <w:color w:val="000000"/>
                <w:sz w:val="20"/>
                <w:szCs w:val="20"/>
                <w:lang w:eastAsia="pl-PL"/>
              </w:rPr>
            </w:pPr>
            <w:r>
              <w:rPr>
                <w:rFonts w:ascii="Times New Roman" w:hAnsi="Times New Roman" w:eastAsia="Times New Roman" w:cs="Times New Roman"/>
                <w:i/>
                <w:iCs/>
                <w:color w:val="000000"/>
                <w:sz w:val="20"/>
                <w:szCs w:val="20"/>
                <w:lang w:eastAsia="pl-PL"/>
              </w:rPr>
              <w:t>PROBLEM</w:t>
            </w:r>
          </w:p>
        </w:tc>
        <w:tc>
          <w:tcPr>
            <w:tcW w:w="4209" w:type="pct"/>
            <w:gridSpan w:val="8"/>
            <w:tcBorders>
              <w:top w:val="single" w:color="auto" w:sz="4" w:space="0"/>
              <w:left w:val="nil"/>
              <w:bottom w:val="single" w:color="auto" w:sz="4" w:space="0"/>
              <w:right w:val="single" w:color="auto" w:sz="4" w:space="0"/>
            </w:tcBorders>
            <w:shd w:val="clear" w:color="auto" w:fill="auto"/>
            <w:vAlign w:val="center"/>
          </w:tcPr>
          <w:p w14:paraId="1D8E0FC3">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Nienadążająca za wzrostem liczby mieszkańców infrastruktura publiczna, słaba oferta zagospodarowania czasu wolnego, niska aktywność społeczna i w organizacjach pozarządowych </w:t>
            </w:r>
          </w:p>
        </w:tc>
      </w:tr>
      <w:tr w14:paraId="191133FC">
        <w:tblPrEx>
          <w:tblCellMar>
            <w:top w:w="0" w:type="dxa"/>
            <w:left w:w="70" w:type="dxa"/>
            <w:bottom w:w="0" w:type="dxa"/>
            <w:right w:w="70" w:type="dxa"/>
          </w:tblCellMar>
        </w:tblPrEx>
        <w:trPr>
          <w:trHeight w:val="458" w:hRule="atLeast"/>
        </w:trPr>
        <w:tc>
          <w:tcPr>
            <w:tcW w:w="7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2F15A3">
            <w:pPr>
              <w:spacing w:after="0" w:line="240" w:lineRule="auto"/>
              <w:jc w:val="center"/>
              <w:rPr>
                <w:rFonts w:ascii="Times New Roman" w:hAnsi="Times New Roman" w:eastAsia="Times New Roman" w:cs="Times New Roman"/>
                <w:i/>
                <w:iCs/>
                <w:color w:val="000000"/>
                <w:sz w:val="20"/>
                <w:szCs w:val="20"/>
                <w:lang w:eastAsia="pl-PL"/>
              </w:rPr>
            </w:pPr>
            <w:r>
              <w:rPr>
                <w:rFonts w:ascii="Times New Roman" w:hAnsi="Times New Roman" w:eastAsia="Times New Roman" w:cs="Times New Roman"/>
                <w:i/>
                <w:iCs/>
                <w:color w:val="000000"/>
                <w:sz w:val="20"/>
                <w:szCs w:val="20"/>
                <w:lang w:eastAsia="pl-PL"/>
              </w:rPr>
              <w:t>ZASÓB</w:t>
            </w:r>
          </w:p>
        </w:tc>
        <w:tc>
          <w:tcPr>
            <w:tcW w:w="4209" w:type="pct"/>
            <w:gridSpan w:val="8"/>
            <w:tcBorders>
              <w:top w:val="single" w:color="auto" w:sz="4" w:space="0"/>
              <w:left w:val="nil"/>
              <w:bottom w:val="single" w:color="auto" w:sz="4" w:space="0"/>
              <w:right w:val="single" w:color="auto" w:sz="4" w:space="0"/>
            </w:tcBorders>
            <w:shd w:val="clear" w:color="auto" w:fill="auto"/>
            <w:vAlign w:val="center"/>
          </w:tcPr>
          <w:p w14:paraId="1E5E0C79">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Lesistość i pagórkowatość terenu, walory krajobrazowe, struktura wieku i napływ ludności, bliskość Krakowa </w:t>
            </w:r>
          </w:p>
        </w:tc>
      </w:tr>
      <w:tr w14:paraId="24C191AA">
        <w:tblPrEx>
          <w:tblCellMar>
            <w:top w:w="0" w:type="dxa"/>
            <w:left w:w="70" w:type="dxa"/>
            <w:bottom w:w="0" w:type="dxa"/>
            <w:right w:w="70" w:type="dxa"/>
          </w:tblCellMar>
        </w:tblPrEx>
        <w:trPr>
          <w:trHeight w:val="592" w:hRule="atLeast"/>
        </w:trPr>
        <w:tc>
          <w:tcPr>
            <w:tcW w:w="7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03FC99">
            <w:pPr>
              <w:spacing w:after="0" w:line="240" w:lineRule="auto"/>
              <w:jc w:val="center"/>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CEL</w:t>
            </w:r>
          </w:p>
        </w:tc>
        <w:tc>
          <w:tcPr>
            <w:tcW w:w="4209" w:type="pct"/>
            <w:gridSpan w:val="8"/>
            <w:tcBorders>
              <w:top w:val="single" w:color="auto" w:sz="4" w:space="0"/>
              <w:left w:val="nil"/>
              <w:bottom w:val="single" w:color="auto" w:sz="4" w:space="0"/>
              <w:right w:val="single" w:color="auto" w:sz="4" w:space="0"/>
            </w:tcBorders>
            <w:shd w:val="clear" w:color="auto" w:fill="auto"/>
            <w:vAlign w:val="center"/>
          </w:tcPr>
          <w:p w14:paraId="67FE604E">
            <w:pPr>
              <w:spacing w:after="0" w:line="240" w:lineRule="auto"/>
              <w:jc w:val="center"/>
              <w:rPr>
                <w:rFonts w:ascii="Times New Roman" w:hAnsi="Times New Roman" w:eastAsia="Times New Roman" w:cs="Times New Roman"/>
                <w:b/>
                <w:bCs/>
                <w:color w:val="000000"/>
                <w:sz w:val="32"/>
                <w:szCs w:val="32"/>
                <w:lang w:eastAsia="pl-PL"/>
              </w:rPr>
            </w:pPr>
            <w:r>
              <w:rPr>
                <w:rFonts w:ascii="Times New Roman" w:hAnsi="Times New Roman" w:eastAsia="Times New Roman" w:cs="Times New Roman"/>
                <w:b/>
                <w:bCs/>
                <w:color w:val="000000"/>
                <w:sz w:val="32"/>
                <w:szCs w:val="32"/>
                <w:lang w:eastAsia="pl-PL"/>
              </w:rPr>
              <w:t>Utworzenie Myślenickiej Strefy Przemysłu Czasu Wolnego</w:t>
            </w:r>
          </w:p>
        </w:tc>
      </w:tr>
      <w:tr w14:paraId="702CC887">
        <w:tblPrEx>
          <w:tblCellMar>
            <w:top w:w="0" w:type="dxa"/>
            <w:left w:w="70" w:type="dxa"/>
            <w:bottom w:w="0" w:type="dxa"/>
            <w:right w:w="70" w:type="dxa"/>
          </w:tblCellMar>
        </w:tblPrEx>
        <w:trPr>
          <w:trHeight w:val="1050" w:hRule="atLeast"/>
        </w:trPr>
        <w:tc>
          <w:tcPr>
            <w:tcW w:w="641" w:type="pct"/>
            <w:tcBorders>
              <w:top w:val="nil"/>
              <w:left w:val="single" w:color="auto" w:sz="4" w:space="0"/>
              <w:bottom w:val="single" w:color="auto" w:sz="4" w:space="0"/>
              <w:right w:val="single" w:color="auto" w:sz="4" w:space="0"/>
            </w:tcBorders>
            <w:shd w:val="clear" w:color="auto" w:fill="auto"/>
            <w:vAlign w:val="center"/>
          </w:tcPr>
          <w:p w14:paraId="30FDEDDE">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Zidentyfikowana przyczyna problemu </w:t>
            </w:r>
          </w:p>
        </w:tc>
        <w:tc>
          <w:tcPr>
            <w:tcW w:w="821" w:type="pct"/>
            <w:gridSpan w:val="2"/>
            <w:tcBorders>
              <w:top w:val="single" w:color="auto" w:sz="4" w:space="0"/>
              <w:left w:val="nil"/>
              <w:bottom w:val="single" w:color="auto" w:sz="4" w:space="0"/>
              <w:right w:val="single" w:color="auto" w:sz="4" w:space="0"/>
            </w:tcBorders>
            <w:shd w:val="clear" w:color="auto" w:fill="auto"/>
            <w:vAlign w:val="center"/>
          </w:tcPr>
          <w:p w14:paraId="189B1F97">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Przedsięwzięcie</w:t>
            </w:r>
          </w:p>
        </w:tc>
        <w:tc>
          <w:tcPr>
            <w:tcW w:w="456" w:type="pct"/>
            <w:tcBorders>
              <w:top w:val="nil"/>
              <w:left w:val="nil"/>
              <w:bottom w:val="single" w:color="auto" w:sz="4" w:space="0"/>
              <w:right w:val="single" w:color="auto" w:sz="4" w:space="0"/>
            </w:tcBorders>
            <w:shd w:val="clear" w:color="auto" w:fill="auto"/>
            <w:vAlign w:val="center"/>
          </w:tcPr>
          <w:p w14:paraId="12179157">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Możliwy zakres wsparcia</w:t>
            </w:r>
          </w:p>
        </w:tc>
        <w:tc>
          <w:tcPr>
            <w:tcW w:w="751" w:type="pct"/>
            <w:tcBorders>
              <w:top w:val="nil"/>
              <w:left w:val="nil"/>
              <w:bottom w:val="single" w:color="auto" w:sz="4" w:space="0"/>
              <w:right w:val="single" w:color="auto" w:sz="4" w:space="0"/>
            </w:tcBorders>
            <w:shd w:val="clear" w:color="auto" w:fill="auto"/>
            <w:vAlign w:val="center"/>
          </w:tcPr>
          <w:p w14:paraId="2D2F73E6">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Zakres wsparcia z WPR / charakter</w:t>
            </w:r>
          </w:p>
        </w:tc>
        <w:tc>
          <w:tcPr>
            <w:tcW w:w="338" w:type="pct"/>
            <w:tcBorders>
              <w:top w:val="nil"/>
              <w:left w:val="nil"/>
              <w:bottom w:val="single" w:color="auto" w:sz="4" w:space="0"/>
              <w:right w:val="single" w:color="auto" w:sz="4" w:space="0"/>
            </w:tcBorders>
            <w:shd w:val="clear" w:color="auto" w:fill="auto"/>
            <w:vAlign w:val="center"/>
          </w:tcPr>
          <w:p w14:paraId="107E085D">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Poziom dofinansowania</w:t>
            </w:r>
          </w:p>
        </w:tc>
        <w:tc>
          <w:tcPr>
            <w:tcW w:w="602" w:type="pct"/>
            <w:tcBorders>
              <w:top w:val="nil"/>
              <w:left w:val="nil"/>
              <w:bottom w:val="single" w:color="auto" w:sz="4" w:space="0"/>
              <w:right w:val="single" w:color="auto" w:sz="4" w:space="0"/>
            </w:tcBorders>
            <w:shd w:val="clear" w:color="auto" w:fill="auto"/>
            <w:vAlign w:val="center"/>
          </w:tcPr>
          <w:p w14:paraId="4E13880A">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Możliwy Wnioskodawca</w:t>
            </w:r>
          </w:p>
        </w:tc>
        <w:tc>
          <w:tcPr>
            <w:tcW w:w="620" w:type="pct"/>
            <w:tcBorders>
              <w:top w:val="nil"/>
              <w:left w:val="nil"/>
              <w:bottom w:val="single" w:color="auto" w:sz="4" w:space="0"/>
              <w:right w:val="single" w:color="auto" w:sz="4" w:space="0"/>
            </w:tcBorders>
            <w:shd w:val="clear" w:color="auto" w:fill="auto"/>
            <w:vAlign w:val="center"/>
          </w:tcPr>
          <w:p w14:paraId="5E56C092">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Grupy docelowe</w:t>
            </w:r>
          </w:p>
        </w:tc>
        <w:tc>
          <w:tcPr>
            <w:tcW w:w="446" w:type="pct"/>
            <w:tcBorders>
              <w:top w:val="nil"/>
              <w:left w:val="nil"/>
              <w:bottom w:val="single" w:color="auto" w:sz="4" w:space="0"/>
              <w:right w:val="single" w:color="auto" w:sz="4" w:space="0"/>
            </w:tcBorders>
            <w:shd w:val="clear" w:color="auto" w:fill="auto"/>
            <w:vAlign w:val="center"/>
          </w:tcPr>
          <w:p w14:paraId="4126922E">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Sposób realizacji</w:t>
            </w:r>
          </w:p>
        </w:tc>
        <w:tc>
          <w:tcPr>
            <w:tcW w:w="324" w:type="pct"/>
            <w:tcBorders>
              <w:top w:val="nil"/>
              <w:left w:val="nil"/>
              <w:bottom w:val="single" w:color="auto" w:sz="4" w:space="0"/>
              <w:right w:val="single" w:color="auto" w:sz="4" w:space="0"/>
            </w:tcBorders>
            <w:shd w:val="clear" w:color="auto" w:fill="auto"/>
            <w:vAlign w:val="center"/>
          </w:tcPr>
          <w:p w14:paraId="7FC2D330">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Budżet w ramach WPR [euro]</w:t>
            </w:r>
          </w:p>
        </w:tc>
      </w:tr>
      <w:tr w14:paraId="38B0096C">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0115D90F">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Braki w infrastrukturze publicznej</w:t>
            </w:r>
          </w:p>
        </w:tc>
        <w:tc>
          <w:tcPr>
            <w:tcW w:w="150" w:type="pct"/>
            <w:tcBorders>
              <w:top w:val="single" w:color="auto" w:sz="4" w:space="0"/>
              <w:left w:val="nil"/>
              <w:bottom w:val="single" w:color="auto" w:sz="4" w:space="0"/>
              <w:right w:val="single" w:color="auto" w:sz="4" w:space="0"/>
            </w:tcBorders>
            <w:shd w:val="clear" w:color="auto" w:fill="auto"/>
            <w:vAlign w:val="center"/>
          </w:tcPr>
          <w:p w14:paraId="3E34CB3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w:t>
            </w:r>
          </w:p>
        </w:tc>
        <w:tc>
          <w:tcPr>
            <w:tcW w:w="671" w:type="pct"/>
            <w:tcBorders>
              <w:top w:val="single" w:color="auto" w:sz="4" w:space="0"/>
              <w:left w:val="nil"/>
              <w:bottom w:val="single" w:color="auto" w:sz="4" w:space="0"/>
              <w:right w:val="single" w:color="auto" w:sz="4" w:space="0"/>
            </w:tcBorders>
            <w:shd w:val="clear" w:color="auto" w:fill="auto"/>
            <w:vAlign w:val="center"/>
          </w:tcPr>
          <w:p w14:paraId="0A651B1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Rozbudowa oferty infrastruktury publicznej </w:t>
            </w:r>
          </w:p>
        </w:tc>
        <w:tc>
          <w:tcPr>
            <w:tcW w:w="456" w:type="pct"/>
            <w:tcBorders>
              <w:top w:val="single" w:color="auto" w:sz="4" w:space="0"/>
              <w:left w:val="nil"/>
              <w:bottom w:val="single" w:color="auto" w:sz="4" w:space="0"/>
              <w:right w:val="single" w:color="auto" w:sz="4" w:space="0"/>
            </w:tcBorders>
            <w:shd w:val="clear" w:color="auto" w:fill="auto"/>
            <w:vAlign w:val="center"/>
          </w:tcPr>
          <w:p w14:paraId="63CCBD9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Doposażenie instytucji kultury, budowa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rozbudowa infrastruktury publicznej </w:t>
            </w:r>
          </w:p>
        </w:tc>
        <w:tc>
          <w:tcPr>
            <w:tcW w:w="751" w:type="pct"/>
            <w:tcBorders>
              <w:top w:val="single" w:color="auto" w:sz="4" w:space="0"/>
              <w:left w:val="nil"/>
              <w:bottom w:val="single" w:color="auto" w:sz="4" w:space="0"/>
              <w:right w:val="single" w:color="auto" w:sz="4" w:space="0"/>
            </w:tcBorders>
            <w:shd w:val="clear" w:color="auto" w:fill="auto"/>
            <w:vAlign w:val="center"/>
          </w:tcPr>
          <w:p w14:paraId="4092E05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6. Poprawa dostępu do małej infrastruktury publicznej;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5DB62FB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75%</w:t>
            </w:r>
          </w:p>
        </w:tc>
        <w:tc>
          <w:tcPr>
            <w:tcW w:w="602" w:type="pct"/>
            <w:tcBorders>
              <w:top w:val="single" w:color="auto" w:sz="4" w:space="0"/>
              <w:left w:val="nil"/>
              <w:bottom w:val="single" w:color="auto" w:sz="4" w:space="0"/>
              <w:right w:val="single" w:color="auto" w:sz="4" w:space="0"/>
            </w:tcBorders>
            <w:shd w:val="clear" w:color="auto" w:fill="auto"/>
            <w:vAlign w:val="center"/>
          </w:tcPr>
          <w:p w14:paraId="3150865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JSFP</w:t>
            </w:r>
          </w:p>
        </w:tc>
        <w:tc>
          <w:tcPr>
            <w:tcW w:w="620" w:type="pct"/>
            <w:tcBorders>
              <w:top w:val="single" w:color="auto" w:sz="4" w:space="0"/>
              <w:left w:val="nil"/>
              <w:bottom w:val="single" w:color="auto" w:sz="4" w:space="0"/>
              <w:right w:val="single" w:color="auto" w:sz="4" w:space="0"/>
            </w:tcBorders>
            <w:shd w:val="clear" w:color="auto" w:fill="auto"/>
            <w:vAlign w:val="center"/>
          </w:tcPr>
          <w:p w14:paraId="793DDCA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55466C2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Wnioskodawca inny niż LGD </w:t>
            </w:r>
          </w:p>
        </w:tc>
        <w:tc>
          <w:tcPr>
            <w:tcW w:w="324" w:type="pct"/>
            <w:tcBorders>
              <w:top w:val="single" w:color="auto" w:sz="4" w:space="0"/>
              <w:left w:val="nil"/>
              <w:bottom w:val="single" w:color="auto" w:sz="4" w:space="0"/>
              <w:right w:val="single" w:color="auto" w:sz="4" w:space="0"/>
            </w:tcBorders>
            <w:shd w:val="clear" w:color="auto" w:fill="auto"/>
            <w:vAlign w:val="center"/>
          </w:tcPr>
          <w:p w14:paraId="09AFCF4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€ 490 000 </w:t>
            </w:r>
          </w:p>
        </w:tc>
      </w:tr>
      <w:tr w14:paraId="3A21A0F3">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54664F45">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Braki w infrastrukturze publicznej</w:t>
            </w:r>
          </w:p>
        </w:tc>
        <w:tc>
          <w:tcPr>
            <w:tcW w:w="150" w:type="pct"/>
            <w:tcBorders>
              <w:top w:val="single" w:color="auto" w:sz="4" w:space="0"/>
              <w:left w:val="nil"/>
              <w:bottom w:val="single" w:color="auto" w:sz="4" w:space="0"/>
              <w:right w:val="single" w:color="auto" w:sz="4" w:space="0"/>
            </w:tcBorders>
            <w:shd w:val="clear" w:color="auto" w:fill="auto"/>
            <w:vAlign w:val="center"/>
          </w:tcPr>
          <w:p w14:paraId="73FBFE8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1.2</w:t>
            </w:r>
          </w:p>
        </w:tc>
        <w:tc>
          <w:tcPr>
            <w:tcW w:w="671" w:type="pct"/>
            <w:tcBorders>
              <w:top w:val="single" w:color="auto" w:sz="4" w:space="0"/>
              <w:left w:val="nil"/>
              <w:bottom w:val="single" w:color="auto" w:sz="4" w:space="0"/>
              <w:right w:val="single" w:color="auto" w:sz="4" w:space="0"/>
            </w:tcBorders>
            <w:shd w:val="clear" w:color="auto" w:fill="auto"/>
            <w:vAlign w:val="center"/>
          </w:tcPr>
          <w:p w14:paraId="255F7F0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Rozbudowa oferty infrastruktury publicznej wynikającej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opracowanych Koncepcji Smart Village</w:t>
            </w:r>
          </w:p>
        </w:tc>
        <w:tc>
          <w:tcPr>
            <w:tcW w:w="456" w:type="pct"/>
            <w:tcBorders>
              <w:top w:val="single" w:color="auto" w:sz="4" w:space="0"/>
              <w:left w:val="nil"/>
              <w:bottom w:val="single" w:color="auto" w:sz="4" w:space="0"/>
              <w:right w:val="single" w:color="auto" w:sz="4" w:space="0"/>
            </w:tcBorders>
            <w:shd w:val="clear" w:color="auto" w:fill="auto"/>
            <w:vAlign w:val="center"/>
          </w:tcPr>
          <w:p w14:paraId="5B999D4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Doposażenie instytucji kultury, budowa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rozbudowa infrastruktury publicznej </w:t>
            </w:r>
          </w:p>
        </w:tc>
        <w:tc>
          <w:tcPr>
            <w:tcW w:w="751" w:type="pct"/>
            <w:tcBorders>
              <w:top w:val="single" w:color="auto" w:sz="4" w:space="0"/>
              <w:left w:val="nil"/>
              <w:bottom w:val="single" w:color="auto" w:sz="4" w:space="0"/>
              <w:right w:val="single" w:color="auto" w:sz="4" w:space="0"/>
            </w:tcBorders>
            <w:shd w:val="clear" w:color="auto" w:fill="auto"/>
            <w:vAlign w:val="center"/>
          </w:tcPr>
          <w:p w14:paraId="2F3406F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6. Poprawa dostępu do małej infrastruktury publicznej;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79FCC8F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75%</w:t>
            </w:r>
          </w:p>
        </w:tc>
        <w:tc>
          <w:tcPr>
            <w:tcW w:w="602" w:type="pct"/>
            <w:tcBorders>
              <w:top w:val="single" w:color="auto" w:sz="4" w:space="0"/>
              <w:left w:val="nil"/>
              <w:bottom w:val="single" w:color="auto" w:sz="4" w:space="0"/>
              <w:right w:val="single" w:color="auto" w:sz="4" w:space="0"/>
            </w:tcBorders>
            <w:shd w:val="clear" w:color="auto" w:fill="auto"/>
            <w:vAlign w:val="center"/>
          </w:tcPr>
          <w:p w14:paraId="71B76AC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JSFP</w:t>
            </w:r>
          </w:p>
        </w:tc>
        <w:tc>
          <w:tcPr>
            <w:tcW w:w="620" w:type="pct"/>
            <w:tcBorders>
              <w:top w:val="single" w:color="auto" w:sz="4" w:space="0"/>
              <w:left w:val="nil"/>
              <w:bottom w:val="single" w:color="auto" w:sz="4" w:space="0"/>
              <w:right w:val="single" w:color="auto" w:sz="4" w:space="0"/>
            </w:tcBorders>
            <w:shd w:val="clear" w:color="auto" w:fill="auto"/>
            <w:vAlign w:val="center"/>
          </w:tcPr>
          <w:p w14:paraId="2488184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141745D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Wnioskodawca inny niż LGD </w:t>
            </w:r>
          </w:p>
        </w:tc>
        <w:tc>
          <w:tcPr>
            <w:tcW w:w="324" w:type="pct"/>
            <w:tcBorders>
              <w:top w:val="single" w:color="auto" w:sz="4" w:space="0"/>
              <w:left w:val="nil"/>
              <w:bottom w:val="single" w:color="auto" w:sz="4" w:space="0"/>
              <w:right w:val="single" w:color="auto" w:sz="4" w:space="0"/>
            </w:tcBorders>
            <w:shd w:val="clear" w:color="auto" w:fill="auto"/>
            <w:vAlign w:val="center"/>
          </w:tcPr>
          <w:p w14:paraId="5BDFF75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€ 490 000 </w:t>
            </w:r>
          </w:p>
        </w:tc>
      </w:tr>
      <w:tr w14:paraId="67EA47C5">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37284EEA">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Braki w infrastrukturze publicznej</w:t>
            </w:r>
          </w:p>
        </w:tc>
        <w:tc>
          <w:tcPr>
            <w:tcW w:w="150" w:type="pct"/>
            <w:tcBorders>
              <w:top w:val="single" w:color="auto" w:sz="4" w:space="0"/>
              <w:left w:val="nil"/>
              <w:bottom w:val="single" w:color="auto" w:sz="4" w:space="0"/>
              <w:right w:val="single" w:color="auto" w:sz="4" w:space="0"/>
            </w:tcBorders>
            <w:shd w:val="clear" w:color="auto" w:fill="auto"/>
            <w:vAlign w:val="center"/>
          </w:tcPr>
          <w:p w14:paraId="2068292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1.3</w:t>
            </w:r>
          </w:p>
        </w:tc>
        <w:tc>
          <w:tcPr>
            <w:tcW w:w="671" w:type="pct"/>
            <w:tcBorders>
              <w:top w:val="single" w:color="auto" w:sz="4" w:space="0"/>
              <w:left w:val="nil"/>
              <w:bottom w:val="single" w:color="auto" w:sz="4" w:space="0"/>
              <w:right w:val="single" w:color="auto" w:sz="4" w:space="0"/>
            </w:tcBorders>
            <w:shd w:val="clear" w:color="auto" w:fill="auto"/>
            <w:vAlign w:val="center"/>
          </w:tcPr>
          <w:p w14:paraId="57003F5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Rozbudowa integracyjnej oferty infrastruktury publicznej </w:t>
            </w:r>
          </w:p>
        </w:tc>
        <w:tc>
          <w:tcPr>
            <w:tcW w:w="456" w:type="pct"/>
            <w:tcBorders>
              <w:top w:val="single" w:color="auto" w:sz="4" w:space="0"/>
              <w:left w:val="nil"/>
              <w:bottom w:val="single" w:color="auto" w:sz="4" w:space="0"/>
              <w:right w:val="single" w:color="auto" w:sz="4" w:space="0"/>
            </w:tcBorders>
            <w:shd w:val="clear" w:color="auto" w:fill="auto"/>
            <w:vAlign w:val="center"/>
          </w:tcPr>
          <w:p w14:paraId="3F8BF6C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Doposażenie instytucji kultury, budowa</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i rozbudowa infrastruktury publicznej </w:t>
            </w:r>
          </w:p>
        </w:tc>
        <w:tc>
          <w:tcPr>
            <w:tcW w:w="751" w:type="pct"/>
            <w:tcBorders>
              <w:top w:val="single" w:color="auto" w:sz="4" w:space="0"/>
              <w:left w:val="nil"/>
              <w:bottom w:val="single" w:color="auto" w:sz="4" w:space="0"/>
              <w:right w:val="single" w:color="auto" w:sz="4" w:space="0"/>
            </w:tcBorders>
            <w:shd w:val="clear" w:color="auto" w:fill="auto"/>
            <w:vAlign w:val="center"/>
          </w:tcPr>
          <w:p w14:paraId="778807C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6. Poprawa dostępu do małej infrastruktury publicznej;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389EB64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75%</w:t>
            </w:r>
          </w:p>
        </w:tc>
        <w:tc>
          <w:tcPr>
            <w:tcW w:w="602" w:type="pct"/>
            <w:tcBorders>
              <w:top w:val="single" w:color="auto" w:sz="4" w:space="0"/>
              <w:left w:val="nil"/>
              <w:bottom w:val="single" w:color="auto" w:sz="4" w:space="0"/>
              <w:right w:val="single" w:color="auto" w:sz="4" w:space="0"/>
            </w:tcBorders>
            <w:shd w:val="clear" w:color="auto" w:fill="auto"/>
            <w:vAlign w:val="center"/>
          </w:tcPr>
          <w:p w14:paraId="3BC2C38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JSFP</w:t>
            </w:r>
          </w:p>
        </w:tc>
        <w:tc>
          <w:tcPr>
            <w:tcW w:w="620" w:type="pct"/>
            <w:tcBorders>
              <w:top w:val="single" w:color="auto" w:sz="4" w:space="0"/>
              <w:left w:val="nil"/>
              <w:bottom w:val="single" w:color="auto" w:sz="4" w:space="0"/>
              <w:right w:val="single" w:color="auto" w:sz="4" w:space="0"/>
            </w:tcBorders>
            <w:shd w:val="clear" w:color="auto" w:fill="auto"/>
            <w:vAlign w:val="center"/>
          </w:tcPr>
          <w:p w14:paraId="39D45C8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Mieszkańcy,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osoby z niepełnosprawnościami i ich opiekunowie</w:t>
            </w:r>
          </w:p>
        </w:tc>
        <w:tc>
          <w:tcPr>
            <w:tcW w:w="446" w:type="pct"/>
            <w:tcBorders>
              <w:top w:val="single" w:color="auto" w:sz="4" w:space="0"/>
              <w:left w:val="nil"/>
              <w:bottom w:val="single" w:color="auto" w:sz="4" w:space="0"/>
              <w:right w:val="single" w:color="auto" w:sz="4" w:space="0"/>
            </w:tcBorders>
            <w:shd w:val="clear" w:color="auto" w:fill="auto"/>
            <w:vAlign w:val="center"/>
          </w:tcPr>
          <w:p w14:paraId="22ED6C6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Wnioskodawca inny niż LGD </w:t>
            </w:r>
          </w:p>
        </w:tc>
        <w:tc>
          <w:tcPr>
            <w:tcW w:w="324" w:type="pct"/>
            <w:tcBorders>
              <w:top w:val="single" w:color="auto" w:sz="4" w:space="0"/>
              <w:left w:val="nil"/>
              <w:bottom w:val="single" w:color="auto" w:sz="4" w:space="0"/>
              <w:right w:val="single" w:color="auto" w:sz="4" w:space="0"/>
            </w:tcBorders>
            <w:shd w:val="clear" w:color="auto" w:fill="auto"/>
            <w:vAlign w:val="center"/>
          </w:tcPr>
          <w:p w14:paraId="09644CF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€ 490 000 </w:t>
            </w:r>
          </w:p>
        </w:tc>
      </w:tr>
      <w:tr w14:paraId="442C2BD2">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21D043CF">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Niewystarczająca aktywność osób z niepełnosprawnościami</w:t>
            </w:r>
          </w:p>
        </w:tc>
        <w:tc>
          <w:tcPr>
            <w:tcW w:w="150" w:type="pct"/>
            <w:tcBorders>
              <w:top w:val="single" w:color="auto" w:sz="4" w:space="0"/>
              <w:left w:val="nil"/>
              <w:bottom w:val="single" w:color="auto" w:sz="4" w:space="0"/>
              <w:right w:val="single" w:color="auto" w:sz="4" w:space="0"/>
            </w:tcBorders>
            <w:shd w:val="clear" w:color="auto" w:fill="auto"/>
            <w:vAlign w:val="center"/>
          </w:tcPr>
          <w:p w14:paraId="4DC61D9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1.4</w:t>
            </w:r>
          </w:p>
        </w:tc>
        <w:tc>
          <w:tcPr>
            <w:tcW w:w="671" w:type="pct"/>
            <w:tcBorders>
              <w:top w:val="single" w:color="auto" w:sz="4" w:space="0"/>
              <w:left w:val="nil"/>
              <w:bottom w:val="single" w:color="auto" w:sz="4" w:space="0"/>
              <w:right w:val="single" w:color="auto" w:sz="4" w:space="0"/>
            </w:tcBorders>
            <w:shd w:val="clear" w:color="auto" w:fill="auto"/>
            <w:vAlign w:val="center"/>
          </w:tcPr>
          <w:p w14:paraId="446AD97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Integracja</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i wzmacnianie aktywności osób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w niekorzystnej sytuacji – osoby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z niepełnosprawnościami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ich opiekunowie</w:t>
            </w:r>
          </w:p>
        </w:tc>
        <w:tc>
          <w:tcPr>
            <w:tcW w:w="456" w:type="pct"/>
            <w:tcBorders>
              <w:top w:val="single" w:color="auto" w:sz="4" w:space="0"/>
              <w:left w:val="nil"/>
              <w:bottom w:val="single" w:color="auto" w:sz="4" w:space="0"/>
              <w:right w:val="single" w:color="auto" w:sz="4" w:space="0"/>
            </w:tcBorders>
            <w:shd w:val="clear" w:color="auto" w:fill="auto"/>
            <w:vAlign w:val="center"/>
          </w:tcPr>
          <w:p w14:paraId="5225845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0453F7B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8. Włączenie społeczne seniorów, ludzi młodych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osób w niekorzystnej sytuacji;</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2452309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001E20C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 i inne osoby prawne</w:t>
            </w:r>
          </w:p>
        </w:tc>
        <w:tc>
          <w:tcPr>
            <w:tcW w:w="620" w:type="pct"/>
            <w:tcBorders>
              <w:top w:val="single" w:color="auto" w:sz="4" w:space="0"/>
              <w:left w:val="nil"/>
              <w:bottom w:val="single" w:color="auto" w:sz="4" w:space="0"/>
              <w:right w:val="single" w:color="auto" w:sz="4" w:space="0"/>
            </w:tcBorders>
            <w:shd w:val="clear" w:color="auto" w:fill="auto"/>
            <w:vAlign w:val="center"/>
          </w:tcPr>
          <w:p w14:paraId="1EDBBCD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Mieszkańcy,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osoby z niepełnosprawnościami i ich opiekunowie</w:t>
            </w:r>
          </w:p>
        </w:tc>
        <w:tc>
          <w:tcPr>
            <w:tcW w:w="446" w:type="pct"/>
            <w:tcBorders>
              <w:top w:val="single" w:color="auto" w:sz="4" w:space="0"/>
              <w:left w:val="nil"/>
              <w:bottom w:val="single" w:color="auto" w:sz="4" w:space="0"/>
              <w:right w:val="single" w:color="auto" w:sz="4" w:space="0"/>
            </w:tcBorders>
            <w:shd w:val="clear" w:color="auto" w:fill="auto"/>
            <w:vAlign w:val="center"/>
          </w:tcPr>
          <w:p w14:paraId="6EE97D4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własny LGD</w:t>
            </w:r>
          </w:p>
        </w:tc>
        <w:tc>
          <w:tcPr>
            <w:tcW w:w="324" w:type="pct"/>
            <w:tcBorders>
              <w:top w:val="single" w:color="auto" w:sz="4" w:space="0"/>
              <w:left w:val="nil"/>
              <w:bottom w:val="single" w:color="auto" w:sz="4" w:space="0"/>
              <w:right w:val="single" w:color="auto" w:sz="4" w:space="0"/>
            </w:tcBorders>
            <w:shd w:val="clear" w:color="auto" w:fill="auto"/>
            <w:vAlign w:val="center"/>
          </w:tcPr>
          <w:p w14:paraId="0E789D0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€ 100 000 </w:t>
            </w:r>
          </w:p>
        </w:tc>
      </w:tr>
      <w:tr w14:paraId="1DE7A457">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6D99E5D0">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Niewystarczająca oferta rozwoju </w:t>
            </w:r>
            <w:r>
              <w:rPr>
                <w:rFonts w:ascii="Times New Roman" w:hAnsi="Times New Roman" w:eastAsia="Times New Roman" w:cs="Times New Roman"/>
                <w:i/>
                <w:iCs/>
                <w:color w:val="000000"/>
                <w:sz w:val="18"/>
                <w:szCs w:val="18"/>
                <w:lang w:eastAsia="pl-PL"/>
              </w:rPr>
              <w:br w:type="textWrapping"/>
            </w:r>
            <w:r>
              <w:rPr>
                <w:rFonts w:ascii="Times New Roman" w:hAnsi="Times New Roman" w:eastAsia="Times New Roman" w:cs="Times New Roman"/>
                <w:i/>
                <w:iCs/>
                <w:color w:val="000000"/>
                <w:sz w:val="18"/>
                <w:szCs w:val="18"/>
                <w:lang w:eastAsia="pl-PL"/>
              </w:rPr>
              <w:t xml:space="preserve">i zagospodarowania czasu wolnego </w:t>
            </w:r>
          </w:p>
        </w:tc>
        <w:tc>
          <w:tcPr>
            <w:tcW w:w="150" w:type="pct"/>
            <w:tcBorders>
              <w:top w:val="single" w:color="auto" w:sz="4" w:space="0"/>
              <w:left w:val="nil"/>
              <w:bottom w:val="single" w:color="auto" w:sz="4" w:space="0"/>
              <w:right w:val="single" w:color="auto" w:sz="4" w:space="0"/>
            </w:tcBorders>
            <w:shd w:val="clear" w:color="auto" w:fill="auto"/>
            <w:vAlign w:val="center"/>
          </w:tcPr>
          <w:p w14:paraId="4412443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1.5</w:t>
            </w:r>
          </w:p>
        </w:tc>
        <w:tc>
          <w:tcPr>
            <w:tcW w:w="671" w:type="pct"/>
            <w:tcBorders>
              <w:top w:val="single" w:color="auto" w:sz="4" w:space="0"/>
              <w:left w:val="nil"/>
              <w:bottom w:val="single" w:color="auto" w:sz="4" w:space="0"/>
              <w:right w:val="single" w:color="auto" w:sz="4" w:space="0"/>
            </w:tcBorders>
            <w:shd w:val="clear" w:color="auto" w:fill="auto"/>
            <w:vAlign w:val="center"/>
          </w:tcPr>
          <w:p w14:paraId="0BCEC75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Poznanie i zachowanie dziedzictwa kulturowego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naturalnego</w:t>
            </w:r>
          </w:p>
        </w:tc>
        <w:tc>
          <w:tcPr>
            <w:tcW w:w="456" w:type="pct"/>
            <w:tcBorders>
              <w:top w:val="single" w:color="auto" w:sz="4" w:space="0"/>
              <w:left w:val="nil"/>
              <w:bottom w:val="single" w:color="auto" w:sz="4" w:space="0"/>
              <w:right w:val="single" w:color="auto" w:sz="4" w:space="0"/>
            </w:tcBorders>
            <w:shd w:val="clear" w:color="auto" w:fill="auto"/>
            <w:vAlign w:val="center"/>
          </w:tcPr>
          <w:p w14:paraId="16C34A8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5D0DD2C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8. Włączenie społeczne seniorów, ludzi młodych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osób w niekorzystnej sytuacji;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765D45E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734EE48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w:t>
            </w:r>
          </w:p>
        </w:tc>
        <w:tc>
          <w:tcPr>
            <w:tcW w:w="620" w:type="pct"/>
            <w:tcBorders>
              <w:top w:val="single" w:color="auto" w:sz="4" w:space="0"/>
              <w:left w:val="nil"/>
              <w:bottom w:val="single" w:color="auto" w:sz="4" w:space="0"/>
              <w:right w:val="single" w:color="auto" w:sz="4" w:space="0"/>
            </w:tcBorders>
            <w:shd w:val="clear" w:color="auto" w:fill="auto"/>
            <w:vAlign w:val="center"/>
          </w:tcPr>
          <w:p w14:paraId="34A167B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do 25. roku życia</w:t>
            </w:r>
          </w:p>
        </w:tc>
        <w:tc>
          <w:tcPr>
            <w:tcW w:w="446" w:type="pct"/>
            <w:tcBorders>
              <w:top w:val="single" w:color="auto" w:sz="4" w:space="0"/>
              <w:left w:val="nil"/>
              <w:bottom w:val="single" w:color="auto" w:sz="4" w:space="0"/>
              <w:right w:val="single" w:color="auto" w:sz="4" w:space="0"/>
            </w:tcBorders>
            <w:shd w:val="clear" w:color="auto" w:fill="auto"/>
            <w:vAlign w:val="center"/>
          </w:tcPr>
          <w:p w14:paraId="2F1456C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grantowy</w:t>
            </w:r>
          </w:p>
        </w:tc>
        <w:tc>
          <w:tcPr>
            <w:tcW w:w="324" w:type="pct"/>
            <w:tcBorders>
              <w:top w:val="single" w:color="auto" w:sz="4" w:space="0"/>
              <w:left w:val="nil"/>
              <w:bottom w:val="single" w:color="auto" w:sz="4" w:space="0"/>
              <w:right w:val="single" w:color="auto" w:sz="4" w:space="0"/>
            </w:tcBorders>
            <w:shd w:val="clear" w:color="auto" w:fill="auto"/>
            <w:vAlign w:val="center"/>
          </w:tcPr>
          <w:p w14:paraId="3A5304B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€ 100 000 </w:t>
            </w:r>
          </w:p>
        </w:tc>
      </w:tr>
      <w:tr w14:paraId="7250C022">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5A984D42">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Niewystarczająca oferta rozwoju </w:t>
            </w:r>
            <w:r>
              <w:rPr>
                <w:rFonts w:ascii="Times New Roman" w:hAnsi="Times New Roman" w:eastAsia="Times New Roman" w:cs="Times New Roman"/>
                <w:i/>
                <w:iCs/>
                <w:color w:val="000000"/>
                <w:sz w:val="18"/>
                <w:szCs w:val="18"/>
                <w:lang w:eastAsia="pl-PL"/>
              </w:rPr>
              <w:br w:type="textWrapping"/>
            </w:r>
            <w:r>
              <w:rPr>
                <w:rFonts w:ascii="Times New Roman" w:hAnsi="Times New Roman" w:eastAsia="Times New Roman" w:cs="Times New Roman"/>
                <w:i/>
                <w:iCs/>
                <w:color w:val="000000"/>
                <w:sz w:val="18"/>
                <w:szCs w:val="18"/>
                <w:lang w:eastAsia="pl-PL"/>
              </w:rPr>
              <w:t xml:space="preserve">i zagospodarowania czasu wolnego </w:t>
            </w:r>
          </w:p>
        </w:tc>
        <w:tc>
          <w:tcPr>
            <w:tcW w:w="150" w:type="pct"/>
            <w:tcBorders>
              <w:top w:val="single" w:color="auto" w:sz="4" w:space="0"/>
              <w:left w:val="nil"/>
              <w:bottom w:val="single" w:color="auto" w:sz="4" w:space="0"/>
              <w:right w:val="single" w:color="auto" w:sz="4" w:space="0"/>
            </w:tcBorders>
            <w:shd w:val="clear" w:color="auto" w:fill="auto"/>
            <w:vAlign w:val="center"/>
          </w:tcPr>
          <w:p w14:paraId="1FD8CAE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1.6</w:t>
            </w:r>
          </w:p>
        </w:tc>
        <w:tc>
          <w:tcPr>
            <w:tcW w:w="671" w:type="pct"/>
            <w:tcBorders>
              <w:top w:val="single" w:color="auto" w:sz="4" w:space="0"/>
              <w:left w:val="nil"/>
              <w:bottom w:val="single" w:color="auto" w:sz="4" w:space="0"/>
              <w:right w:val="single" w:color="auto" w:sz="4" w:space="0"/>
            </w:tcBorders>
            <w:shd w:val="clear" w:color="auto" w:fill="auto"/>
            <w:vAlign w:val="center"/>
          </w:tcPr>
          <w:p w14:paraId="5AEC9EF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Włączenia cyfrowe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aktywizacja </w:t>
            </w:r>
          </w:p>
        </w:tc>
        <w:tc>
          <w:tcPr>
            <w:tcW w:w="456" w:type="pct"/>
            <w:tcBorders>
              <w:top w:val="single" w:color="auto" w:sz="4" w:space="0"/>
              <w:left w:val="nil"/>
              <w:bottom w:val="single" w:color="auto" w:sz="4" w:space="0"/>
              <w:right w:val="single" w:color="auto" w:sz="4" w:space="0"/>
            </w:tcBorders>
            <w:shd w:val="clear" w:color="auto" w:fill="auto"/>
            <w:vAlign w:val="center"/>
          </w:tcPr>
          <w:p w14:paraId="429A3EA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32630C0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8. Włączenie społeczne seniorów, ludzi młodych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osób w niekorzystnej sytuacji;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1CD11D3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1D5ABB6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w:t>
            </w:r>
          </w:p>
        </w:tc>
        <w:tc>
          <w:tcPr>
            <w:tcW w:w="620" w:type="pct"/>
            <w:tcBorders>
              <w:top w:val="single" w:color="auto" w:sz="4" w:space="0"/>
              <w:left w:val="nil"/>
              <w:bottom w:val="single" w:color="auto" w:sz="4" w:space="0"/>
              <w:right w:val="single" w:color="auto" w:sz="4" w:space="0"/>
            </w:tcBorders>
            <w:shd w:val="clear" w:color="auto" w:fill="auto"/>
            <w:vAlign w:val="center"/>
          </w:tcPr>
          <w:p w14:paraId="3CD4DC0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powyżej 60. roku życia</w:t>
            </w:r>
          </w:p>
        </w:tc>
        <w:tc>
          <w:tcPr>
            <w:tcW w:w="446" w:type="pct"/>
            <w:tcBorders>
              <w:top w:val="single" w:color="auto" w:sz="4" w:space="0"/>
              <w:left w:val="nil"/>
              <w:bottom w:val="single" w:color="auto" w:sz="4" w:space="0"/>
              <w:right w:val="single" w:color="auto" w:sz="4" w:space="0"/>
            </w:tcBorders>
            <w:shd w:val="clear" w:color="auto" w:fill="auto"/>
            <w:vAlign w:val="center"/>
          </w:tcPr>
          <w:p w14:paraId="4D0AB2F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grantowy</w:t>
            </w:r>
          </w:p>
        </w:tc>
        <w:tc>
          <w:tcPr>
            <w:tcW w:w="324" w:type="pct"/>
            <w:tcBorders>
              <w:top w:val="single" w:color="auto" w:sz="4" w:space="0"/>
              <w:left w:val="nil"/>
              <w:bottom w:val="single" w:color="auto" w:sz="4" w:space="0"/>
              <w:right w:val="single" w:color="auto" w:sz="4" w:space="0"/>
            </w:tcBorders>
            <w:shd w:val="clear" w:color="auto" w:fill="auto"/>
            <w:vAlign w:val="center"/>
          </w:tcPr>
          <w:p w14:paraId="2E7FA7A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€ 100 000 </w:t>
            </w:r>
          </w:p>
        </w:tc>
      </w:tr>
      <w:tr w14:paraId="14D97172">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1EE7D735">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Mała aktywność organizacji pozarządowych </w:t>
            </w:r>
          </w:p>
        </w:tc>
        <w:tc>
          <w:tcPr>
            <w:tcW w:w="150" w:type="pct"/>
            <w:tcBorders>
              <w:top w:val="single" w:color="auto" w:sz="4" w:space="0"/>
              <w:left w:val="nil"/>
              <w:bottom w:val="single" w:color="auto" w:sz="4" w:space="0"/>
              <w:right w:val="single" w:color="auto" w:sz="4" w:space="0"/>
            </w:tcBorders>
            <w:shd w:val="clear" w:color="auto" w:fill="auto"/>
            <w:vAlign w:val="center"/>
          </w:tcPr>
          <w:p w14:paraId="3F37D3A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1.7</w:t>
            </w:r>
          </w:p>
        </w:tc>
        <w:tc>
          <w:tcPr>
            <w:tcW w:w="671" w:type="pct"/>
            <w:tcBorders>
              <w:top w:val="single" w:color="auto" w:sz="4" w:space="0"/>
              <w:left w:val="nil"/>
              <w:bottom w:val="single" w:color="auto" w:sz="4" w:space="0"/>
              <w:right w:val="single" w:color="auto" w:sz="4" w:space="0"/>
            </w:tcBorders>
            <w:shd w:val="clear" w:color="auto" w:fill="auto"/>
            <w:vAlign w:val="center"/>
          </w:tcPr>
          <w:p w14:paraId="5BBFD83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Zwiększenie oferty spędzania czasu wolnego wykorzystującej dziedzictwo naturalne i/lub kulturowe wynikających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z Koncepcji Smart Village – operacje realizowane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w partnerstwie lokalnym</w:t>
            </w:r>
          </w:p>
        </w:tc>
        <w:tc>
          <w:tcPr>
            <w:tcW w:w="456" w:type="pct"/>
            <w:tcBorders>
              <w:top w:val="single" w:color="auto" w:sz="4" w:space="0"/>
              <w:left w:val="nil"/>
              <w:bottom w:val="single" w:color="auto" w:sz="4" w:space="0"/>
              <w:right w:val="single" w:color="auto" w:sz="4" w:space="0"/>
            </w:tcBorders>
            <w:shd w:val="clear" w:color="auto" w:fill="auto"/>
            <w:vAlign w:val="center"/>
          </w:tcPr>
          <w:p w14:paraId="69D62C9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587A683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4. Poprawa dostępu do usług dla lokalnych społeczności; 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6AFBDB8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5B214E3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Osoby prawne</w:t>
            </w:r>
          </w:p>
        </w:tc>
        <w:tc>
          <w:tcPr>
            <w:tcW w:w="620" w:type="pct"/>
            <w:tcBorders>
              <w:top w:val="single" w:color="auto" w:sz="4" w:space="0"/>
              <w:left w:val="nil"/>
              <w:bottom w:val="single" w:color="auto" w:sz="4" w:space="0"/>
              <w:right w:val="single" w:color="auto" w:sz="4" w:space="0"/>
            </w:tcBorders>
            <w:shd w:val="clear" w:color="auto" w:fill="auto"/>
            <w:vAlign w:val="center"/>
          </w:tcPr>
          <w:p w14:paraId="27C35A9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organizacje pozarządowe</w:t>
            </w:r>
          </w:p>
        </w:tc>
        <w:tc>
          <w:tcPr>
            <w:tcW w:w="446" w:type="pct"/>
            <w:tcBorders>
              <w:top w:val="single" w:color="auto" w:sz="4" w:space="0"/>
              <w:left w:val="nil"/>
              <w:bottom w:val="single" w:color="auto" w:sz="4" w:space="0"/>
              <w:right w:val="single" w:color="auto" w:sz="4" w:space="0"/>
            </w:tcBorders>
            <w:shd w:val="clear" w:color="auto" w:fill="auto"/>
            <w:vAlign w:val="center"/>
          </w:tcPr>
          <w:p w14:paraId="0C774A4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Wnioskodawca inny niż LGD </w:t>
            </w:r>
          </w:p>
        </w:tc>
        <w:tc>
          <w:tcPr>
            <w:tcW w:w="324" w:type="pct"/>
            <w:tcBorders>
              <w:top w:val="single" w:color="auto" w:sz="4" w:space="0"/>
              <w:left w:val="nil"/>
              <w:bottom w:val="single" w:color="auto" w:sz="4" w:space="0"/>
              <w:right w:val="single" w:color="auto" w:sz="4" w:space="0"/>
            </w:tcBorders>
            <w:shd w:val="clear" w:color="auto" w:fill="auto"/>
            <w:vAlign w:val="center"/>
          </w:tcPr>
          <w:p w14:paraId="5769E74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€ 300 000 </w:t>
            </w:r>
          </w:p>
        </w:tc>
      </w:tr>
      <w:tr w14:paraId="30EBAE6C">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74E1EB2B">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Mała aktywność organizacji pozarządowych </w:t>
            </w:r>
          </w:p>
        </w:tc>
        <w:tc>
          <w:tcPr>
            <w:tcW w:w="150" w:type="pct"/>
            <w:tcBorders>
              <w:top w:val="single" w:color="auto" w:sz="4" w:space="0"/>
              <w:left w:val="nil"/>
              <w:bottom w:val="single" w:color="auto" w:sz="4" w:space="0"/>
              <w:right w:val="single" w:color="auto" w:sz="4" w:space="0"/>
            </w:tcBorders>
            <w:shd w:val="clear" w:color="auto" w:fill="auto"/>
            <w:vAlign w:val="center"/>
          </w:tcPr>
          <w:p w14:paraId="1A07B8C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1.8</w:t>
            </w:r>
          </w:p>
        </w:tc>
        <w:tc>
          <w:tcPr>
            <w:tcW w:w="671" w:type="pct"/>
            <w:tcBorders>
              <w:top w:val="single" w:color="auto" w:sz="4" w:space="0"/>
              <w:left w:val="nil"/>
              <w:bottom w:val="single" w:color="auto" w:sz="4" w:space="0"/>
              <w:right w:val="single" w:color="auto" w:sz="4" w:space="0"/>
            </w:tcBorders>
            <w:shd w:val="clear" w:color="auto" w:fill="auto"/>
            <w:vAlign w:val="center"/>
          </w:tcPr>
          <w:p w14:paraId="354849F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Kojarzenie partnerów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animowanie do realizacji wspólnych projektów, w tym przygotowanie do wdrożenia idei Smart Villages</w:t>
            </w:r>
          </w:p>
        </w:tc>
        <w:tc>
          <w:tcPr>
            <w:tcW w:w="456" w:type="pct"/>
            <w:tcBorders>
              <w:top w:val="single" w:color="auto" w:sz="4" w:space="0"/>
              <w:left w:val="nil"/>
              <w:bottom w:val="single" w:color="auto" w:sz="4" w:space="0"/>
              <w:right w:val="single" w:color="auto" w:sz="4" w:space="0"/>
            </w:tcBorders>
            <w:shd w:val="clear" w:color="auto" w:fill="auto"/>
            <w:vAlign w:val="center"/>
          </w:tcPr>
          <w:p w14:paraId="314B426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2F3E6A6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7. Kształtowanie świadomości obywatelskiej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a także wzmacnianie programów edukacji liderów życia publicznego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społecznego; 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088542E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7B65061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 i inne osoby prawne</w:t>
            </w:r>
          </w:p>
        </w:tc>
        <w:tc>
          <w:tcPr>
            <w:tcW w:w="620" w:type="pct"/>
            <w:tcBorders>
              <w:top w:val="single" w:color="auto" w:sz="4" w:space="0"/>
              <w:left w:val="nil"/>
              <w:bottom w:val="single" w:color="auto" w:sz="4" w:space="0"/>
              <w:right w:val="single" w:color="auto" w:sz="4" w:space="0"/>
            </w:tcBorders>
            <w:shd w:val="clear" w:color="auto" w:fill="auto"/>
            <w:vAlign w:val="center"/>
          </w:tcPr>
          <w:p w14:paraId="6DA8711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organizacje pozarządowe</w:t>
            </w:r>
          </w:p>
        </w:tc>
        <w:tc>
          <w:tcPr>
            <w:tcW w:w="446" w:type="pct"/>
            <w:tcBorders>
              <w:top w:val="single" w:color="auto" w:sz="4" w:space="0"/>
              <w:left w:val="nil"/>
              <w:bottom w:val="single" w:color="auto" w:sz="4" w:space="0"/>
              <w:right w:val="single" w:color="auto" w:sz="4" w:space="0"/>
            </w:tcBorders>
            <w:shd w:val="clear" w:color="auto" w:fill="auto"/>
            <w:vAlign w:val="center"/>
          </w:tcPr>
          <w:p w14:paraId="720717D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własny LGD</w:t>
            </w:r>
          </w:p>
        </w:tc>
        <w:tc>
          <w:tcPr>
            <w:tcW w:w="324" w:type="pct"/>
            <w:tcBorders>
              <w:top w:val="single" w:color="auto" w:sz="4" w:space="0"/>
              <w:left w:val="nil"/>
              <w:bottom w:val="single" w:color="auto" w:sz="4" w:space="0"/>
              <w:right w:val="single" w:color="auto" w:sz="4" w:space="0"/>
            </w:tcBorders>
            <w:shd w:val="clear" w:color="auto" w:fill="auto"/>
            <w:vAlign w:val="center"/>
          </w:tcPr>
          <w:p w14:paraId="152B15B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€ 100 000 </w:t>
            </w:r>
          </w:p>
        </w:tc>
      </w:tr>
      <w:tr w14:paraId="7D1FBB5C">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5C8F2286">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Mała aktywność organizacji pozarządowych </w:t>
            </w:r>
          </w:p>
        </w:tc>
        <w:tc>
          <w:tcPr>
            <w:tcW w:w="150" w:type="pct"/>
            <w:tcBorders>
              <w:top w:val="single" w:color="auto" w:sz="4" w:space="0"/>
              <w:left w:val="nil"/>
              <w:bottom w:val="single" w:color="auto" w:sz="4" w:space="0"/>
              <w:right w:val="single" w:color="auto" w:sz="4" w:space="0"/>
            </w:tcBorders>
            <w:shd w:val="clear" w:color="auto" w:fill="auto"/>
            <w:vAlign w:val="center"/>
          </w:tcPr>
          <w:p w14:paraId="7A2C5ED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1.9</w:t>
            </w:r>
          </w:p>
        </w:tc>
        <w:tc>
          <w:tcPr>
            <w:tcW w:w="671" w:type="pct"/>
            <w:tcBorders>
              <w:top w:val="single" w:color="auto" w:sz="4" w:space="0"/>
              <w:left w:val="nil"/>
              <w:bottom w:val="single" w:color="auto" w:sz="4" w:space="0"/>
              <w:right w:val="single" w:color="auto" w:sz="4" w:space="0"/>
            </w:tcBorders>
            <w:shd w:val="clear" w:color="auto" w:fill="auto"/>
            <w:vAlign w:val="center"/>
          </w:tcPr>
          <w:p w14:paraId="133F817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Wsparcie inicjatyw oddolnych wynikających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Koncepcji Smart Village</w:t>
            </w:r>
          </w:p>
        </w:tc>
        <w:tc>
          <w:tcPr>
            <w:tcW w:w="456" w:type="pct"/>
            <w:tcBorders>
              <w:top w:val="single" w:color="auto" w:sz="4" w:space="0"/>
              <w:left w:val="nil"/>
              <w:bottom w:val="single" w:color="auto" w:sz="4" w:space="0"/>
              <w:right w:val="single" w:color="auto" w:sz="4" w:space="0"/>
            </w:tcBorders>
            <w:shd w:val="clear" w:color="auto" w:fill="auto"/>
            <w:vAlign w:val="center"/>
          </w:tcPr>
          <w:p w14:paraId="0655F1B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2A26EAA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7. Kształtowanie świadomości obywatelskiej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a także wzmacnianie programów edukacji liderów życia publicznego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społecznego; 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3203BA3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540CA64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w:t>
            </w:r>
          </w:p>
        </w:tc>
        <w:tc>
          <w:tcPr>
            <w:tcW w:w="620" w:type="pct"/>
            <w:tcBorders>
              <w:top w:val="single" w:color="auto" w:sz="4" w:space="0"/>
              <w:left w:val="nil"/>
              <w:bottom w:val="single" w:color="auto" w:sz="4" w:space="0"/>
              <w:right w:val="single" w:color="auto" w:sz="4" w:space="0"/>
            </w:tcBorders>
            <w:shd w:val="clear" w:color="auto" w:fill="auto"/>
            <w:vAlign w:val="center"/>
          </w:tcPr>
          <w:p w14:paraId="0452DB4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organizacje pozarządowe</w:t>
            </w:r>
          </w:p>
        </w:tc>
        <w:tc>
          <w:tcPr>
            <w:tcW w:w="446" w:type="pct"/>
            <w:tcBorders>
              <w:top w:val="single" w:color="auto" w:sz="4" w:space="0"/>
              <w:left w:val="nil"/>
              <w:bottom w:val="single" w:color="auto" w:sz="4" w:space="0"/>
              <w:right w:val="single" w:color="auto" w:sz="4" w:space="0"/>
            </w:tcBorders>
            <w:shd w:val="clear" w:color="auto" w:fill="auto"/>
            <w:vAlign w:val="center"/>
          </w:tcPr>
          <w:p w14:paraId="79B2766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grantowy</w:t>
            </w:r>
          </w:p>
        </w:tc>
        <w:tc>
          <w:tcPr>
            <w:tcW w:w="324" w:type="pct"/>
            <w:tcBorders>
              <w:top w:val="single" w:color="auto" w:sz="4" w:space="0"/>
              <w:left w:val="nil"/>
              <w:bottom w:val="single" w:color="auto" w:sz="4" w:space="0"/>
              <w:right w:val="single" w:color="auto" w:sz="4" w:space="0"/>
            </w:tcBorders>
            <w:shd w:val="clear" w:color="auto" w:fill="auto"/>
            <w:vAlign w:val="center"/>
          </w:tcPr>
          <w:p w14:paraId="4E7517D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€ 200 000 </w:t>
            </w:r>
          </w:p>
        </w:tc>
      </w:tr>
      <w:tr w14:paraId="55C0804A">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4563C417">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Mała aktywność organizacji pozarządowych </w:t>
            </w:r>
          </w:p>
        </w:tc>
        <w:tc>
          <w:tcPr>
            <w:tcW w:w="150" w:type="pct"/>
            <w:tcBorders>
              <w:top w:val="single" w:color="auto" w:sz="4" w:space="0"/>
              <w:left w:val="nil"/>
              <w:bottom w:val="single" w:color="auto" w:sz="4" w:space="0"/>
              <w:right w:val="single" w:color="auto" w:sz="4" w:space="0"/>
            </w:tcBorders>
            <w:shd w:val="clear" w:color="auto" w:fill="auto"/>
            <w:vAlign w:val="center"/>
          </w:tcPr>
          <w:p w14:paraId="1F66700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1.10</w:t>
            </w:r>
          </w:p>
        </w:tc>
        <w:tc>
          <w:tcPr>
            <w:tcW w:w="671" w:type="pct"/>
            <w:tcBorders>
              <w:top w:val="single" w:color="auto" w:sz="4" w:space="0"/>
              <w:left w:val="nil"/>
              <w:bottom w:val="single" w:color="auto" w:sz="4" w:space="0"/>
              <w:right w:val="single" w:color="auto" w:sz="4" w:space="0"/>
            </w:tcBorders>
            <w:shd w:val="clear" w:color="auto" w:fill="auto"/>
            <w:vAlign w:val="center"/>
          </w:tcPr>
          <w:p w14:paraId="37E3EBC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Przygotowanie partnerów lokalnych do realizacji operacji wynikających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idei Smart Village</w:t>
            </w:r>
          </w:p>
        </w:tc>
        <w:tc>
          <w:tcPr>
            <w:tcW w:w="456" w:type="pct"/>
            <w:tcBorders>
              <w:top w:val="single" w:color="auto" w:sz="4" w:space="0"/>
              <w:left w:val="nil"/>
              <w:bottom w:val="single" w:color="auto" w:sz="4" w:space="0"/>
              <w:right w:val="single" w:color="auto" w:sz="4" w:space="0"/>
            </w:tcBorders>
            <w:shd w:val="clear" w:color="auto" w:fill="auto"/>
            <w:vAlign w:val="center"/>
          </w:tcPr>
          <w:p w14:paraId="3DD8C5C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Organizacja wydarzeń edukacyjnych, kulturalnych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integracyjnych</w:t>
            </w:r>
          </w:p>
        </w:tc>
        <w:tc>
          <w:tcPr>
            <w:tcW w:w="751" w:type="pct"/>
            <w:tcBorders>
              <w:top w:val="single" w:color="auto" w:sz="4" w:space="0"/>
              <w:left w:val="nil"/>
              <w:bottom w:val="single" w:color="auto" w:sz="4" w:space="0"/>
              <w:right w:val="single" w:color="auto" w:sz="4" w:space="0"/>
            </w:tcBorders>
            <w:shd w:val="clear" w:color="auto" w:fill="auto"/>
            <w:vAlign w:val="center"/>
          </w:tcPr>
          <w:p w14:paraId="402720C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7. Kształtowanie świadomości obywatelskiej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a także wzmacnianie programów edukacji liderów życia publicznego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społecznego; 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38215DD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7318E78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 i inne osoby prawne</w:t>
            </w:r>
          </w:p>
        </w:tc>
        <w:tc>
          <w:tcPr>
            <w:tcW w:w="620" w:type="pct"/>
            <w:tcBorders>
              <w:top w:val="single" w:color="auto" w:sz="4" w:space="0"/>
              <w:left w:val="nil"/>
              <w:bottom w:val="single" w:color="auto" w:sz="4" w:space="0"/>
              <w:right w:val="single" w:color="auto" w:sz="4" w:space="0"/>
            </w:tcBorders>
            <w:shd w:val="clear" w:color="auto" w:fill="auto"/>
            <w:vAlign w:val="center"/>
          </w:tcPr>
          <w:p w14:paraId="1D760BC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organizacje pozarządowe</w:t>
            </w:r>
          </w:p>
        </w:tc>
        <w:tc>
          <w:tcPr>
            <w:tcW w:w="446" w:type="pct"/>
            <w:tcBorders>
              <w:top w:val="single" w:color="auto" w:sz="4" w:space="0"/>
              <w:left w:val="nil"/>
              <w:bottom w:val="single" w:color="auto" w:sz="4" w:space="0"/>
              <w:right w:val="single" w:color="auto" w:sz="4" w:space="0"/>
            </w:tcBorders>
            <w:shd w:val="clear" w:color="auto" w:fill="auto"/>
            <w:vAlign w:val="center"/>
          </w:tcPr>
          <w:p w14:paraId="54AE383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własny LGD, partnerski, krajowy</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 i zagraniczny</w:t>
            </w:r>
          </w:p>
        </w:tc>
        <w:tc>
          <w:tcPr>
            <w:tcW w:w="324" w:type="pct"/>
            <w:tcBorders>
              <w:top w:val="single" w:color="auto" w:sz="4" w:space="0"/>
              <w:left w:val="nil"/>
              <w:bottom w:val="single" w:color="auto" w:sz="4" w:space="0"/>
              <w:right w:val="single" w:color="auto" w:sz="4" w:space="0"/>
            </w:tcBorders>
            <w:shd w:val="clear" w:color="auto" w:fill="auto"/>
            <w:vAlign w:val="center"/>
          </w:tcPr>
          <w:p w14:paraId="3AAE8F6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€ 100 000 </w:t>
            </w:r>
          </w:p>
        </w:tc>
      </w:tr>
      <w:tr w14:paraId="3F5C9257">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55068C38">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Mała aktywność organizacji pozarządowych </w:t>
            </w:r>
          </w:p>
        </w:tc>
        <w:tc>
          <w:tcPr>
            <w:tcW w:w="150" w:type="pct"/>
            <w:tcBorders>
              <w:top w:val="single" w:color="auto" w:sz="4" w:space="0"/>
              <w:left w:val="nil"/>
              <w:bottom w:val="single" w:color="auto" w:sz="4" w:space="0"/>
              <w:right w:val="single" w:color="auto" w:sz="4" w:space="0"/>
            </w:tcBorders>
            <w:shd w:val="clear" w:color="auto" w:fill="auto"/>
            <w:vAlign w:val="center"/>
          </w:tcPr>
          <w:p w14:paraId="773E2B6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1.11</w:t>
            </w:r>
          </w:p>
        </w:tc>
        <w:tc>
          <w:tcPr>
            <w:tcW w:w="671" w:type="pct"/>
            <w:tcBorders>
              <w:top w:val="single" w:color="auto" w:sz="4" w:space="0"/>
              <w:left w:val="nil"/>
              <w:bottom w:val="single" w:color="auto" w:sz="4" w:space="0"/>
              <w:right w:val="single" w:color="auto" w:sz="4" w:space="0"/>
            </w:tcBorders>
            <w:shd w:val="clear" w:color="auto" w:fill="auto"/>
            <w:vAlign w:val="center"/>
          </w:tcPr>
          <w:p w14:paraId="2714710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Opracowanie Koncepcji Smart Village – inteligentnej wsi </w:t>
            </w:r>
          </w:p>
        </w:tc>
        <w:tc>
          <w:tcPr>
            <w:tcW w:w="456" w:type="pct"/>
            <w:tcBorders>
              <w:top w:val="single" w:color="auto" w:sz="4" w:space="0"/>
              <w:left w:val="nil"/>
              <w:bottom w:val="single" w:color="auto" w:sz="4" w:space="0"/>
              <w:right w:val="single" w:color="auto" w:sz="4" w:space="0"/>
            </w:tcBorders>
            <w:shd w:val="clear" w:color="auto" w:fill="auto"/>
            <w:vAlign w:val="center"/>
          </w:tcPr>
          <w:p w14:paraId="563FF1A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Opracowanie dokumentu</w:t>
            </w:r>
          </w:p>
        </w:tc>
        <w:tc>
          <w:tcPr>
            <w:tcW w:w="751" w:type="pct"/>
            <w:tcBorders>
              <w:top w:val="single" w:color="auto" w:sz="4" w:space="0"/>
              <w:left w:val="nil"/>
              <w:bottom w:val="single" w:color="auto" w:sz="4" w:space="0"/>
              <w:right w:val="single" w:color="auto" w:sz="4" w:space="0"/>
            </w:tcBorders>
            <w:shd w:val="clear" w:color="auto" w:fill="auto"/>
            <w:vAlign w:val="center"/>
          </w:tcPr>
          <w:p w14:paraId="6E25852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5. Przygotowanie koncepcji inteligentnej wsi;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nieinwestycyjny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307216F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602" w:type="pct"/>
            <w:tcBorders>
              <w:top w:val="single" w:color="auto" w:sz="4" w:space="0"/>
              <w:left w:val="nil"/>
              <w:bottom w:val="single" w:color="auto" w:sz="4" w:space="0"/>
              <w:right w:val="single" w:color="auto" w:sz="4" w:space="0"/>
            </w:tcBorders>
            <w:shd w:val="clear" w:color="auto" w:fill="auto"/>
            <w:vAlign w:val="center"/>
          </w:tcPr>
          <w:p w14:paraId="23E6D31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LGD</w:t>
            </w:r>
          </w:p>
        </w:tc>
        <w:tc>
          <w:tcPr>
            <w:tcW w:w="620" w:type="pct"/>
            <w:tcBorders>
              <w:top w:val="single" w:color="auto" w:sz="4" w:space="0"/>
              <w:left w:val="nil"/>
              <w:bottom w:val="single" w:color="auto" w:sz="4" w:space="0"/>
              <w:right w:val="single" w:color="auto" w:sz="4" w:space="0"/>
            </w:tcBorders>
            <w:shd w:val="clear" w:color="auto" w:fill="auto"/>
            <w:vAlign w:val="center"/>
          </w:tcPr>
          <w:p w14:paraId="693C4A3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 organizacje pozarządowe</w:t>
            </w:r>
          </w:p>
        </w:tc>
        <w:tc>
          <w:tcPr>
            <w:tcW w:w="446" w:type="pct"/>
            <w:tcBorders>
              <w:top w:val="single" w:color="auto" w:sz="4" w:space="0"/>
              <w:left w:val="nil"/>
              <w:bottom w:val="single" w:color="auto" w:sz="4" w:space="0"/>
              <w:right w:val="single" w:color="auto" w:sz="4" w:space="0"/>
            </w:tcBorders>
            <w:shd w:val="clear" w:color="auto" w:fill="auto"/>
            <w:vAlign w:val="center"/>
          </w:tcPr>
          <w:p w14:paraId="48F89A7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grantowy</w:t>
            </w:r>
          </w:p>
        </w:tc>
        <w:tc>
          <w:tcPr>
            <w:tcW w:w="324" w:type="pct"/>
            <w:tcBorders>
              <w:top w:val="single" w:color="auto" w:sz="4" w:space="0"/>
              <w:left w:val="nil"/>
              <w:bottom w:val="single" w:color="auto" w:sz="4" w:space="0"/>
              <w:right w:val="single" w:color="auto" w:sz="4" w:space="0"/>
            </w:tcBorders>
            <w:shd w:val="clear" w:color="auto" w:fill="auto"/>
            <w:vAlign w:val="center"/>
          </w:tcPr>
          <w:p w14:paraId="044AA9B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€ 10 000 </w:t>
            </w:r>
          </w:p>
        </w:tc>
      </w:tr>
      <w:tr w14:paraId="31838079">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5D66DF6E">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Niewystarczająca oferta rozwoju </w:t>
            </w:r>
            <w:r>
              <w:rPr>
                <w:rFonts w:ascii="Times New Roman" w:hAnsi="Times New Roman" w:eastAsia="Times New Roman" w:cs="Times New Roman"/>
                <w:i/>
                <w:iCs/>
                <w:color w:val="000000"/>
                <w:sz w:val="18"/>
                <w:szCs w:val="18"/>
                <w:lang w:eastAsia="pl-PL"/>
              </w:rPr>
              <w:br w:type="textWrapping"/>
            </w:r>
            <w:r>
              <w:rPr>
                <w:rFonts w:ascii="Times New Roman" w:hAnsi="Times New Roman" w:eastAsia="Times New Roman" w:cs="Times New Roman"/>
                <w:i/>
                <w:iCs/>
                <w:color w:val="000000"/>
                <w:sz w:val="18"/>
                <w:szCs w:val="18"/>
                <w:lang w:eastAsia="pl-PL"/>
              </w:rPr>
              <w:t xml:space="preserve">i zagospodarowania czasu wolnego </w:t>
            </w:r>
          </w:p>
        </w:tc>
        <w:tc>
          <w:tcPr>
            <w:tcW w:w="150" w:type="pct"/>
            <w:tcBorders>
              <w:top w:val="single" w:color="auto" w:sz="4" w:space="0"/>
              <w:left w:val="nil"/>
              <w:bottom w:val="single" w:color="auto" w:sz="4" w:space="0"/>
              <w:right w:val="single" w:color="auto" w:sz="4" w:space="0"/>
            </w:tcBorders>
            <w:shd w:val="clear" w:color="auto" w:fill="auto"/>
            <w:vAlign w:val="center"/>
          </w:tcPr>
          <w:p w14:paraId="4E96784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1.12</w:t>
            </w:r>
          </w:p>
        </w:tc>
        <w:tc>
          <w:tcPr>
            <w:tcW w:w="671" w:type="pct"/>
            <w:tcBorders>
              <w:top w:val="single" w:color="auto" w:sz="4" w:space="0"/>
              <w:left w:val="nil"/>
              <w:bottom w:val="single" w:color="auto" w:sz="4" w:space="0"/>
              <w:right w:val="single" w:color="auto" w:sz="4" w:space="0"/>
            </w:tcBorders>
            <w:shd w:val="clear" w:color="auto" w:fill="auto"/>
            <w:vAlign w:val="center"/>
          </w:tcPr>
          <w:p w14:paraId="7D90CBD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Zbudowanie oferty rozwoju, spędzania czasu wolnego i rekreacji dla mieszkańców LGD – podejmowanie działalności gospodarczej</w:t>
            </w:r>
          </w:p>
        </w:tc>
        <w:tc>
          <w:tcPr>
            <w:tcW w:w="456" w:type="pct"/>
            <w:tcBorders>
              <w:top w:val="single" w:color="auto" w:sz="4" w:space="0"/>
              <w:left w:val="nil"/>
              <w:bottom w:val="single" w:color="auto" w:sz="4" w:space="0"/>
              <w:right w:val="single" w:color="auto" w:sz="4" w:space="0"/>
            </w:tcBorders>
            <w:shd w:val="clear" w:color="auto" w:fill="auto"/>
            <w:vAlign w:val="center"/>
          </w:tcPr>
          <w:p w14:paraId="36E858E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Budowa, rozbudowa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wyposażenie</w:t>
            </w:r>
          </w:p>
        </w:tc>
        <w:tc>
          <w:tcPr>
            <w:tcW w:w="751" w:type="pct"/>
            <w:tcBorders>
              <w:top w:val="single" w:color="auto" w:sz="4" w:space="0"/>
              <w:left w:val="nil"/>
              <w:bottom w:val="single" w:color="auto" w:sz="4" w:space="0"/>
              <w:right w:val="single" w:color="auto" w:sz="4" w:space="0"/>
            </w:tcBorders>
            <w:shd w:val="clear" w:color="auto" w:fill="auto"/>
            <w:vAlign w:val="center"/>
          </w:tcPr>
          <w:p w14:paraId="0AA7B4D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1. Rozwój przedsiębiorczości,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w tym rozwój biogospodarki lub zielonej gospodarki –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a. podejmowanie pozarolniczej działalności gospodarczej przez osoby fizyczne; 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5ED17FE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65%</w:t>
            </w:r>
          </w:p>
        </w:tc>
        <w:tc>
          <w:tcPr>
            <w:tcW w:w="602" w:type="pct"/>
            <w:tcBorders>
              <w:top w:val="single" w:color="auto" w:sz="4" w:space="0"/>
              <w:left w:val="nil"/>
              <w:bottom w:val="single" w:color="auto" w:sz="4" w:space="0"/>
              <w:right w:val="single" w:color="auto" w:sz="4" w:space="0"/>
            </w:tcBorders>
            <w:shd w:val="clear" w:color="auto" w:fill="auto"/>
            <w:vAlign w:val="center"/>
          </w:tcPr>
          <w:p w14:paraId="2624E56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Osoby fizyczne</w:t>
            </w:r>
          </w:p>
        </w:tc>
        <w:tc>
          <w:tcPr>
            <w:tcW w:w="620" w:type="pct"/>
            <w:tcBorders>
              <w:top w:val="single" w:color="auto" w:sz="4" w:space="0"/>
              <w:left w:val="nil"/>
              <w:bottom w:val="single" w:color="auto" w:sz="4" w:space="0"/>
              <w:right w:val="single" w:color="auto" w:sz="4" w:space="0"/>
            </w:tcBorders>
            <w:shd w:val="clear" w:color="auto" w:fill="auto"/>
            <w:vAlign w:val="center"/>
          </w:tcPr>
          <w:p w14:paraId="7080D55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1985444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Projekty wnioskodawców innych niż LGD</w:t>
            </w:r>
          </w:p>
        </w:tc>
        <w:tc>
          <w:tcPr>
            <w:tcW w:w="324" w:type="pct"/>
            <w:tcBorders>
              <w:top w:val="single" w:color="auto" w:sz="4" w:space="0"/>
              <w:left w:val="nil"/>
              <w:bottom w:val="single" w:color="auto" w:sz="4" w:space="0"/>
              <w:right w:val="single" w:color="auto" w:sz="4" w:space="0"/>
            </w:tcBorders>
            <w:shd w:val="clear" w:color="auto" w:fill="auto"/>
            <w:vAlign w:val="center"/>
          </w:tcPr>
          <w:p w14:paraId="2899DB6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€ 200 000 </w:t>
            </w:r>
          </w:p>
        </w:tc>
      </w:tr>
      <w:tr w14:paraId="5D5F7EF1">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1CE46B50">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Niewystarczająca oferta rozwoju </w:t>
            </w:r>
            <w:r>
              <w:rPr>
                <w:rFonts w:ascii="Times New Roman" w:hAnsi="Times New Roman" w:eastAsia="Times New Roman" w:cs="Times New Roman"/>
                <w:i/>
                <w:iCs/>
                <w:color w:val="000000"/>
                <w:sz w:val="18"/>
                <w:szCs w:val="18"/>
                <w:lang w:eastAsia="pl-PL"/>
              </w:rPr>
              <w:br w:type="textWrapping"/>
            </w:r>
            <w:r>
              <w:rPr>
                <w:rFonts w:ascii="Times New Roman" w:hAnsi="Times New Roman" w:eastAsia="Times New Roman" w:cs="Times New Roman"/>
                <w:i/>
                <w:iCs/>
                <w:color w:val="000000"/>
                <w:sz w:val="18"/>
                <w:szCs w:val="18"/>
                <w:lang w:eastAsia="pl-PL"/>
              </w:rPr>
              <w:t xml:space="preserve">i zagospodarowania czasu wolnego </w:t>
            </w:r>
          </w:p>
        </w:tc>
        <w:tc>
          <w:tcPr>
            <w:tcW w:w="150" w:type="pct"/>
            <w:tcBorders>
              <w:top w:val="single" w:color="auto" w:sz="4" w:space="0"/>
              <w:left w:val="nil"/>
              <w:bottom w:val="single" w:color="auto" w:sz="4" w:space="0"/>
              <w:right w:val="single" w:color="auto" w:sz="4" w:space="0"/>
            </w:tcBorders>
            <w:shd w:val="clear" w:color="auto" w:fill="auto"/>
            <w:vAlign w:val="center"/>
          </w:tcPr>
          <w:p w14:paraId="01F5AF3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1.13</w:t>
            </w:r>
          </w:p>
        </w:tc>
        <w:tc>
          <w:tcPr>
            <w:tcW w:w="671" w:type="pct"/>
            <w:tcBorders>
              <w:top w:val="single" w:color="auto" w:sz="4" w:space="0"/>
              <w:left w:val="nil"/>
              <w:bottom w:val="single" w:color="auto" w:sz="4" w:space="0"/>
              <w:right w:val="single" w:color="auto" w:sz="4" w:space="0"/>
            </w:tcBorders>
            <w:shd w:val="clear" w:color="auto" w:fill="auto"/>
            <w:vAlign w:val="center"/>
          </w:tcPr>
          <w:p w14:paraId="49505C1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Zbudowanie oferty rozwoju, spędzania czasu wolnego i rekreacji dla mieszkańców LGD – rozwój działalności gospodarczej</w:t>
            </w:r>
          </w:p>
        </w:tc>
        <w:tc>
          <w:tcPr>
            <w:tcW w:w="456" w:type="pct"/>
            <w:tcBorders>
              <w:top w:val="single" w:color="auto" w:sz="4" w:space="0"/>
              <w:left w:val="nil"/>
              <w:bottom w:val="single" w:color="auto" w:sz="4" w:space="0"/>
              <w:right w:val="single" w:color="auto" w:sz="4" w:space="0"/>
            </w:tcBorders>
            <w:shd w:val="clear" w:color="auto" w:fill="auto"/>
            <w:vAlign w:val="center"/>
          </w:tcPr>
          <w:p w14:paraId="2AEA19F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Budowa, rozbudowa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wyposażenie</w:t>
            </w:r>
          </w:p>
        </w:tc>
        <w:tc>
          <w:tcPr>
            <w:tcW w:w="751" w:type="pct"/>
            <w:tcBorders>
              <w:top w:val="single" w:color="auto" w:sz="4" w:space="0"/>
              <w:left w:val="nil"/>
              <w:bottom w:val="single" w:color="auto" w:sz="4" w:space="0"/>
              <w:right w:val="single" w:color="auto" w:sz="4" w:space="0"/>
            </w:tcBorders>
            <w:shd w:val="clear" w:color="auto" w:fill="auto"/>
            <w:vAlign w:val="center"/>
          </w:tcPr>
          <w:p w14:paraId="4A58C21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1. Rozwój przedsiębiorczości, </w:t>
            </w:r>
          </w:p>
          <w:p w14:paraId="71F3761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 tym rozwój biogospodarki lub zielonej gospodarki: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b. rozwijanie pozarolniczej działalności gospodarczej; 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240559B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65%</w:t>
            </w:r>
          </w:p>
        </w:tc>
        <w:tc>
          <w:tcPr>
            <w:tcW w:w="602" w:type="pct"/>
            <w:tcBorders>
              <w:top w:val="single" w:color="auto" w:sz="4" w:space="0"/>
              <w:left w:val="nil"/>
              <w:bottom w:val="single" w:color="auto" w:sz="4" w:space="0"/>
              <w:right w:val="single" w:color="auto" w:sz="4" w:space="0"/>
            </w:tcBorders>
            <w:shd w:val="clear" w:color="auto" w:fill="auto"/>
            <w:vAlign w:val="center"/>
          </w:tcPr>
          <w:p w14:paraId="7C50B9B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Mikroprzedsiębiorstwo albo małe przedsiębiorstwo</w:t>
            </w:r>
          </w:p>
        </w:tc>
        <w:tc>
          <w:tcPr>
            <w:tcW w:w="620" w:type="pct"/>
            <w:tcBorders>
              <w:top w:val="single" w:color="auto" w:sz="4" w:space="0"/>
              <w:left w:val="nil"/>
              <w:bottom w:val="single" w:color="auto" w:sz="4" w:space="0"/>
              <w:right w:val="single" w:color="auto" w:sz="4" w:space="0"/>
            </w:tcBorders>
            <w:shd w:val="clear" w:color="auto" w:fill="auto"/>
            <w:vAlign w:val="center"/>
          </w:tcPr>
          <w:p w14:paraId="3FF0BC2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116FF46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Projekty wnioskodawców innych niż LGD</w:t>
            </w:r>
          </w:p>
        </w:tc>
        <w:tc>
          <w:tcPr>
            <w:tcW w:w="324" w:type="pct"/>
            <w:tcBorders>
              <w:top w:val="single" w:color="auto" w:sz="4" w:space="0"/>
              <w:left w:val="nil"/>
              <w:bottom w:val="single" w:color="auto" w:sz="4" w:space="0"/>
              <w:right w:val="single" w:color="auto" w:sz="4" w:space="0"/>
            </w:tcBorders>
            <w:shd w:val="clear" w:color="auto" w:fill="auto"/>
            <w:vAlign w:val="center"/>
          </w:tcPr>
          <w:p w14:paraId="0EFEBB2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€ 200 000 </w:t>
            </w:r>
          </w:p>
        </w:tc>
      </w:tr>
      <w:tr w14:paraId="73FF995D">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3395DC56">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Niewystarczająca oferta rozwoju </w:t>
            </w:r>
            <w:r>
              <w:rPr>
                <w:rFonts w:ascii="Times New Roman" w:hAnsi="Times New Roman" w:eastAsia="Times New Roman" w:cs="Times New Roman"/>
                <w:i/>
                <w:iCs/>
                <w:color w:val="000000"/>
                <w:sz w:val="18"/>
                <w:szCs w:val="18"/>
                <w:lang w:eastAsia="pl-PL"/>
              </w:rPr>
              <w:br w:type="textWrapping"/>
            </w:r>
            <w:r>
              <w:rPr>
                <w:rFonts w:ascii="Times New Roman" w:hAnsi="Times New Roman" w:eastAsia="Times New Roman" w:cs="Times New Roman"/>
                <w:i/>
                <w:iCs/>
                <w:color w:val="000000"/>
                <w:sz w:val="18"/>
                <w:szCs w:val="18"/>
                <w:lang w:eastAsia="pl-PL"/>
              </w:rPr>
              <w:t xml:space="preserve">i zagospodarowania czasu wolnego </w:t>
            </w:r>
          </w:p>
        </w:tc>
        <w:tc>
          <w:tcPr>
            <w:tcW w:w="150" w:type="pct"/>
            <w:tcBorders>
              <w:top w:val="single" w:color="auto" w:sz="4" w:space="0"/>
              <w:left w:val="nil"/>
              <w:bottom w:val="single" w:color="auto" w:sz="4" w:space="0"/>
              <w:right w:val="single" w:color="auto" w:sz="4" w:space="0"/>
            </w:tcBorders>
            <w:shd w:val="clear" w:color="auto" w:fill="auto"/>
            <w:vAlign w:val="center"/>
          </w:tcPr>
          <w:p w14:paraId="1732A19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1.14</w:t>
            </w:r>
          </w:p>
        </w:tc>
        <w:tc>
          <w:tcPr>
            <w:tcW w:w="671" w:type="pct"/>
            <w:tcBorders>
              <w:top w:val="single" w:color="auto" w:sz="4" w:space="0"/>
              <w:left w:val="nil"/>
              <w:bottom w:val="single" w:color="auto" w:sz="4" w:space="0"/>
              <w:right w:val="single" w:color="auto" w:sz="4" w:space="0"/>
            </w:tcBorders>
            <w:shd w:val="clear" w:color="auto" w:fill="auto"/>
            <w:vAlign w:val="center"/>
          </w:tcPr>
          <w:p w14:paraId="0C6DE93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Utworzenie lub rozwój gospodarstwa agroturystycznego</w:t>
            </w:r>
          </w:p>
        </w:tc>
        <w:tc>
          <w:tcPr>
            <w:tcW w:w="456" w:type="pct"/>
            <w:tcBorders>
              <w:top w:val="single" w:color="auto" w:sz="4" w:space="0"/>
              <w:left w:val="nil"/>
              <w:bottom w:val="single" w:color="auto" w:sz="4" w:space="0"/>
              <w:right w:val="single" w:color="auto" w:sz="4" w:space="0"/>
            </w:tcBorders>
            <w:shd w:val="clear" w:color="auto" w:fill="auto"/>
            <w:vAlign w:val="center"/>
          </w:tcPr>
          <w:p w14:paraId="6F99724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Budowa, rozbudowa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wyposażenie</w:t>
            </w:r>
          </w:p>
        </w:tc>
        <w:tc>
          <w:tcPr>
            <w:tcW w:w="751" w:type="pct"/>
            <w:tcBorders>
              <w:top w:val="single" w:color="auto" w:sz="4" w:space="0"/>
              <w:left w:val="nil"/>
              <w:bottom w:val="single" w:color="auto" w:sz="4" w:space="0"/>
              <w:right w:val="single" w:color="auto" w:sz="4" w:space="0"/>
            </w:tcBorders>
            <w:shd w:val="clear" w:color="auto" w:fill="auto"/>
            <w:vAlign w:val="center"/>
          </w:tcPr>
          <w:p w14:paraId="6CC29CB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2. Rozwój pozarolniczych funkcji małych gospodarstw rolnych w zakresie tworzenia lub rozwijania: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b. gospodarstwa agroturystyczne; 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0103AAF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85%</w:t>
            </w:r>
          </w:p>
        </w:tc>
        <w:tc>
          <w:tcPr>
            <w:tcW w:w="602" w:type="pct"/>
            <w:tcBorders>
              <w:top w:val="single" w:color="auto" w:sz="4" w:space="0"/>
              <w:left w:val="nil"/>
              <w:bottom w:val="single" w:color="auto" w:sz="4" w:space="0"/>
              <w:right w:val="single" w:color="auto" w:sz="4" w:space="0"/>
            </w:tcBorders>
            <w:shd w:val="clear" w:color="auto" w:fill="auto"/>
            <w:vAlign w:val="center"/>
          </w:tcPr>
          <w:p w14:paraId="04C1C6E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Rolnik lub domownik będący właścicielem lub współwłaścicielem małego gospodarstwa, w którym prowadzona jest działalność rolnicza</w:t>
            </w:r>
          </w:p>
        </w:tc>
        <w:tc>
          <w:tcPr>
            <w:tcW w:w="620" w:type="pct"/>
            <w:tcBorders>
              <w:top w:val="single" w:color="auto" w:sz="4" w:space="0"/>
              <w:left w:val="nil"/>
              <w:bottom w:val="single" w:color="auto" w:sz="4" w:space="0"/>
              <w:right w:val="single" w:color="auto" w:sz="4" w:space="0"/>
            </w:tcBorders>
            <w:shd w:val="clear" w:color="auto" w:fill="auto"/>
            <w:vAlign w:val="center"/>
          </w:tcPr>
          <w:p w14:paraId="18F76BB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66EC703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Projekty wnioskodawców innych niż LGD</w:t>
            </w:r>
          </w:p>
        </w:tc>
        <w:tc>
          <w:tcPr>
            <w:tcW w:w="324" w:type="pct"/>
            <w:tcBorders>
              <w:top w:val="single" w:color="auto" w:sz="4" w:space="0"/>
              <w:left w:val="nil"/>
              <w:bottom w:val="single" w:color="auto" w:sz="4" w:space="0"/>
              <w:right w:val="single" w:color="auto" w:sz="4" w:space="0"/>
            </w:tcBorders>
            <w:shd w:val="clear" w:color="auto" w:fill="auto"/>
            <w:vAlign w:val="center"/>
          </w:tcPr>
          <w:p w14:paraId="17996D3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€ 60 000 </w:t>
            </w:r>
          </w:p>
        </w:tc>
      </w:tr>
      <w:tr w14:paraId="797AF7DF">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2FAB8271">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 xml:space="preserve">Niewystarczająca oferta rozwoju </w:t>
            </w:r>
            <w:r>
              <w:rPr>
                <w:rFonts w:ascii="Times New Roman" w:hAnsi="Times New Roman" w:eastAsia="Times New Roman" w:cs="Times New Roman"/>
                <w:i/>
                <w:iCs/>
                <w:color w:val="000000"/>
                <w:sz w:val="18"/>
                <w:szCs w:val="18"/>
                <w:lang w:eastAsia="pl-PL"/>
              </w:rPr>
              <w:br w:type="textWrapping"/>
            </w:r>
            <w:r>
              <w:rPr>
                <w:rFonts w:ascii="Times New Roman" w:hAnsi="Times New Roman" w:eastAsia="Times New Roman" w:cs="Times New Roman"/>
                <w:i/>
                <w:iCs/>
                <w:color w:val="000000"/>
                <w:sz w:val="18"/>
                <w:szCs w:val="18"/>
                <w:lang w:eastAsia="pl-PL"/>
              </w:rPr>
              <w:t xml:space="preserve">i zagospodarowania czasu wolnego </w:t>
            </w:r>
          </w:p>
        </w:tc>
        <w:tc>
          <w:tcPr>
            <w:tcW w:w="150" w:type="pct"/>
            <w:tcBorders>
              <w:top w:val="single" w:color="auto" w:sz="4" w:space="0"/>
              <w:left w:val="nil"/>
              <w:bottom w:val="single" w:color="auto" w:sz="4" w:space="0"/>
              <w:right w:val="single" w:color="auto" w:sz="4" w:space="0"/>
            </w:tcBorders>
            <w:shd w:val="clear" w:color="auto" w:fill="auto"/>
            <w:vAlign w:val="center"/>
          </w:tcPr>
          <w:p w14:paraId="61B7F40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1.15</w:t>
            </w:r>
          </w:p>
        </w:tc>
        <w:tc>
          <w:tcPr>
            <w:tcW w:w="671" w:type="pct"/>
            <w:tcBorders>
              <w:top w:val="single" w:color="auto" w:sz="4" w:space="0"/>
              <w:left w:val="nil"/>
              <w:bottom w:val="single" w:color="auto" w:sz="4" w:space="0"/>
              <w:right w:val="single" w:color="auto" w:sz="4" w:space="0"/>
            </w:tcBorders>
            <w:shd w:val="clear" w:color="auto" w:fill="auto"/>
            <w:vAlign w:val="center"/>
          </w:tcPr>
          <w:p w14:paraId="691A901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Utworzenia lub rozwój zagrody edukacyjnej</w:t>
            </w:r>
          </w:p>
        </w:tc>
        <w:tc>
          <w:tcPr>
            <w:tcW w:w="456" w:type="pct"/>
            <w:tcBorders>
              <w:top w:val="single" w:color="auto" w:sz="4" w:space="0"/>
              <w:left w:val="nil"/>
              <w:bottom w:val="single" w:color="auto" w:sz="4" w:space="0"/>
              <w:right w:val="single" w:color="auto" w:sz="4" w:space="0"/>
            </w:tcBorders>
            <w:shd w:val="clear" w:color="auto" w:fill="auto"/>
            <w:vAlign w:val="center"/>
          </w:tcPr>
          <w:p w14:paraId="3B173F8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Budowa, rozbudowa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wyposażenie</w:t>
            </w:r>
          </w:p>
        </w:tc>
        <w:tc>
          <w:tcPr>
            <w:tcW w:w="751" w:type="pct"/>
            <w:tcBorders>
              <w:top w:val="single" w:color="auto" w:sz="4" w:space="0"/>
              <w:left w:val="nil"/>
              <w:bottom w:val="single" w:color="auto" w:sz="4" w:space="0"/>
              <w:right w:val="single" w:color="auto" w:sz="4" w:space="0"/>
            </w:tcBorders>
            <w:shd w:val="clear" w:color="auto" w:fill="auto"/>
            <w:vAlign w:val="center"/>
          </w:tcPr>
          <w:p w14:paraId="05ED61E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 Rozwój pozarolniczych funkcji małych gospodarstw rolnych w zakresie tworzenia lub rozwijania: b. Zagroda edukacyjna; inwestycyjny</w:t>
            </w:r>
          </w:p>
        </w:tc>
        <w:tc>
          <w:tcPr>
            <w:tcW w:w="338" w:type="pct"/>
            <w:tcBorders>
              <w:top w:val="single" w:color="auto" w:sz="4" w:space="0"/>
              <w:left w:val="nil"/>
              <w:bottom w:val="single" w:color="auto" w:sz="4" w:space="0"/>
              <w:right w:val="single" w:color="auto" w:sz="4" w:space="0"/>
            </w:tcBorders>
            <w:shd w:val="clear" w:color="auto" w:fill="auto"/>
            <w:vAlign w:val="center"/>
          </w:tcPr>
          <w:p w14:paraId="7ED1D3C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do 85%</w:t>
            </w:r>
          </w:p>
        </w:tc>
        <w:tc>
          <w:tcPr>
            <w:tcW w:w="602" w:type="pct"/>
            <w:tcBorders>
              <w:top w:val="single" w:color="auto" w:sz="4" w:space="0"/>
              <w:left w:val="nil"/>
              <w:bottom w:val="single" w:color="auto" w:sz="4" w:space="0"/>
              <w:right w:val="single" w:color="auto" w:sz="4" w:space="0"/>
            </w:tcBorders>
            <w:shd w:val="clear" w:color="auto" w:fill="auto"/>
            <w:vAlign w:val="center"/>
          </w:tcPr>
          <w:p w14:paraId="52B6529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Rolnik lub domownik będący właścicielem lub współwłaścicielem małego gospodarstwa, w którym prowadzona jest działalność rolnicza</w:t>
            </w:r>
          </w:p>
        </w:tc>
        <w:tc>
          <w:tcPr>
            <w:tcW w:w="620" w:type="pct"/>
            <w:tcBorders>
              <w:top w:val="single" w:color="auto" w:sz="4" w:space="0"/>
              <w:left w:val="nil"/>
              <w:bottom w:val="single" w:color="auto" w:sz="4" w:space="0"/>
              <w:right w:val="single" w:color="auto" w:sz="4" w:space="0"/>
            </w:tcBorders>
            <w:shd w:val="clear" w:color="auto" w:fill="auto"/>
            <w:vAlign w:val="center"/>
          </w:tcPr>
          <w:p w14:paraId="378BF1E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0ECD075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Projekty wnioskodawców innych niż LGD</w:t>
            </w:r>
          </w:p>
        </w:tc>
        <w:tc>
          <w:tcPr>
            <w:tcW w:w="324" w:type="pct"/>
            <w:tcBorders>
              <w:top w:val="single" w:color="auto" w:sz="4" w:space="0"/>
              <w:left w:val="nil"/>
              <w:bottom w:val="single" w:color="auto" w:sz="4" w:space="0"/>
              <w:right w:val="single" w:color="auto" w:sz="4" w:space="0"/>
            </w:tcBorders>
            <w:shd w:val="clear" w:color="auto" w:fill="auto"/>
            <w:vAlign w:val="center"/>
          </w:tcPr>
          <w:p w14:paraId="6A9F39D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€ 60 000 </w:t>
            </w:r>
          </w:p>
        </w:tc>
      </w:tr>
      <w:tr w14:paraId="5F8318FA">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7D840F22">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Braki w infrastrukturze publicznej</w:t>
            </w:r>
          </w:p>
        </w:tc>
        <w:tc>
          <w:tcPr>
            <w:tcW w:w="150" w:type="pct"/>
            <w:tcBorders>
              <w:top w:val="single" w:color="auto" w:sz="4" w:space="0"/>
              <w:left w:val="nil"/>
              <w:bottom w:val="single" w:color="auto" w:sz="4" w:space="0"/>
              <w:right w:val="single" w:color="auto" w:sz="4" w:space="0"/>
            </w:tcBorders>
            <w:shd w:val="clear" w:color="auto" w:fill="auto"/>
            <w:vAlign w:val="center"/>
          </w:tcPr>
          <w:p w14:paraId="4E45858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1.16</w:t>
            </w:r>
          </w:p>
        </w:tc>
        <w:tc>
          <w:tcPr>
            <w:tcW w:w="671" w:type="pct"/>
            <w:tcBorders>
              <w:top w:val="single" w:color="auto" w:sz="4" w:space="0"/>
              <w:left w:val="nil"/>
              <w:bottom w:val="single" w:color="auto" w:sz="4" w:space="0"/>
              <w:right w:val="single" w:color="auto" w:sz="4" w:space="0"/>
            </w:tcBorders>
            <w:shd w:val="clear" w:color="auto" w:fill="auto"/>
            <w:vAlign w:val="center"/>
          </w:tcPr>
          <w:p w14:paraId="5C21A2A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Rozwój kultury, dziedzictwa kulturowego i turystyki (FEM EFRR)</w:t>
            </w:r>
          </w:p>
        </w:tc>
        <w:tc>
          <w:tcPr>
            <w:tcW w:w="456" w:type="pct"/>
            <w:tcBorders>
              <w:top w:val="single" w:color="auto" w:sz="4" w:space="0"/>
              <w:left w:val="nil"/>
              <w:bottom w:val="single" w:color="auto" w:sz="4" w:space="0"/>
              <w:right w:val="single" w:color="auto" w:sz="4" w:space="0"/>
            </w:tcBorders>
            <w:shd w:val="clear" w:color="auto" w:fill="auto"/>
            <w:vAlign w:val="center"/>
          </w:tcPr>
          <w:p w14:paraId="116ABDF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Zgodnie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SZOP FEM</w:t>
            </w:r>
          </w:p>
        </w:tc>
        <w:tc>
          <w:tcPr>
            <w:tcW w:w="751" w:type="pct"/>
            <w:tcBorders>
              <w:top w:val="single" w:color="auto" w:sz="4" w:space="0"/>
              <w:left w:val="nil"/>
              <w:bottom w:val="single" w:color="auto" w:sz="4" w:space="0"/>
              <w:right w:val="single" w:color="auto" w:sz="4" w:space="0"/>
            </w:tcBorders>
            <w:shd w:val="clear" w:color="auto" w:fill="auto"/>
            <w:vAlign w:val="center"/>
          </w:tcPr>
          <w:p w14:paraId="47073F0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t>
            </w:r>
          </w:p>
        </w:tc>
        <w:tc>
          <w:tcPr>
            <w:tcW w:w="338" w:type="pct"/>
            <w:tcBorders>
              <w:top w:val="single" w:color="auto" w:sz="4" w:space="0"/>
              <w:left w:val="nil"/>
              <w:bottom w:val="single" w:color="auto" w:sz="4" w:space="0"/>
              <w:right w:val="single" w:color="auto" w:sz="4" w:space="0"/>
            </w:tcBorders>
            <w:shd w:val="clear" w:color="auto" w:fill="auto"/>
            <w:vAlign w:val="center"/>
          </w:tcPr>
          <w:p w14:paraId="7C0A624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Zgodnie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SZOP FEM</w:t>
            </w:r>
          </w:p>
        </w:tc>
        <w:tc>
          <w:tcPr>
            <w:tcW w:w="602" w:type="pct"/>
            <w:tcBorders>
              <w:top w:val="single" w:color="auto" w:sz="4" w:space="0"/>
              <w:left w:val="nil"/>
              <w:bottom w:val="single" w:color="auto" w:sz="4" w:space="0"/>
              <w:right w:val="single" w:color="auto" w:sz="4" w:space="0"/>
            </w:tcBorders>
            <w:shd w:val="clear" w:color="auto" w:fill="auto"/>
            <w:vAlign w:val="center"/>
          </w:tcPr>
          <w:p w14:paraId="356A5E5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Zgodnie z SZOP FEM</w:t>
            </w:r>
          </w:p>
        </w:tc>
        <w:tc>
          <w:tcPr>
            <w:tcW w:w="620" w:type="pct"/>
            <w:tcBorders>
              <w:top w:val="single" w:color="auto" w:sz="4" w:space="0"/>
              <w:left w:val="nil"/>
              <w:bottom w:val="single" w:color="auto" w:sz="4" w:space="0"/>
              <w:right w:val="single" w:color="auto" w:sz="4" w:space="0"/>
            </w:tcBorders>
            <w:shd w:val="clear" w:color="auto" w:fill="auto"/>
            <w:vAlign w:val="center"/>
          </w:tcPr>
          <w:p w14:paraId="4CB13FB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46E7083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grantowy</w:t>
            </w:r>
          </w:p>
        </w:tc>
        <w:tc>
          <w:tcPr>
            <w:tcW w:w="324" w:type="pct"/>
            <w:tcBorders>
              <w:top w:val="single" w:color="auto" w:sz="4" w:space="0"/>
              <w:left w:val="nil"/>
              <w:bottom w:val="single" w:color="auto" w:sz="4" w:space="0"/>
              <w:right w:val="single" w:color="auto" w:sz="4" w:space="0"/>
            </w:tcBorders>
            <w:shd w:val="clear" w:color="auto" w:fill="auto"/>
            <w:vAlign w:val="center"/>
          </w:tcPr>
          <w:p w14:paraId="28339FB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 </w:t>
            </w:r>
          </w:p>
        </w:tc>
      </w:tr>
      <w:tr w14:paraId="4E6EC583">
        <w:tblPrEx>
          <w:tblCellMar>
            <w:top w:w="0" w:type="dxa"/>
            <w:left w:w="70" w:type="dxa"/>
            <w:bottom w:w="0" w:type="dxa"/>
            <w:right w:w="70" w:type="dxa"/>
          </w:tblCellMar>
        </w:tblPrEx>
        <w:trPr>
          <w:trHeight w:val="1304" w:hRule="atLeast"/>
        </w:trPr>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14:paraId="4362256F">
            <w:pPr>
              <w:spacing w:after="0" w:line="240" w:lineRule="auto"/>
              <w:jc w:val="center"/>
              <w:rPr>
                <w:rFonts w:ascii="Times New Roman" w:hAnsi="Times New Roman" w:eastAsia="Times New Roman" w:cs="Times New Roman"/>
                <w:i/>
                <w:iCs/>
                <w:color w:val="000000"/>
                <w:sz w:val="18"/>
                <w:szCs w:val="18"/>
                <w:lang w:eastAsia="pl-PL"/>
              </w:rPr>
            </w:pPr>
            <w:r>
              <w:rPr>
                <w:rFonts w:ascii="Times New Roman" w:hAnsi="Times New Roman" w:eastAsia="Times New Roman" w:cs="Times New Roman"/>
                <w:i/>
                <w:iCs/>
                <w:color w:val="000000"/>
                <w:sz w:val="18"/>
                <w:szCs w:val="18"/>
                <w:lang w:eastAsia="pl-PL"/>
              </w:rPr>
              <w:t>Niska aktywność społeczna</w:t>
            </w:r>
          </w:p>
        </w:tc>
        <w:tc>
          <w:tcPr>
            <w:tcW w:w="150" w:type="pct"/>
            <w:tcBorders>
              <w:top w:val="single" w:color="auto" w:sz="4" w:space="0"/>
              <w:left w:val="nil"/>
              <w:bottom w:val="single" w:color="auto" w:sz="4" w:space="0"/>
              <w:right w:val="single" w:color="auto" w:sz="4" w:space="0"/>
            </w:tcBorders>
            <w:shd w:val="clear" w:color="auto" w:fill="auto"/>
            <w:vAlign w:val="center"/>
          </w:tcPr>
          <w:p w14:paraId="2742DB6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1.17</w:t>
            </w:r>
          </w:p>
        </w:tc>
        <w:tc>
          <w:tcPr>
            <w:tcW w:w="671" w:type="pct"/>
            <w:tcBorders>
              <w:top w:val="single" w:color="auto" w:sz="4" w:space="0"/>
              <w:left w:val="nil"/>
              <w:bottom w:val="single" w:color="auto" w:sz="4" w:space="0"/>
              <w:right w:val="single" w:color="auto" w:sz="4" w:space="0"/>
            </w:tcBorders>
            <w:shd w:val="clear" w:color="auto" w:fill="auto"/>
            <w:vAlign w:val="center"/>
          </w:tcPr>
          <w:p w14:paraId="4AE7F49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Wspieranie oddolnych inicjatyw na rzecz aktywnego włączenia społecznego (FEM EFS+)</w:t>
            </w:r>
          </w:p>
        </w:tc>
        <w:tc>
          <w:tcPr>
            <w:tcW w:w="456" w:type="pct"/>
            <w:tcBorders>
              <w:top w:val="single" w:color="auto" w:sz="4" w:space="0"/>
              <w:left w:val="nil"/>
              <w:bottom w:val="single" w:color="auto" w:sz="4" w:space="0"/>
              <w:right w:val="single" w:color="auto" w:sz="4" w:space="0"/>
            </w:tcBorders>
            <w:shd w:val="clear" w:color="auto" w:fill="auto"/>
            <w:vAlign w:val="center"/>
          </w:tcPr>
          <w:p w14:paraId="3F9EBCC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Zgodnie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SZOP FEM</w:t>
            </w:r>
          </w:p>
        </w:tc>
        <w:tc>
          <w:tcPr>
            <w:tcW w:w="751" w:type="pct"/>
            <w:tcBorders>
              <w:top w:val="single" w:color="auto" w:sz="4" w:space="0"/>
              <w:left w:val="nil"/>
              <w:bottom w:val="single" w:color="auto" w:sz="4" w:space="0"/>
              <w:right w:val="single" w:color="auto" w:sz="4" w:space="0"/>
            </w:tcBorders>
            <w:shd w:val="clear" w:color="auto" w:fill="auto"/>
            <w:vAlign w:val="center"/>
          </w:tcPr>
          <w:p w14:paraId="47BC6D5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t>
            </w:r>
          </w:p>
        </w:tc>
        <w:tc>
          <w:tcPr>
            <w:tcW w:w="338" w:type="pct"/>
            <w:tcBorders>
              <w:top w:val="single" w:color="auto" w:sz="4" w:space="0"/>
              <w:left w:val="nil"/>
              <w:bottom w:val="single" w:color="auto" w:sz="4" w:space="0"/>
              <w:right w:val="single" w:color="auto" w:sz="4" w:space="0"/>
            </w:tcBorders>
            <w:shd w:val="clear" w:color="auto" w:fill="auto"/>
            <w:vAlign w:val="center"/>
          </w:tcPr>
          <w:p w14:paraId="22BC718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Zgodnie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SZOP FEM</w:t>
            </w:r>
          </w:p>
        </w:tc>
        <w:tc>
          <w:tcPr>
            <w:tcW w:w="602" w:type="pct"/>
            <w:tcBorders>
              <w:top w:val="single" w:color="auto" w:sz="4" w:space="0"/>
              <w:left w:val="nil"/>
              <w:bottom w:val="single" w:color="auto" w:sz="4" w:space="0"/>
              <w:right w:val="single" w:color="auto" w:sz="4" w:space="0"/>
            </w:tcBorders>
            <w:shd w:val="clear" w:color="auto" w:fill="auto"/>
            <w:vAlign w:val="center"/>
          </w:tcPr>
          <w:p w14:paraId="325C6C1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Zgodnie z SZOP FEM</w:t>
            </w:r>
          </w:p>
        </w:tc>
        <w:tc>
          <w:tcPr>
            <w:tcW w:w="620" w:type="pct"/>
            <w:tcBorders>
              <w:top w:val="single" w:color="auto" w:sz="4" w:space="0"/>
              <w:left w:val="nil"/>
              <w:bottom w:val="single" w:color="auto" w:sz="4" w:space="0"/>
              <w:right w:val="single" w:color="auto" w:sz="4" w:space="0"/>
            </w:tcBorders>
            <w:shd w:val="clear" w:color="auto" w:fill="auto"/>
            <w:vAlign w:val="center"/>
          </w:tcPr>
          <w:p w14:paraId="1EAA6CB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Mieszkańcy</w:t>
            </w:r>
          </w:p>
        </w:tc>
        <w:tc>
          <w:tcPr>
            <w:tcW w:w="446" w:type="pct"/>
            <w:tcBorders>
              <w:top w:val="single" w:color="auto" w:sz="4" w:space="0"/>
              <w:left w:val="nil"/>
              <w:bottom w:val="single" w:color="auto" w:sz="4" w:space="0"/>
              <w:right w:val="single" w:color="auto" w:sz="4" w:space="0"/>
            </w:tcBorders>
            <w:shd w:val="clear" w:color="auto" w:fill="auto"/>
            <w:vAlign w:val="center"/>
          </w:tcPr>
          <w:p w14:paraId="0B1A811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Projekt grantowy</w:t>
            </w:r>
          </w:p>
        </w:tc>
        <w:tc>
          <w:tcPr>
            <w:tcW w:w="324" w:type="pct"/>
            <w:tcBorders>
              <w:top w:val="single" w:color="auto" w:sz="4" w:space="0"/>
              <w:left w:val="nil"/>
              <w:bottom w:val="single" w:color="auto" w:sz="4" w:space="0"/>
              <w:right w:val="single" w:color="auto" w:sz="4" w:space="0"/>
            </w:tcBorders>
            <w:shd w:val="clear" w:color="auto" w:fill="auto"/>
            <w:vAlign w:val="center"/>
          </w:tcPr>
          <w:p w14:paraId="12D69DC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 € - </w:t>
            </w:r>
          </w:p>
        </w:tc>
      </w:tr>
      <w:tr w14:paraId="53926CD1">
        <w:tblPrEx>
          <w:tblCellMar>
            <w:top w:w="0" w:type="dxa"/>
            <w:left w:w="70" w:type="dxa"/>
            <w:bottom w:w="0" w:type="dxa"/>
            <w:right w:w="70" w:type="dxa"/>
          </w:tblCellMar>
        </w:tblPrEx>
        <w:trPr>
          <w:trHeight w:val="397" w:hRule="atLeast"/>
        </w:trPr>
        <w:tc>
          <w:tcPr>
            <w:tcW w:w="4676"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0A9C089C">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SUMA</w:t>
            </w:r>
          </w:p>
        </w:tc>
        <w:tc>
          <w:tcPr>
            <w:tcW w:w="324" w:type="pct"/>
            <w:tcBorders>
              <w:top w:val="single" w:color="auto" w:sz="4" w:space="0"/>
              <w:left w:val="nil"/>
              <w:bottom w:val="single" w:color="auto" w:sz="4" w:space="0"/>
              <w:right w:val="single" w:color="auto" w:sz="4" w:space="0"/>
            </w:tcBorders>
            <w:shd w:val="clear" w:color="auto" w:fill="auto"/>
            <w:vAlign w:val="center"/>
          </w:tcPr>
          <w:p w14:paraId="1F03103B">
            <w:pPr>
              <w:spacing w:after="0" w:line="240" w:lineRule="auto"/>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 € </w:t>
            </w:r>
            <w:r>
              <w:rPr>
                <w:rFonts w:ascii="Times New Roman" w:hAnsi="Times New Roman" w:eastAsia="Times New Roman" w:cs="Times New Roman"/>
                <w:b/>
                <w:bCs/>
                <w:color w:val="000000"/>
                <w:sz w:val="18"/>
                <w:szCs w:val="18"/>
                <w:lang w:eastAsia="pl-PL"/>
              </w:rPr>
              <w:br w:type="textWrapping"/>
            </w:r>
            <w:r>
              <w:rPr>
                <w:rFonts w:ascii="Times New Roman" w:hAnsi="Times New Roman" w:eastAsia="Times New Roman" w:cs="Times New Roman"/>
                <w:b/>
                <w:bCs/>
                <w:color w:val="000000"/>
                <w:sz w:val="18"/>
                <w:szCs w:val="18"/>
                <w:lang w:eastAsia="pl-PL"/>
              </w:rPr>
              <w:t xml:space="preserve">3 000 000 </w:t>
            </w:r>
          </w:p>
        </w:tc>
      </w:tr>
    </w:tbl>
    <w:p w14:paraId="0D818308">
      <w:pPr>
        <w:jc w:val="center"/>
        <w:rPr>
          <w:rFonts w:ascii="Times New Roman" w:hAnsi="Times New Roman" w:cs="Times New Roman"/>
          <w:b/>
          <w:bCs/>
        </w:rPr>
      </w:pPr>
      <w:r>
        <w:rPr>
          <w:rFonts w:ascii="Times New Roman" w:hAnsi="Times New Roman" w:cs="Times New Roman"/>
          <w:i/>
          <w:iCs/>
          <w:sz w:val="20"/>
          <w:szCs w:val="20"/>
        </w:rPr>
        <w:t>Źródło: opracowanie własne</w:t>
      </w:r>
      <w:r>
        <w:rPr>
          <w:rFonts w:ascii="Times New Roman" w:hAnsi="Times New Roman" w:cs="Times New Roman"/>
          <w:b/>
          <w:bCs/>
        </w:rPr>
        <w:br w:type="page"/>
      </w:r>
    </w:p>
    <w:p w14:paraId="6A994B84">
      <w:pPr>
        <w:rPr>
          <w:rFonts w:ascii="Times New Roman" w:hAnsi="Times New Roman" w:cs="Times New Roman"/>
          <w:b/>
          <w:bCs/>
        </w:rPr>
        <w:sectPr>
          <w:pgSz w:w="16838" w:h="11906" w:orient="landscape"/>
          <w:pgMar w:top="851" w:right="851" w:bottom="851" w:left="851" w:header="709" w:footer="709" w:gutter="0"/>
          <w:cols w:space="708" w:num="1"/>
          <w:titlePg/>
          <w:docGrid w:linePitch="360" w:charSpace="0"/>
        </w:sectPr>
      </w:pPr>
    </w:p>
    <w:p w14:paraId="44ADB011">
      <w:pPr>
        <w:pStyle w:val="28"/>
        <w:numPr>
          <w:ilvl w:val="0"/>
          <w:numId w:val="2"/>
        </w:numPr>
        <w:outlineLvl w:val="0"/>
        <w:rPr>
          <w:rFonts w:ascii="Times New Roman" w:hAnsi="Times New Roman" w:cs="Times New Roman"/>
          <w:b/>
          <w:bCs/>
        </w:rPr>
      </w:pPr>
      <w:bookmarkStart w:id="152" w:name="_Toc135647310"/>
      <w:bookmarkStart w:id="153" w:name="_Toc135994839"/>
      <w:r>
        <w:rPr>
          <w:rFonts w:ascii="Times New Roman" w:hAnsi="Times New Roman" w:cs="Times New Roman"/>
          <w:b/>
          <w:bCs/>
          <w:color w:val="000000" w:themeColor="text1"/>
          <w14:textFill>
            <w14:solidFill>
              <w14:schemeClr w14:val="tx1"/>
            </w14:solidFill>
          </w14:textFill>
        </w:rPr>
        <w:t>SPOSÓB WYBORU I OCENY OPERACJI ORAZ SPOSÓB USTANAWIANIA KRYTERIÓW WYBORU</w:t>
      </w:r>
      <w:bookmarkEnd w:id="152"/>
      <w:bookmarkEnd w:id="153"/>
      <w:r>
        <w:rPr>
          <w:rFonts w:ascii="Times New Roman" w:hAnsi="Times New Roman" w:cs="Times New Roman"/>
          <w:b/>
          <w:bCs/>
        </w:rPr>
        <w:t xml:space="preserve"> </w:t>
      </w:r>
    </w:p>
    <w:p w14:paraId="18EF27E2">
      <w:pPr>
        <w:pStyle w:val="28"/>
        <w:outlineLvl w:val="0"/>
        <w:rPr>
          <w:rFonts w:ascii="Times New Roman" w:hAnsi="Times New Roman" w:cs="Times New Roman"/>
          <w:b/>
          <w:bCs/>
        </w:rPr>
      </w:pPr>
    </w:p>
    <w:p w14:paraId="3375467A">
      <w:pPr>
        <w:pStyle w:val="28"/>
        <w:numPr>
          <w:ilvl w:val="1"/>
          <w:numId w:val="2"/>
        </w:numPr>
        <w:spacing w:before="240" w:after="0" w:line="276" w:lineRule="auto"/>
        <w:ind w:left="851" w:hanging="709"/>
        <w:jc w:val="both"/>
        <w:rPr>
          <w:rFonts w:ascii="Times New Roman" w:hAnsi="Times New Roman" w:cs="Times New Roman"/>
          <w:b/>
          <w:bCs/>
        </w:rPr>
      </w:pPr>
      <w:r>
        <w:rPr>
          <w:rFonts w:ascii="Times New Roman" w:hAnsi="Times New Roman" w:cs="Times New Roman"/>
          <w:b/>
          <w:bCs/>
        </w:rPr>
        <w:t>Ogólna charakterystyka wewnętrznej organizacji pracy LGD, w tym przyjętych rozwiązań formalno – instytucjonalnych wraz ze zwięzłą informacją wskazującą sposób powstawania poszczególnych procedur, ich kluczowe cele i założenia</w:t>
      </w:r>
    </w:p>
    <w:p w14:paraId="5BF0460F">
      <w:pPr>
        <w:spacing w:before="240" w:after="0" w:line="276" w:lineRule="auto"/>
        <w:ind w:firstLine="708"/>
        <w:jc w:val="both"/>
        <w:rPr>
          <w:rFonts w:ascii="Times New Roman" w:hAnsi="Times New Roman" w:cs="Times New Roman"/>
        </w:rPr>
      </w:pPr>
      <w:r>
        <w:rPr>
          <w:rFonts w:ascii="Times New Roman" w:hAnsi="Times New Roman" w:cs="Times New Roman"/>
        </w:rPr>
        <w:t>W celu sprawnego wdrożenia Strategii, LGD opracowała i stosowała w perspektywie 2014–2020 zestaw procedur oceny i wyboru operacji, odnoszących się do wszelkich operacji realizowanych w ramach LSR. Będą one stosowane również przy wdrażaniu tej LSR, po dostosowaniu do obowiazujacych przepisów. Przez cały okres wdrażania Strategii będą one udostępniane do wiadomości publicznej w Biurze, na stronie internetowej LGD oraz omawiane w trakcie spotkań informacyjnych i szkoleń dla potencjalnych wnioskodawców. Kryteria wyboru grantobiorców i procedura ich ustalania / zmiany stanowi wspólny dokument z procedurą wyboru i oceny grantobiorców.</w:t>
      </w:r>
    </w:p>
    <w:p w14:paraId="2BBCA0FD">
      <w:pPr>
        <w:spacing w:after="0" w:line="276" w:lineRule="auto"/>
        <w:ind w:firstLine="708"/>
        <w:jc w:val="both"/>
        <w:rPr>
          <w:rFonts w:ascii="Times New Roman" w:hAnsi="Times New Roman" w:cs="Times New Roman"/>
        </w:rPr>
      </w:pPr>
      <w:r>
        <w:rPr>
          <w:rFonts w:ascii="Times New Roman" w:hAnsi="Times New Roman" w:cs="Times New Roman"/>
        </w:rPr>
        <w:t xml:space="preserve">LGD posiada procedury z uwzględnieniem obowiązujących przepisów prawnych i wytycznych dotyczących instrumentu RLKS oraz </w:t>
      </w:r>
      <w:bookmarkStart w:id="154" w:name="_Hlk135604941"/>
      <w:r>
        <w:rPr>
          <w:rFonts w:ascii="Times New Roman" w:hAnsi="Times New Roman" w:cs="Times New Roman"/>
        </w:rPr>
        <w:t>dokłada wszelkich starań</w:t>
      </w:r>
      <w:bookmarkEnd w:id="154"/>
      <w:r>
        <w:rPr>
          <w:rFonts w:ascii="Times New Roman" w:hAnsi="Times New Roman" w:cs="Times New Roman"/>
        </w:rPr>
        <w:t>,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7E78E731">
      <w:pPr>
        <w:spacing w:after="0" w:line="276" w:lineRule="auto"/>
        <w:ind w:firstLine="708"/>
        <w:jc w:val="both"/>
        <w:rPr>
          <w:rFonts w:ascii="Times New Roman" w:hAnsi="Times New Roman" w:cs="Times New Roman"/>
        </w:rPr>
      </w:pPr>
      <w:r>
        <w:rPr>
          <w:rFonts w:ascii="Times New Roman" w:hAnsi="Times New Roman" w:cs="Times New Roman"/>
        </w:rPr>
        <w:t>Dokumenty regulujące szczegółowe rozwiązania to: procedura/y wyboru i oceny operacji, regulamin organu decyzyjnego, procedura ustalania kryteriów wyboru, procedura wyboru i oceny grantobiorców wraz z kryteriami wyboru grantobiorców i procedurą ustalania i zmiany kryteriów wyboru grantobiorców.</w:t>
      </w:r>
    </w:p>
    <w:p w14:paraId="0A76ABF2">
      <w:pPr>
        <w:spacing w:before="240" w:after="0" w:line="276" w:lineRule="auto"/>
        <w:ind w:firstLine="708"/>
        <w:rPr>
          <w:rFonts w:ascii="Times New Roman" w:hAnsi="Times New Roman" w:cs="Times New Roman"/>
        </w:rPr>
      </w:pPr>
      <w:r>
        <w:rPr>
          <w:rFonts w:ascii="Times New Roman" w:hAnsi="Times New Roman" w:cs="Times New Roman"/>
        </w:rPr>
        <w:t>Dla komponentu Wdrażanie LSR przewiduje się, w szczególności, następujące warunki kwalifikowalności:</w:t>
      </w:r>
    </w:p>
    <w:p w14:paraId="05AF1C2A">
      <w:pPr>
        <w:numPr>
          <w:ilvl w:val="0"/>
          <w:numId w:val="42"/>
        </w:numPr>
        <w:spacing w:after="240" w:line="276" w:lineRule="auto"/>
        <w:contextualSpacing/>
        <w:jc w:val="both"/>
        <w:rPr>
          <w:rFonts w:ascii="Times New Roman" w:hAnsi="Times New Roman"/>
        </w:rPr>
      </w:pPr>
      <w:r>
        <w:rPr>
          <w:rFonts w:ascii="Times New Roman" w:hAnsi="Times New Roman"/>
        </w:rPr>
        <w:t>powiązanie wnioskodawcy z obszarem objętym LSR,</w:t>
      </w:r>
    </w:p>
    <w:p w14:paraId="29D8220B">
      <w:pPr>
        <w:numPr>
          <w:ilvl w:val="0"/>
          <w:numId w:val="42"/>
        </w:numPr>
        <w:spacing w:after="240" w:line="276" w:lineRule="auto"/>
        <w:contextualSpacing/>
        <w:jc w:val="both"/>
        <w:rPr>
          <w:rFonts w:ascii="Times New Roman" w:hAnsi="Times New Roman"/>
        </w:rPr>
      </w:pPr>
      <w:r>
        <w:rPr>
          <w:rFonts w:ascii="Times New Roman" w:hAnsi="Times New Roman"/>
        </w:rPr>
        <w:t>przyczynianie się do realizacji LSR:</w:t>
      </w:r>
    </w:p>
    <w:p w14:paraId="639ECEF8">
      <w:pPr>
        <w:numPr>
          <w:ilvl w:val="0"/>
          <w:numId w:val="43"/>
        </w:numPr>
        <w:spacing w:after="240"/>
        <w:contextualSpacing/>
        <w:jc w:val="both"/>
        <w:rPr>
          <w:rFonts w:ascii="Times New Roman" w:hAnsi="Times New Roman"/>
        </w:rPr>
      </w:pPr>
      <w:r>
        <w:rPr>
          <w:rFonts w:ascii="Times New Roman" w:hAnsi="Times New Roman"/>
        </w:rPr>
        <w:t>weryfikowane poprzez osiągnięcie zakładanych wskaźników,</w:t>
      </w:r>
    </w:p>
    <w:p w14:paraId="5E76EB2A">
      <w:pPr>
        <w:numPr>
          <w:ilvl w:val="0"/>
          <w:numId w:val="43"/>
        </w:numPr>
        <w:spacing w:after="240"/>
        <w:contextualSpacing/>
        <w:jc w:val="both"/>
        <w:rPr>
          <w:rFonts w:ascii="Times New Roman" w:hAnsi="Times New Roman"/>
        </w:rPr>
      </w:pPr>
      <w:r>
        <w:rPr>
          <w:rFonts w:ascii="Times New Roman" w:hAnsi="Times New Roman"/>
        </w:rPr>
        <w:t xml:space="preserve">rozumiane jako bezpośredni wpływ na realizację konkretnego przedsięwzięcia, </w:t>
      </w:r>
    </w:p>
    <w:p w14:paraId="132899C1">
      <w:pPr>
        <w:numPr>
          <w:ilvl w:val="0"/>
          <w:numId w:val="42"/>
        </w:numPr>
        <w:spacing w:after="240" w:line="276" w:lineRule="auto"/>
        <w:contextualSpacing/>
        <w:jc w:val="both"/>
        <w:rPr>
          <w:rFonts w:ascii="Times New Roman" w:hAnsi="Times New Roman"/>
        </w:rPr>
      </w:pPr>
      <w:r>
        <w:rPr>
          <w:rFonts w:ascii="Times New Roman" w:hAnsi="Times New Roman"/>
        </w:rPr>
        <w:t>legalność – zgodność projektu operacji z przepisami prawa,</w:t>
      </w:r>
    </w:p>
    <w:p w14:paraId="179F3F62">
      <w:pPr>
        <w:numPr>
          <w:ilvl w:val="0"/>
          <w:numId w:val="42"/>
        </w:numPr>
        <w:spacing w:after="240" w:line="276" w:lineRule="auto"/>
        <w:contextualSpacing/>
        <w:jc w:val="both"/>
        <w:rPr>
          <w:rFonts w:ascii="Times New Roman" w:hAnsi="Times New Roman"/>
        </w:rPr>
      </w:pPr>
      <w:r>
        <w:rPr>
          <w:rFonts w:ascii="Times New Roman" w:hAnsi="Times New Roman"/>
        </w:rPr>
        <w:t>w przypadku działalności gospodarczej – uzasadnienie ekonomiczne (uproszczony biznesplan),</w:t>
      </w:r>
    </w:p>
    <w:p w14:paraId="534F43E7">
      <w:pPr>
        <w:numPr>
          <w:ilvl w:val="0"/>
          <w:numId w:val="42"/>
        </w:numPr>
        <w:spacing w:after="240" w:line="276" w:lineRule="auto"/>
        <w:contextualSpacing/>
        <w:jc w:val="both"/>
        <w:rPr>
          <w:rFonts w:ascii="Times New Roman" w:hAnsi="Times New Roman"/>
        </w:rPr>
      </w:pPr>
      <w:r>
        <w:rPr>
          <w:rFonts w:ascii="Times New Roman" w:hAnsi="Times New Roman"/>
        </w:rPr>
        <w:t>w przypadku operacji dotyczących obiektów zabytkowych – zapewnienie, iż obiekt jest zabytkiem (np. wpisany do Rejestru zabytków lub ewidencji zabytków),</w:t>
      </w:r>
    </w:p>
    <w:p w14:paraId="22ECE2B1">
      <w:pPr>
        <w:numPr>
          <w:ilvl w:val="0"/>
          <w:numId w:val="42"/>
        </w:numPr>
        <w:spacing w:after="240" w:line="276" w:lineRule="auto"/>
        <w:contextualSpacing/>
        <w:jc w:val="both"/>
        <w:rPr>
          <w:rFonts w:ascii="Times New Roman" w:hAnsi="Times New Roman"/>
        </w:rPr>
      </w:pPr>
      <w:r>
        <w:rPr>
          <w:rFonts w:ascii="Times New Roman" w:hAnsi="Times New Roman"/>
        </w:rPr>
        <w:t>w przypadku operacji w partnerstwie oraz projektów partnerskich:</w:t>
      </w:r>
    </w:p>
    <w:p w14:paraId="74C157BF">
      <w:pPr>
        <w:numPr>
          <w:ilvl w:val="0"/>
          <w:numId w:val="44"/>
        </w:numPr>
        <w:spacing w:after="240"/>
        <w:contextualSpacing/>
        <w:jc w:val="both"/>
        <w:rPr>
          <w:rFonts w:ascii="Times New Roman" w:hAnsi="Times New Roman"/>
        </w:rPr>
      </w:pPr>
      <w:r>
        <w:rPr>
          <w:rFonts w:ascii="Times New Roman" w:hAnsi="Times New Roman"/>
        </w:rPr>
        <w:t>udział co najmniej 2 podmiotów,</w:t>
      </w:r>
    </w:p>
    <w:p w14:paraId="3850241D">
      <w:pPr>
        <w:numPr>
          <w:ilvl w:val="0"/>
          <w:numId w:val="44"/>
        </w:numPr>
        <w:spacing w:after="240"/>
        <w:contextualSpacing/>
        <w:jc w:val="both"/>
        <w:rPr>
          <w:rFonts w:ascii="Times New Roman" w:hAnsi="Times New Roman"/>
        </w:rPr>
      </w:pPr>
      <w:r>
        <w:rPr>
          <w:rFonts w:ascii="Times New Roman" w:hAnsi="Times New Roman"/>
        </w:rPr>
        <w:t>realizacja wspólnego przedsięwzięcia,</w:t>
      </w:r>
    </w:p>
    <w:p w14:paraId="75862B66">
      <w:pPr>
        <w:numPr>
          <w:ilvl w:val="0"/>
          <w:numId w:val="44"/>
        </w:numPr>
        <w:spacing w:after="240"/>
        <w:contextualSpacing/>
        <w:jc w:val="both"/>
        <w:rPr>
          <w:rFonts w:ascii="Times New Roman" w:hAnsi="Times New Roman"/>
        </w:rPr>
      </w:pPr>
      <w:r>
        <w:rPr>
          <w:rFonts w:ascii="Times New Roman" w:hAnsi="Times New Roman"/>
        </w:rPr>
        <w:t>dokument potwierdzający wolę współpracy co najmniej 2 podmiotów,</w:t>
      </w:r>
    </w:p>
    <w:p w14:paraId="373BD11B">
      <w:pPr>
        <w:numPr>
          <w:ilvl w:val="0"/>
          <w:numId w:val="45"/>
        </w:numPr>
        <w:spacing w:before="240" w:after="240" w:line="276" w:lineRule="auto"/>
        <w:ind w:left="1423" w:hanging="357"/>
        <w:jc w:val="both"/>
        <w:rPr>
          <w:rFonts w:ascii="Times New Roman" w:hAnsi="Times New Roman"/>
        </w:rPr>
      </w:pPr>
      <w:r>
        <w:rPr>
          <w:rFonts w:ascii="Times New Roman" w:hAnsi="Times New Roman"/>
        </w:rPr>
        <w:t>w przypadku operacji realizowanych w ramach poprawy dostępu do małej infrastruktury publicznej kwalifikowalne są operacje niekomercyjne, których koszty całkowite nie przekraczają 1 mln euro.</w:t>
      </w:r>
    </w:p>
    <w:p w14:paraId="0CD1C5C3">
      <w:pPr>
        <w:spacing w:before="240" w:after="0" w:line="276" w:lineRule="auto"/>
        <w:ind w:firstLine="709"/>
        <w:jc w:val="both"/>
        <w:rPr>
          <w:rFonts w:ascii="Times New Roman" w:hAnsi="Times New Roman" w:cs="Times New Roman"/>
        </w:rPr>
      </w:pPr>
      <w:r>
        <w:rPr>
          <w:rFonts w:ascii="Times New Roman" w:hAnsi="Times New Roman" w:cs="Times New Roman"/>
        </w:rPr>
        <w:t xml:space="preserve">Wybór projektów do dofinansowania będzie odbywał się każdorazowo z zastosowaniem zasad horyzontalnych. </w:t>
      </w:r>
    </w:p>
    <w:p w14:paraId="4692DC0F">
      <w:pPr>
        <w:spacing w:before="240" w:line="276" w:lineRule="auto"/>
        <w:ind w:firstLine="708"/>
        <w:jc w:val="both"/>
        <w:rPr>
          <w:rFonts w:ascii="Times New Roman" w:hAnsi="Times New Roman" w:cs="Times New Roman"/>
        </w:rPr>
      </w:pPr>
      <w:r>
        <w:rPr>
          <w:rFonts w:ascii="Times New Roman" w:hAnsi="Times New Roman" w:cs="Times New Roman"/>
        </w:rPr>
        <w:t xml:space="preserve">Ostateczne procedury zostaną przygotowane przez Biuro LGD w oparciu o dostępne wytyczne, a także </w:t>
      </w:r>
      <w:r>
        <w:rPr>
          <w:rFonts w:ascii="Times New Roman" w:hAnsi="Times New Roman" w:cs="Times New Roman"/>
        </w:rPr>
        <w:br w:type="textWrapping"/>
      </w:r>
      <w:r>
        <w:rPr>
          <w:rFonts w:ascii="Times New Roman" w:hAnsi="Times New Roman" w:cs="Times New Roman"/>
        </w:rPr>
        <w:t xml:space="preserve">z uwzględnieniem najlepszych praktyk z okresu realizacji LSR 2016-2023. Kluczowym celem procedur jest zapewnienie rzetelnego, sprawnego i przejrzystego przebiegu całego procesu aplikowania o dofinansowanie od momentu złożenia wniosków w biurze LGD poprzez ocenę i wybór operacji, aż do momentu przekazania ich Samorządowi Województwa lub zawarcia umowy i rozliczenia zadań. Główne założenia procedur mają zapobiegać konfliktom interesów, a także zapewnić możliwość złożenia protestu/ odwołania. Wszystkie procedury zostaną skonsultowane z członkami Zarządu, rady, a następnie poddane konsultacją społecznym i finalnie przyjęte. </w:t>
      </w:r>
    </w:p>
    <w:p w14:paraId="5D3B4A00">
      <w:pPr>
        <w:numPr>
          <w:ilvl w:val="1"/>
          <w:numId w:val="1"/>
        </w:numPr>
        <w:spacing w:line="276" w:lineRule="auto"/>
        <w:ind w:left="851" w:hanging="709"/>
        <w:jc w:val="both"/>
        <w:rPr>
          <w:rFonts w:ascii="Times New Roman" w:hAnsi="Times New Roman" w:cs="Times New Roman"/>
          <w:b/>
          <w:bCs/>
        </w:rPr>
      </w:pPr>
      <w:r>
        <w:rPr>
          <w:rFonts w:ascii="Times New Roman" w:hAnsi="Times New Roman" w:cs="Times New Roman"/>
          <w:b/>
          <w:bCs/>
        </w:rPr>
        <w:t>Sposób ustalania i zmiany kryteriów wyboru zgodnie z wymogami określonymi dla programów, w ramach których planowane jest finansowanie LSR, z uwzględnieniem powiązania kryteriów wyboru z diagnozą obszaru, celami i wskaźnikami</w:t>
      </w:r>
    </w:p>
    <w:p w14:paraId="0EB33BB7">
      <w:pPr>
        <w:spacing w:after="0" w:line="276" w:lineRule="auto"/>
        <w:ind w:firstLine="708"/>
        <w:jc w:val="both"/>
        <w:rPr>
          <w:rFonts w:ascii="Times New Roman" w:hAnsi="Times New Roman" w:cs="Times New Roman"/>
        </w:rPr>
      </w:pPr>
      <w:r>
        <w:rPr>
          <w:rFonts w:ascii="Times New Roman" w:hAnsi="Times New Roman" w:cs="Times New Roman"/>
        </w:rPr>
        <w:t xml:space="preserve">Kryteria wyboru i oceny operacji zostaną ustalone przede wszystkim w takim zakresie, aby premiować przedsięwzięcia, które będą niwelować problemy wynikające z diagnozy obszaru i konsultacji społecznych oraz by wpływać na osiąganie zamierzonych celów i wskaźników produktu oraz rezultatu. Tworzenie kryteriów odbędzie się przy udziale lokalnej społeczności i będzie miało na celu ustalenie aspektów, które będą szczególnie premiowane </w:t>
      </w:r>
      <w:r>
        <w:rPr>
          <w:rFonts w:ascii="Times New Roman" w:hAnsi="Times New Roman" w:cs="Times New Roman"/>
        </w:rPr>
        <w:br w:type="textWrapping"/>
      </w:r>
      <w:r>
        <w:rPr>
          <w:rFonts w:ascii="Times New Roman" w:hAnsi="Times New Roman" w:cs="Times New Roman"/>
        </w:rPr>
        <w:t xml:space="preserve">w ramach oceny wniosków oraz będą zaspokajać potrzeby mieszkańców, poznane podczas przeprowadzonych konsultacji społecznych na obszarze. Opracowane kryteria są ściśle powiązane z celami i grupami docelowymi, do których jest kierowane wsparcie, w zależności od rodzaju beneficjenta – z uwzględnieniem wyników diagnozy </w:t>
      </w:r>
      <w:r>
        <w:rPr>
          <w:rFonts w:ascii="Times New Roman" w:hAnsi="Times New Roman" w:cs="Times New Roman"/>
        </w:rPr>
        <w:br w:type="textWrapping"/>
      </w:r>
      <w:r>
        <w:rPr>
          <w:rFonts w:ascii="Times New Roman" w:hAnsi="Times New Roman" w:cs="Times New Roman"/>
        </w:rPr>
        <w:t>i analizy SWOT. Kryteria opracowano w sposób przejrzysty, mierzalny, pozwalający uniknąć sytuacji niepożądanych, polegających na subiektywnej ocenie, a przyznawanie punków odbywać się będzie w formie zero-jedynkowej.</w:t>
      </w:r>
    </w:p>
    <w:p w14:paraId="0D069BD9">
      <w:pPr>
        <w:spacing w:after="0" w:line="276" w:lineRule="auto"/>
        <w:ind w:firstLine="708"/>
        <w:jc w:val="both"/>
        <w:rPr>
          <w:rFonts w:ascii="Times New Roman" w:hAnsi="Times New Roman" w:cs="Times New Roman"/>
        </w:rPr>
      </w:pPr>
      <w:r>
        <w:rPr>
          <w:rFonts w:ascii="Times New Roman" w:hAnsi="Times New Roman" w:cs="Times New Roman"/>
        </w:rPr>
        <w:t xml:space="preserve">Dla niektórych przedsięwzięć w LSR, LGD ustanowiło kryteria wyboru o charakterze dostępowym (zawężające możliwość uzyskania wsparcia), które pozwolą ukierunkować wsparcie na operacje najpełniej odpowiadające potrzebom obszaru LSR i najlepiej pasujące do zaplanowanych do realizacji przedsięwzięć. W celu właściwego ukierunkowania pomocy, LGD zastosuje również kryteria wyboru premiujące. Niektóre z kryteriów premiujących będą zastosowane do wszystkich przedsięwzięć, inne do wybranych. Jednym z kryteriów wyboru będzie punktowanie operacji innowacyjnych poprzez wykorzystanie powstałej infrastruktury do integrowania społeczeństwa, podejmowania innowacyjnych inicjatyw w kierunku integracji społecznej, rozwoju mieszkańców, w tym cyfrowego oraz zagospodarowania ich czasu wolnego, również wykorzystujących cyfryzację do rozwoju gospodarczego i społecznego regionu. </w:t>
      </w:r>
    </w:p>
    <w:p w14:paraId="7351CFC5">
      <w:pPr>
        <w:numPr>
          <w:ilvl w:val="1"/>
          <w:numId w:val="1"/>
        </w:numPr>
        <w:spacing w:before="240" w:line="276" w:lineRule="auto"/>
        <w:ind w:left="851" w:hanging="709"/>
        <w:jc w:val="both"/>
        <w:rPr>
          <w:rFonts w:ascii="Times New Roman" w:hAnsi="Times New Roman" w:cs="Times New Roman"/>
          <w:b/>
          <w:bCs/>
        </w:rPr>
      </w:pPr>
      <w:r>
        <w:rPr>
          <w:rFonts w:ascii="Times New Roman" w:hAnsi="Times New Roman" w:cs="Times New Roman"/>
          <w:b/>
          <w:bCs/>
        </w:rPr>
        <w:t>Wskazanie w jaki sposób w kryteriach wyboru operacji zostanie uwzględniona innowacyjność oraz przedstawienie ich definicji i zasad oceny, a także lub operacji realizowanych w partnerstwie na obszarze LSR</w:t>
      </w:r>
    </w:p>
    <w:p w14:paraId="5195886E">
      <w:pPr>
        <w:spacing w:after="0" w:line="276" w:lineRule="auto"/>
        <w:ind w:firstLine="708"/>
        <w:jc w:val="both"/>
        <w:rPr>
          <w:rFonts w:ascii="Times New Roman" w:hAnsi="Times New Roman" w:cs="Times New Roman"/>
        </w:rPr>
      </w:pPr>
      <w:r>
        <w:rPr>
          <w:rFonts w:ascii="Times New Roman" w:hAnsi="Times New Roman" w:cs="Times New Roman"/>
        </w:rPr>
        <w:t>Ogólna definicja innowacyjności rozumiana jest jako wprowadzenie na rynek (w tym przypadku obszar LGD) nowego lub udoskonalonego produktu, usługi lub procesu organizacji lub nowego sposobu wykorzystania lub zmobilizowania istniejących lokalnych zasobów przyrodniczych, historycznych, kulturowych czy społecznych. Dla przedsięwzięć związanych z rozwojem przedsiębiorczości, z racji charakteru operacji, definicję tę uściślono i przyjęto, iż innowacja to wprowadzenie na rynek przez dane przedsiębiorstwo nowego towaru lub usługi, lub znaczące ulepszenie oferowanych uprzednio towarów lub usług w odniesieniu do ich charakterystyk lub przeznaczenia. Ulepszenie może dotyczyć charakterystyk technicznych, komponentów, materiałów, wbudowanego oprogramowania, bardziej przyjaznej obsługi przez użytkownika oraz innych cech funkcjonalnych. Preferowane będzie wdrażanie innowacji poprzez implementowanie zupełnie nowych na obszarze objętym LSR produktów, usług, procesów, technologii, metod organizacji lub nowych sposobów wykorzystania dostępnych zasobów.</w:t>
      </w:r>
    </w:p>
    <w:p w14:paraId="424AD330">
      <w:pPr>
        <w:spacing w:before="240" w:after="0" w:line="276" w:lineRule="auto"/>
        <w:ind w:firstLine="708"/>
        <w:jc w:val="both"/>
        <w:rPr>
          <w:rFonts w:ascii="Times New Roman" w:hAnsi="Times New Roman" w:cs="Times New Roman"/>
        </w:rPr>
      </w:pPr>
      <w:r>
        <w:rPr>
          <w:rFonts w:ascii="Times New Roman" w:hAnsi="Times New Roman" w:cs="Times New Roman"/>
        </w:rPr>
        <w:t>Biorąc pod uwagę realizację operacji w partnerstwie Stowarzyszenia Lokalna Grupa Działania „Między Dalinem i Gościbią”</w:t>
      </w:r>
      <w:r>
        <w:rPr>
          <w:rFonts w:ascii="Times New Roman" w:hAnsi="Times New Roman" w:cs="Times New Roman"/>
          <w:i/>
          <w:iCs/>
        </w:rPr>
        <w:t xml:space="preserve"> </w:t>
      </w:r>
      <w:r>
        <w:rPr>
          <w:rFonts w:ascii="Times New Roman" w:hAnsi="Times New Roman" w:cs="Times New Roman"/>
        </w:rPr>
        <w:t>zdecydowała się na zastosowanie kryterium pn. „Partnerstwo w ramach operacji”. W ramach tego kryterium preferowane będą operacje, które zapewnią budowanie partnerstwa na rzecz współpracy podmiotów wewnątrz LGD lub poza obszarem LGD. Projekt partnerski dedykowano w szczególności przedsięwzięcie 1.10, w ramach którego przewiduje się realizację (itp.).</w:t>
      </w:r>
    </w:p>
    <w:p w14:paraId="6A1A705D">
      <w:pPr>
        <w:spacing w:after="0" w:line="276" w:lineRule="auto"/>
        <w:ind w:firstLine="708"/>
        <w:jc w:val="both"/>
        <w:rPr>
          <w:rFonts w:ascii="Times New Roman" w:hAnsi="Times New Roman" w:cs="Times New Roman"/>
        </w:rPr>
      </w:pPr>
    </w:p>
    <w:p w14:paraId="784D42EA">
      <w:pPr>
        <w:pStyle w:val="28"/>
        <w:numPr>
          <w:ilvl w:val="1"/>
          <w:numId w:val="1"/>
        </w:numPr>
        <w:spacing w:after="0" w:line="276" w:lineRule="auto"/>
        <w:ind w:left="851" w:hanging="709"/>
        <w:jc w:val="both"/>
        <w:rPr>
          <w:rFonts w:ascii="Times New Roman" w:hAnsi="Times New Roman" w:cs="Times New Roman"/>
          <w:b/>
          <w:bCs/>
        </w:rPr>
      </w:pPr>
      <w:r>
        <w:rPr>
          <w:rFonts w:ascii="Times New Roman" w:hAnsi="Times New Roman" w:cs="Times New Roman"/>
          <w:b/>
          <w:bCs/>
        </w:rPr>
        <w:t xml:space="preserve">Informacja o realizacji operacji własnych i/lub operacji realizowanych w partnerstwie z partnerami spoza obszaru LSR </w:t>
      </w:r>
    </w:p>
    <w:p w14:paraId="73D990BB">
      <w:pPr>
        <w:spacing w:before="240" w:after="0" w:line="276" w:lineRule="auto"/>
        <w:ind w:firstLine="708"/>
        <w:jc w:val="both"/>
        <w:rPr>
          <w:rFonts w:ascii="Times New Roman" w:hAnsi="Times New Roman" w:cs="Times New Roman"/>
        </w:rPr>
      </w:pPr>
      <w:r>
        <w:rPr>
          <w:rFonts w:ascii="Times New Roman" w:hAnsi="Times New Roman" w:cs="Times New Roman"/>
        </w:rPr>
        <w:t>Wsparcie na podejmowanie pozarolniczej działalności gospodarczej przysługuje tylko raz w okresie realizacji Planu Strategicznego. W przypadku uzyskania wsparcia na podejmowanie pozarolniczej działalności gospodarczej, wnioskodawca może ubiegać się o wsparcie na rozwijanie tych działalności nie wcześniej niż po upływie 2 lat od wypłaty płatności ostatecznej w ramach operacji realizowanej w ramach podejmowania/tworzenia tych działalności. Beneficjent realizujący operacje w zakresie inwestycji w infrastrukturę lub inwestycji produkcyjnych zobowiązuje się do zapewnienia trwałości inwestycji.</w:t>
      </w:r>
    </w:p>
    <w:p w14:paraId="7452C5F7">
      <w:pPr>
        <w:spacing w:before="240" w:after="0" w:line="276" w:lineRule="auto"/>
        <w:ind w:firstLine="708"/>
        <w:jc w:val="both"/>
        <w:rPr>
          <w:rFonts w:ascii="Times New Roman" w:hAnsi="Times New Roman" w:cs="Times New Roman"/>
        </w:rPr>
      </w:pPr>
      <w:r>
        <w:rPr>
          <w:rFonts w:ascii="Times New Roman" w:hAnsi="Times New Roman" w:cs="Times New Roman"/>
        </w:rPr>
        <w:t>Operacja własna może być realizowana, gdy realizuje cele publiczne oraz niekomercyjne oraz jest niezbędna do osiągnięcia danego celu/przedsięwzięcia LSR. Koszty operacji własnych nie mogą stanowić więcej niż 20% budżetu komponentu Wdrażanie LSR. Wnioski o przyznanie pomocy na operacje własne zawierają opis znaczenia realizacji operacji dla LSR oraz uzasadnienie realizacji operacji przez LGD (m.in. wyjaśnienie dlaczego operacja ta nie może być zrealizowana przez inne podmioty).</w:t>
      </w:r>
    </w:p>
    <w:p w14:paraId="268179F6">
      <w:pPr>
        <w:spacing w:after="0" w:line="276" w:lineRule="auto"/>
        <w:ind w:firstLine="708"/>
        <w:jc w:val="both"/>
        <w:rPr>
          <w:rFonts w:ascii="Times New Roman" w:hAnsi="Times New Roman" w:cs="Times New Roman"/>
        </w:rPr>
      </w:pPr>
      <w:r>
        <w:rPr>
          <w:rFonts w:ascii="Times New Roman" w:hAnsi="Times New Roman" w:cs="Times New Roman"/>
        </w:rPr>
        <w:t>Wsparcie udzielane jest w formie dotacji w postaci ryczałtu w zakresie:</w:t>
      </w:r>
    </w:p>
    <w:p w14:paraId="50309521">
      <w:pPr>
        <w:numPr>
          <w:ilvl w:val="0"/>
          <w:numId w:val="46"/>
        </w:numPr>
        <w:spacing w:after="0" w:line="276" w:lineRule="auto"/>
        <w:jc w:val="both"/>
        <w:rPr>
          <w:rFonts w:ascii="Times New Roman" w:hAnsi="Times New Roman" w:cs="Times New Roman"/>
        </w:rPr>
      </w:pPr>
      <w:r>
        <w:rPr>
          <w:rFonts w:ascii="Times New Roman" w:hAnsi="Times New Roman" w:cs="Times New Roman"/>
        </w:rPr>
        <w:t>podejmowania pozarolniczej działalności gospodarczej przez osoby fizyczne – do wysokości 150 tys. zł,</w:t>
      </w:r>
    </w:p>
    <w:p w14:paraId="72D5E6C1">
      <w:pPr>
        <w:numPr>
          <w:ilvl w:val="0"/>
          <w:numId w:val="46"/>
        </w:numPr>
        <w:spacing w:after="0" w:line="276" w:lineRule="auto"/>
        <w:jc w:val="both"/>
        <w:rPr>
          <w:rFonts w:ascii="Times New Roman" w:hAnsi="Times New Roman" w:cs="Times New Roman"/>
        </w:rPr>
      </w:pPr>
      <w:r>
        <w:rPr>
          <w:rFonts w:ascii="Times New Roman" w:hAnsi="Times New Roman" w:cs="Times New Roman"/>
        </w:rPr>
        <w:t>projektów grantowych do wysokości 500 tys. zł, przy czym wysokość pojedynczego grantu:</w:t>
      </w:r>
    </w:p>
    <w:p w14:paraId="13027D2A">
      <w:pPr>
        <w:numPr>
          <w:ilvl w:val="0"/>
          <w:numId w:val="42"/>
        </w:numPr>
        <w:spacing w:after="0" w:line="276" w:lineRule="auto"/>
        <w:jc w:val="both"/>
        <w:rPr>
          <w:rFonts w:ascii="Times New Roman" w:hAnsi="Times New Roman" w:cs="Times New Roman"/>
        </w:rPr>
      </w:pPr>
      <w:r>
        <w:rPr>
          <w:rFonts w:ascii="Times New Roman" w:hAnsi="Times New Roman" w:cs="Times New Roman"/>
        </w:rPr>
        <w:t>na sfinansowanie przygotowania jednej koncepcji inteligentnej wsi, indykatywna kwota jednostkowa wynosi 4 tys. zł,</w:t>
      </w:r>
    </w:p>
    <w:p w14:paraId="61888242">
      <w:pPr>
        <w:numPr>
          <w:ilvl w:val="0"/>
          <w:numId w:val="42"/>
        </w:numPr>
        <w:spacing w:after="0" w:line="276" w:lineRule="auto"/>
        <w:jc w:val="both"/>
        <w:rPr>
          <w:rFonts w:ascii="Times New Roman" w:hAnsi="Times New Roman" w:cs="Times New Roman"/>
        </w:rPr>
      </w:pPr>
      <w:r>
        <w:rPr>
          <w:rFonts w:ascii="Times New Roman" w:hAnsi="Times New Roman" w:cs="Times New Roman"/>
        </w:rPr>
        <w:t>na przygotowanie projektu partnerskiego wynosi:</w:t>
      </w:r>
    </w:p>
    <w:p w14:paraId="4CF9FB30">
      <w:pPr>
        <w:spacing w:after="0" w:line="276" w:lineRule="auto"/>
        <w:ind w:firstLine="708"/>
        <w:jc w:val="both"/>
        <w:rPr>
          <w:rFonts w:ascii="Times New Roman" w:hAnsi="Times New Roman" w:cs="Times New Roman"/>
          <w:bCs/>
        </w:rPr>
      </w:pPr>
      <w:r>
        <w:rPr>
          <w:rFonts w:ascii="Times New Roman" w:hAnsi="Times New Roman" w:cs="Times New Roman"/>
          <w:bCs/>
        </w:rPr>
        <w:t>- do 50 tys. zł w przypadku projektu partnerskiego z podmiotem z obszaru innej LSR z Polski,</w:t>
      </w:r>
    </w:p>
    <w:p w14:paraId="2D2638C8">
      <w:pPr>
        <w:spacing w:after="0" w:line="276" w:lineRule="auto"/>
        <w:ind w:firstLine="708"/>
        <w:jc w:val="both"/>
        <w:rPr>
          <w:rFonts w:ascii="Times New Roman" w:hAnsi="Times New Roman" w:cs="Times New Roman"/>
        </w:rPr>
      </w:pPr>
      <w:r>
        <w:rPr>
          <w:rFonts w:ascii="Times New Roman" w:hAnsi="Times New Roman" w:cs="Times New Roman"/>
        </w:rPr>
        <w:t>- do 150 tys. zł w przypadku międzynarodowego projektu partnerskiego (z podmiotem z obszaru innej LSR z innego kraju),</w:t>
      </w:r>
    </w:p>
    <w:p w14:paraId="2E5D0A0D">
      <w:pPr>
        <w:numPr>
          <w:ilvl w:val="0"/>
          <w:numId w:val="42"/>
        </w:numPr>
        <w:spacing w:after="0" w:line="276" w:lineRule="auto"/>
        <w:jc w:val="both"/>
        <w:rPr>
          <w:rFonts w:ascii="Times New Roman" w:hAnsi="Times New Roman" w:cs="Times New Roman"/>
        </w:rPr>
      </w:pPr>
      <w:r>
        <w:rPr>
          <w:rFonts w:ascii="Times New Roman" w:hAnsi="Times New Roman" w:cs="Times New Roman"/>
        </w:rPr>
        <w:t>w pozostałych zakresach zadań objętych grantami – ustalana będzie na bazie projektu budżetu (art. 83 ust. 1 lit. c oraz ust. 2 lit. b); maksymalna kwota zostanie określona w oparciu o dane historyczne.</w:t>
      </w:r>
    </w:p>
    <w:p w14:paraId="14C2454C">
      <w:pPr>
        <w:spacing w:before="240" w:after="0" w:line="276" w:lineRule="auto"/>
        <w:ind w:firstLine="708"/>
        <w:jc w:val="both"/>
        <w:rPr>
          <w:rFonts w:ascii="Times New Roman" w:hAnsi="Times New Roman" w:cs="Times New Roman"/>
          <w:bCs/>
        </w:rPr>
      </w:pPr>
      <w:r>
        <w:rPr>
          <w:rFonts w:ascii="Times New Roman" w:hAnsi="Times New Roman" w:cs="Times New Roman"/>
        </w:rPr>
        <w:t xml:space="preserve">W pozostałych przypadkach </w:t>
      </w:r>
      <w:r>
        <w:rPr>
          <w:rFonts w:ascii="Times New Roman" w:hAnsi="Times New Roman" w:cs="Times New Roman"/>
          <w:iCs/>
        </w:rPr>
        <w:t xml:space="preserve">wdrażania LSR </w:t>
      </w:r>
      <w:r>
        <w:rPr>
          <w:rFonts w:ascii="Times New Roman" w:hAnsi="Times New Roman" w:cs="Times New Roman"/>
        </w:rPr>
        <w:t xml:space="preserve">(w tym na operacje własne) wsparcie będzie miało formę dotacji w postaci refundacji kosztów kwalifikowalnych do wysokości 500 tys. zł. </w:t>
      </w:r>
      <w:r>
        <w:rPr>
          <w:rFonts w:ascii="Times New Roman" w:hAnsi="Times New Roman" w:cs="Times New Roman"/>
          <w:bCs/>
        </w:rPr>
        <w:t>W przypadku Wdrażania LSR intensywność wsparcia będzie wynosiła:</w:t>
      </w:r>
    </w:p>
    <w:p w14:paraId="7BE94408">
      <w:pPr>
        <w:numPr>
          <w:ilvl w:val="0"/>
          <w:numId w:val="47"/>
        </w:numPr>
        <w:spacing w:after="0" w:line="276" w:lineRule="auto"/>
        <w:jc w:val="both"/>
        <w:rPr>
          <w:rFonts w:ascii="Times New Roman" w:hAnsi="Times New Roman" w:cs="Times New Roman"/>
          <w:bCs/>
        </w:rPr>
      </w:pPr>
      <w:r>
        <w:rPr>
          <w:rFonts w:ascii="Times New Roman" w:hAnsi="Times New Roman" w:cs="Times New Roman"/>
          <w:bCs/>
        </w:rPr>
        <w:t>do 65% kosztów kwalifikowalnych, z wyłączeniem operacji realizowanych w ramach rozwoju pozarolniczych funkcji małych gospodarstw rolnych,</w:t>
      </w:r>
    </w:p>
    <w:p w14:paraId="3EE3D56D">
      <w:pPr>
        <w:numPr>
          <w:ilvl w:val="0"/>
          <w:numId w:val="47"/>
        </w:numPr>
        <w:spacing w:after="0" w:line="276" w:lineRule="auto"/>
        <w:jc w:val="both"/>
        <w:rPr>
          <w:rFonts w:ascii="Times New Roman" w:hAnsi="Times New Roman" w:cs="Times New Roman"/>
          <w:bCs/>
        </w:rPr>
      </w:pPr>
      <w:r>
        <w:rPr>
          <w:rFonts w:ascii="Times New Roman" w:hAnsi="Times New Roman" w:cs="Times New Roman"/>
          <w:bCs/>
        </w:rPr>
        <w:t>do 85% kosztów kwalifikowalnych w przypadku operacji realizowanych w ramach rozwoju pozarolniczych funkcji małych gospodarstw rolnych,</w:t>
      </w:r>
    </w:p>
    <w:p w14:paraId="457F8D71">
      <w:pPr>
        <w:numPr>
          <w:ilvl w:val="0"/>
          <w:numId w:val="47"/>
        </w:numPr>
        <w:spacing w:after="0" w:line="276" w:lineRule="auto"/>
        <w:jc w:val="both"/>
        <w:rPr>
          <w:rFonts w:ascii="Times New Roman" w:hAnsi="Times New Roman" w:cs="Times New Roman"/>
          <w:bCs/>
        </w:rPr>
      </w:pPr>
      <w:r>
        <w:rPr>
          <w:rFonts w:ascii="Times New Roman" w:hAnsi="Times New Roman" w:cs="Times New Roman"/>
          <w:bCs/>
        </w:rPr>
        <w:t>do 100% kosztów kwalifikowalnych na operacje obejmujące inwestycje nieprodukcyjne w przypadku podmiotów innych niż jednostki sektora finansów publicznych,</w:t>
      </w:r>
    </w:p>
    <w:p w14:paraId="4961EF88">
      <w:pPr>
        <w:numPr>
          <w:ilvl w:val="0"/>
          <w:numId w:val="47"/>
        </w:numPr>
        <w:spacing w:after="0" w:line="276" w:lineRule="auto"/>
        <w:jc w:val="both"/>
        <w:rPr>
          <w:rFonts w:ascii="Times New Roman" w:hAnsi="Times New Roman" w:cs="Times New Roman"/>
          <w:bCs/>
        </w:rPr>
      </w:pPr>
      <w:r>
        <w:rPr>
          <w:rFonts w:ascii="Times New Roman" w:hAnsi="Times New Roman" w:cs="Times New Roman"/>
          <w:bCs/>
        </w:rPr>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4D2F192F">
      <w:pPr>
        <w:spacing w:before="240" w:after="0" w:line="276" w:lineRule="auto"/>
        <w:ind w:firstLine="708"/>
        <w:jc w:val="both"/>
        <w:rPr>
          <w:rFonts w:ascii="Times New Roman" w:hAnsi="Times New Roman" w:cs="Times New Roman"/>
        </w:rPr>
      </w:pPr>
      <w:r>
        <w:rPr>
          <w:rFonts w:ascii="Times New Roman" w:hAnsi="Times New Roman" w:cs="Times New Roman"/>
        </w:rPr>
        <w:t xml:space="preserve">Operacje sektora finansów publicznych będą mogły być finansowane ze środków Planu Strategicznego w ramach niniejszej LSR do limitu 40% tych środków. </w:t>
      </w:r>
    </w:p>
    <w:p w14:paraId="57015D6B">
      <w:pPr>
        <w:spacing w:before="240" w:after="0" w:line="276" w:lineRule="auto"/>
        <w:ind w:firstLine="708"/>
        <w:jc w:val="both"/>
        <w:rPr>
          <w:rFonts w:ascii="Times New Roman" w:hAnsi="Times New Roman" w:cs="Times New Roman"/>
        </w:rPr>
      </w:pPr>
      <w:r>
        <w:rPr>
          <w:rFonts w:ascii="Times New Roman" w:hAnsi="Times New Roman" w:cs="Times New Roman"/>
        </w:rPr>
        <w:t>Przedsięwzięcia wskazane w LSR w zakresie finansowania z FEM wpisują się kryteria wyboru projektów ustanowionych dla programu regionalnego w odniesieniu do typu projektu i właściwego funduszu. LGD oświadcza, że projekty te będą wybierane zgodnie z zasadami i warunkami obowiązującymi dla EFS+ i EFRR, a także iż promowane będą projekty wpisujące się w inicjatywę Nowy Europejski Bauhaus.</w:t>
      </w:r>
    </w:p>
    <w:p w14:paraId="7F11D9C1">
      <w:pPr>
        <w:rPr>
          <w:rFonts w:ascii="Times New Roman" w:hAnsi="Times New Roman" w:cs="Times New Roman"/>
        </w:rPr>
      </w:pPr>
      <w:r>
        <w:rPr>
          <w:rFonts w:ascii="Times New Roman" w:hAnsi="Times New Roman" w:cs="Times New Roman"/>
        </w:rPr>
        <w:br w:type="page"/>
      </w:r>
    </w:p>
    <w:p w14:paraId="6297DDDA">
      <w:pPr>
        <w:pStyle w:val="28"/>
        <w:numPr>
          <w:ilvl w:val="0"/>
          <w:numId w:val="2"/>
        </w:numPr>
        <w:spacing w:line="276" w:lineRule="auto"/>
        <w:jc w:val="both"/>
        <w:outlineLvl w:val="0"/>
        <w:rPr>
          <w:rFonts w:ascii="Times New Roman" w:hAnsi="Times New Roman" w:cs="Times New Roman"/>
          <w:b/>
          <w:bCs/>
        </w:rPr>
      </w:pPr>
      <w:bookmarkStart w:id="155" w:name="_Toc135994840"/>
      <w:bookmarkStart w:id="156" w:name="_Toc135647311"/>
      <w:r>
        <w:rPr>
          <w:rFonts w:ascii="Times New Roman" w:hAnsi="Times New Roman" w:cs="Times New Roman"/>
          <w:b/>
          <w:bCs/>
          <w:color w:val="000000" w:themeColor="text1"/>
          <w14:textFill>
            <w14:solidFill>
              <w14:schemeClr w14:val="tx1"/>
            </w14:solidFill>
          </w14:textFill>
        </w:rPr>
        <w:t>PLAN DZIAŁANIA</w:t>
      </w:r>
      <w:bookmarkEnd w:id="155"/>
      <w:bookmarkEnd w:id="156"/>
    </w:p>
    <w:p w14:paraId="6AE34BB1">
      <w:pPr>
        <w:spacing w:line="276" w:lineRule="auto"/>
        <w:ind w:firstLine="708"/>
        <w:jc w:val="both"/>
        <w:rPr>
          <w:rFonts w:ascii="Times New Roman" w:hAnsi="Times New Roman" w:cs="Times New Roman"/>
        </w:rPr>
      </w:pPr>
      <w:r>
        <w:rPr>
          <w:rFonts w:ascii="Times New Roman" w:hAnsi="Times New Roman" w:cs="Times New Roman"/>
        </w:rPr>
        <w:t xml:space="preserve">W ramach realizacji LSR zaplanowano ogłoszenie wniosków na realizację przedsięwzięć zawartych w matrycy – rozdział VI. Pierwsze nabory zostaną przeprowadzone w I kwartale 2024 roku, kolejne w latach </w:t>
      </w:r>
      <w:r>
        <w:rPr>
          <w:rFonts w:ascii="Times New Roman" w:hAnsi="Times New Roman" w:cs="Times New Roman"/>
        </w:rPr>
        <w:br w:type="textWrapping"/>
      </w:r>
      <w:r>
        <w:rPr>
          <w:rFonts w:ascii="Times New Roman" w:hAnsi="Times New Roman" w:cs="Times New Roman"/>
        </w:rPr>
        <w:t>2025–2026. Tworząc Plan działania zadbano, aby realizowane przedsięwzięcia umożliwiły osiągnięcie celów LSR.</w:t>
      </w:r>
      <w:r>
        <w:rPr>
          <w:highlight w:val="yellow"/>
        </w:rPr>
        <w:t xml:space="preserve"> </w:t>
      </w:r>
      <w:r>
        <w:rPr>
          <w:rFonts w:ascii="Times New Roman" w:hAnsi="Times New Roman" w:cs="Times New Roman"/>
        </w:rPr>
        <w:t xml:space="preserve">Plan działania opracowano na podstawie procesu partycypacyjnego. Obecny kształt Planu został wypracowany na spotkaniach Zespołu ds. LSR, gdzie zaproponowano konkretne przedsięwzięcia. W czasie konsultacji z mieszkańcami: na spotkaniach w każdej z gmin dyskutowano na temat określania celów, przedsięwzięć i wskaźników, a także określeniu grup docelowych szczególnie istotnych z punktu widzenia realizacji LSR oraz grupy osób w niekorzystnej sytuacji na obszarze LGD. Ponadto mieszkańcy mogli składać uwagi i propozycje do zaplanowanego dokumentu podczas konsultacji strategii. </w:t>
      </w:r>
    </w:p>
    <w:p w14:paraId="2CDBBB2A">
      <w:pPr>
        <w:spacing w:line="276" w:lineRule="auto"/>
        <w:ind w:firstLine="708"/>
        <w:jc w:val="both"/>
        <w:rPr>
          <w:rFonts w:ascii="Times New Roman" w:hAnsi="Times New Roman" w:cs="Times New Roman"/>
        </w:rPr>
      </w:pPr>
      <w:r>
        <w:rPr>
          <w:rFonts w:ascii="Times New Roman" w:hAnsi="Times New Roman" w:cs="Times New Roman"/>
        </w:rPr>
        <w:t>Plan działania jest bezpośrednio powiązany z celami i przedsięwzięciami. Plan działania zawiera szczegółowe wskazanie harmonogramu osiągania poszczególnych wskaźników produktu, dla określonych w strategii przedsięwzięć, co w konsekwencji przekłada się na osiągnięcie poszczególnych celów. Wszystkie działania zaplanowano tak, aby w pierwszej kolejności zrealizowane zostały te, które oddziaływać będą na pozostałe. W pierwszej kolejności zrealizowane zostaną działania zwiększające atrakcyjność obszaru oraz promocyjne i edukacyjne, dalej te związane z wykorzystaniem zasobów oraz rozwojem przemysłu czasu wolnego. Przedsięwzięcia związane z zakładaniem i rozwojem działalności gospodarczych podzielono tak, aby możliwie jak najlepiej wykorzystać środki oraz stworzyć możliwość skorzystania z dofinansowania jak największej liczbie beneficjentów.</w:t>
      </w:r>
    </w:p>
    <w:p w14:paraId="04A80976">
      <w:pPr>
        <w:spacing w:line="276" w:lineRule="auto"/>
        <w:ind w:firstLine="708"/>
        <w:jc w:val="both"/>
        <w:rPr>
          <w:rFonts w:ascii="Times New Roman" w:hAnsi="Times New Roman" w:cs="Times New Roman"/>
        </w:rPr>
      </w:pPr>
      <w:r>
        <w:rPr>
          <w:rFonts w:ascii="Times New Roman" w:hAnsi="Times New Roman" w:cs="Times New Roman"/>
        </w:rPr>
        <w:t>Istotne w trakcie wdrażania LSR będzie zrealizowanie pierwszych operacji w ramach PS WPR do 30 czerwca 2026 roku, które pozwolą na wykorzystanie 40% budżetu, oraz realizację pozostałych działań tak, aby do 31 grudnia 2027 roku wykorzystać 80% kontraktacji budżetu. Również realizacja działań w ramach FEŚ została zaplanowana tak, aby pierwsze operacje zrealizować do końca grudnia 2026 roku.</w:t>
      </w:r>
    </w:p>
    <w:p w14:paraId="6C5D9A68">
      <w:pPr>
        <w:ind w:firstLine="708"/>
        <w:jc w:val="both"/>
      </w:pPr>
      <w:r>
        <w:rPr>
          <w:rFonts w:ascii="Times New Roman" w:hAnsi="Times New Roman" w:cs="Times New Roman"/>
        </w:rPr>
        <w:t xml:space="preserve">Dokładny plan działania wraz z czasowym przedziałem osiągania wskaźników oraz planowanymi kwotami wsparcia przedstawiają Załącznik nr 2 do LSR pn. </w:t>
      </w:r>
      <w:r>
        <w:rPr>
          <w:rFonts w:ascii="Times New Roman" w:hAnsi="Times New Roman" w:cs="Times New Roman"/>
          <w:i/>
          <w:iCs/>
        </w:rPr>
        <w:t>Plan działania</w:t>
      </w:r>
      <w:r>
        <w:rPr>
          <w:rFonts w:ascii="Times New Roman" w:hAnsi="Times New Roman" w:cs="Times New Roman"/>
        </w:rPr>
        <w:t xml:space="preserve"> oraz Załącznik nr 4 do LSR pn. </w:t>
      </w:r>
      <w:r>
        <w:rPr>
          <w:rFonts w:ascii="Times New Roman" w:hAnsi="Times New Roman" w:cs="Times New Roman"/>
          <w:i/>
          <w:iCs/>
        </w:rPr>
        <w:t>Plan wykorzystania budżetu</w:t>
      </w:r>
    </w:p>
    <w:p w14:paraId="1D6650E7">
      <w:pPr>
        <w:rPr>
          <w:rFonts w:ascii="Times New Roman" w:hAnsi="Times New Roman" w:cs="Times New Roman"/>
        </w:rPr>
      </w:pPr>
    </w:p>
    <w:p w14:paraId="4B900BA3">
      <w:pPr>
        <w:rPr>
          <w:rFonts w:ascii="Times New Roman" w:hAnsi="Times New Roman" w:cs="Times New Roman"/>
          <w:b/>
          <w:bCs/>
        </w:rPr>
        <w:sectPr>
          <w:pgSz w:w="11906" w:h="16838"/>
          <w:pgMar w:top="851" w:right="851" w:bottom="851" w:left="851" w:header="709" w:footer="709" w:gutter="0"/>
          <w:cols w:space="708" w:num="1"/>
          <w:titlePg/>
          <w:docGrid w:linePitch="360" w:charSpace="0"/>
        </w:sectPr>
      </w:pPr>
    </w:p>
    <w:p w14:paraId="53E7F93B">
      <w:pPr>
        <w:pStyle w:val="28"/>
        <w:numPr>
          <w:ilvl w:val="0"/>
          <w:numId w:val="2"/>
        </w:numPr>
        <w:outlineLvl w:val="0"/>
        <w:rPr>
          <w:rFonts w:ascii="Times New Roman" w:hAnsi="Times New Roman" w:cs="Times New Roman"/>
          <w:b/>
          <w:bCs/>
        </w:rPr>
      </w:pPr>
      <w:bookmarkStart w:id="157" w:name="_Toc135994841"/>
      <w:bookmarkStart w:id="158" w:name="_Toc135647312"/>
      <w:r>
        <w:rPr>
          <w:rFonts w:ascii="Times New Roman" w:hAnsi="Times New Roman" w:cs="Times New Roman"/>
          <w:b/>
          <w:bCs/>
          <w:color w:val="000000" w:themeColor="text1"/>
          <w14:textFill>
            <w14:solidFill>
              <w14:schemeClr w14:val="tx1"/>
            </w14:solidFill>
          </w14:textFill>
        </w:rPr>
        <w:t>PLAN FINANSOWY LSR</w:t>
      </w:r>
      <w:bookmarkEnd w:id="157"/>
      <w:bookmarkEnd w:id="158"/>
    </w:p>
    <w:p w14:paraId="0F28CB07">
      <w:pPr>
        <w:spacing w:line="276" w:lineRule="auto"/>
        <w:ind w:firstLine="708"/>
        <w:jc w:val="both"/>
        <w:rPr>
          <w:rFonts w:ascii="Times New Roman" w:hAnsi="Times New Roman" w:cs="Times New Roman"/>
        </w:rPr>
      </w:pPr>
      <w:r>
        <w:rPr>
          <w:rFonts w:ascii="Times New Roman" w:hAnsi="Times New Roman" w:cs="Times New Roman"/>
        </w:rPr>
        <w:t xml:space="preserve">Lokalna Strategia Rozwoju Stowarzyszenia Lokalna Grupa Działania „Między Dalinem i Gościbią” to strategia wielofunduszowa, której bezpośrednim źródłem finansowania jest Europejski Fundusz Rolny na rzecz Rozwoju Obszarów Wiejskich w ramach </w:t>
      </w:r>
      <w:r>
        <w:rPr>
          <w:rFonts w:ascii="Times New Roman" w:hAnsi="Times New Roman" w:cs="Times New Roman"/>
          <w:i/>
          <w:iCs/>
        </w:rPr>
        <w:t>Planu Strategicznego dla Wspólnej Polityki Rolnej na lata 2023–2027</w:t>
      </w:r>
      <w:r>
        <w:rPr>
          <w:rFonts w:ascii="Times New Roman" w:hAnsi="Times New Roman" w:cs="Times New Roman"/>
        </w:rPr>
        <w:t xml:space="preserve"> oraz Europejski Fundusz Społeczny Plus (EFS+) i Europejski Fundusz Rozwoju Regionalnego (EFRR) w ramach programu regionalnego </w:t>
      </w:r>
      <w:r>
        <w:rPr>
          <w:rFonts w:ascii="Times New Roman" w:hAnsi="Times New Roman" w:cs="Times New Roman"/>
          <w:i/>
          <w:iCs/>
        </w:rPr>
        <w:t>Fundusze Europejskie dla Małopolski 2021–2027</w:t>
      </w:r>
      <w:r>
        <w:rPr>
          <w:rFonts w:ascii="Times New Roman" w:hAnsi="Times New Roman" w:cs="Times New Roman"/>
        </w:rPr>
        <w:t>.</w:t>
      </w:r>
    </w:p>
    <w:p w14:paraId="3461BCAE">
      <w:pPr>
        <w:numPr>
          <w:ilvl w:val="0"/>
          <w:numId w:val="48"/>
        </w:numPr>
        <w:spacing w:line="276" w:lineRule="auto"/>
        <w:jc w:val="both"/>
        <w:rPr>
          <w:rFonts w:ascii="Times New Roman" w:hAnsi="Times New Roman" w:cs="Times New Roman"/>
          <w:b/>
          <w:bCs/>
        </w:rPr>
      </w:pPr>
      <w:bookmarkStart w:id="159" w:name="_Toc124403900"/>
      <w:r>
        <w:rPr>
          <w:rFonts w:ascii="Times New Roman" w:hAnsi="Times New Roman" w:cs="Times New Roman"/>
          <w:b/>
          <w:bCs/>
        </w:rPr>
        <w:t>Źródła finansowania działalności LGD</w:t>
      </w:r>
      <w:bookmarkEnd w:id="159"/>
    </w:p>
    <w:p w14:paraId="05512B12">
      <w:pPr>
        <w:spacing w:after="0" w:line="276" w:lineRule="auto"/>
        <w:ind w:left="708"/>
        <w:jc w:val="both"/>
        <w:rPr>
          <w:rFonts w:ascii="Times New Roman" w:hAnsi="Times New Roman" w:cs="Times New Roman"/>
        </w:rPr>
      </w:pPr>
      <w:r>
        <w:rPr>
          <w:rFonts w:ascii="Times New Roman" w:hAnsi="Times New Roman" w:cs="Times New Roman"/>
        </w:rPr>
        <w:t>Działalność LGD finansowana będzie w ramach:</w:t>
      </w:r>
    </w:p>
    <w:p w14:paraId="15EE14D4">
      <w:pPr>
        <w:pStyle w:val="28"/>
        <w:numPr>
          <w:ilvl w:val="0"/>
          <w:numId w:val="49"/>
        </w:numPr>
        <w:spacing w:line="276" w:lineRule="auto"/>
        <w:jc w:val="both"/>
        <w:rPr>
          <w:rFonts w:ascii="Times New Roman" w:hAnsi="Times New Roman" w:cs="Times New Roman"/>
        </w:rPr>
      </w:pPr>
      <w:r>
        <w:rPr>
          <w:rFonts w:ascii="Times New Roman" w:hAnsi="Times New Roman" w:cs="Times New Roman"/>
        </w:rPr>
        <w:t xml:space="preserve">Funduszy EFSI stanowiących </w:t>
      </w:r>
      <w:r>
        <w:rPr>
          <w:rFonts w:ascii="Times New Roman" w:hAnsi="Times New Roman" w:cs="Times New Roman"/>
          <w:b/>
          <w:bCs/>
        </w:rPr>
        <w:t>bezpośrednie źródło finansowania</w:t>
      </w:r>
      <w:r>
        <w:rPr>
          <w:rFonts w:ascii="Times New Roman" w:hAnsi="Times New Roman" w:cs="Times New Roman"/>
        </w:rPr>
        <w:t xml:space="preserve"> LSR jako budżetu LSR:</w:t>
      </w:r>
    </w:p>
    <w:p w14:paraId="69A1C0D6">
      <w:pPr>
        <w:pStyle w:val="28"/>
        <w:numPr>
          <w:ilvl w:val="0"/>
          <w:numId w:val="50"/>
        </w:numPr>
        <w:spacing w:line="276" w:lineRule="auto"/>
        <w:jc w:val="both"/>
        <w:rPr>
          <w:rFonts w:ascii="Times New Roman" w:hAnsi="Times New Roman" w:cs="Times New Roman"/>
        </w:rPr>
      </w:pPr>
      <w:r>
        <w:rPr>
          <w:rFonts w:ascii="Times New Roman" w:hAnsi="Times New Roman" w:cs="Times New Roman"/>
        </w:rPr>
        <w:t xml:space="preserve">Europejski Fundusz Rolny na rzecz Rozwoju Obszarów Wiejskich w ramach </w:t>
      </w:r>
      <w:r>
        <w:rPr>
          <w:rFonts w:ascii="Times New Roman" w:hAnsi="Times New Roman" w:cs="Times New Roman"/>
          <w:i/>
          <w:iCs/>
        </w:rPr>
        <w:t>Planu Strategicznego dla Wspólnej Polityki Rolnej na lata 2023–2027</w:t>
      </w:r>
      <w:r>
        <w:rPr>
          <w:rFonts w:ascii="Times New Roman" w:hAnsi="Times New Roman" w:cs="Times New Roman"/>
        </w:rPr>
        <w:t>;</w:t>
      </w:r>
    </w:p>
    <w:p w14:paraId="7D6FB7F1">
      <w:pPr>
        <w:pStyle w:val="28"/>
        <w:numPr>
          <w:ilvl w:val="0"/>
          <w:numId w:val="50"/>
        </w:numPr>
        <w:spacing w:line="276" w:lineRule="auto"/>
        <w:jc w:val="both"/>
        <w:rPr>
          <w:rFonts w:ascii="Times New Roman" w:hAnsi="Times New Roman" w:cs="Times New Roman"/>
        </w:rPr>
      </w:pPr>
      <w:r>
        <w:rPr>
          <w:rFonts w:ascii="Times New Roman" w:hAnsi="Times New Roman" w:cs="Times New Roman"/>
        </w:rPr>
        <w:t xml:space="preserve">Europejski Fundusz Rozwoju Regionalnego w ramach programu regionalnego </w:t>
      </w:r>
      <w:r>
        <w:rPr>
          <w:rFonts w:ascii="Times New Roman" w:hAnsi="Times New Roman" w:cs="Times New Roman"/>
          <w:i/>
          <w:iCs/>
        </w:rPr>
        <w:t>Fundusze Europejskie dla Małopolski 2021–2027</w:t>
      </w:r>
      <w:r>
        <w:rPr>
          <w:rFonts w:ascii="Times New Roman" w:hAnsi="Times New Roman" w:cs="Times New Roman"/>
        </w:rPr>
        <w:t xml:space="preserve">, celu szczegółowego polityki 5. </w:t>
      </w:r>
      <w:r>
        <w:rPr>
          <w:rFonts w:ascii="Times New Roman" w:hAnsi="Times New Roman" w:cs="Times New Roman"/>
          <w:i/>
          <w:iCs/>
        </w:rPr>
        <w:t>Europa bliższa obywatelom dzięki wspieraniu zrównoważonego i zintegrowanego rozwoju wszystkich rodzajów terytoriów i inicjatyw lokalnych.</w:t>
      </w:r>
    </w:p>
    <w:p w14:paraId="41F08F76">
      <w:pPr>
        <w:pStyle w:val="28"/>
        <w:numPr>
          <w:ilvl w:val="0"/>
          <w:numId w:val="50"/>
        </w:numPr>
        <w:spacing w:line="276" w:lineRule="auto"/>
        <w:jc w:val="both"/>
        <w:rPr>
          <w:rFonts w:ascii="Times New Roman" w:hAnsi="Times New Roman" w:cs="Times New Roman"/>
        </w:rPr>
      </w:pPr>
      <w:r>
        <w:rPr>
          <w:rFonts w:ascii="Times New Roman" w:hAnsi="Times New Roman" w:cs="Times New Roman"/>
        </w:rPr>
        <w:t xml:space="preserve">Europejski Fundusz Rozwoju Regionalnego w ramach programu regionalnego </w:t>
      </w:r>
      <w:r>
        <w:rPr>
          <w:rFonts w:ascii="Times New Roman" w:hAnsi="Times New Roman" w:cs="Times New Roman"/>
          <w:i/>
          <w:iCs/>
        </w:rPr>
        <w:t>Fundusze Europejskie dla Małopolski na lata 2021–2027</w:t>
      </w:r>
      <w:r>
        <w:rPr>
          <w:rFonts w:ascii="Times New Roman" w:hAnsi="Times New Roman" w:cs="Times New Roman"/>
        </w:rPr>
        <w:t xml:space="preserve">, celu szczegółowego polityki 4. </w:t>
      </w:r>
      <w:r>
        <w:rPr>
          <w:rFonts w:ascii="Times New Roman" w:hAnsi="Times New Roman" w:cs="Times New Roman"/>
          <w:i/>
          <w:iCs/>
        </w:rPr>
        <w:t>Europa o silniejszym wymiarze społecznym, bardziej sprzyjająca włączeniu społecznemu i wdrażająca Europejski filar praw socjalnych</w:t>
      </w:r>
      <w:r>
        <w:rPr>
          <w:rFonts w:ascii="Times New Roman" w:hAnsi="Times New Roman" w:cs="Times New Roman"/>
        </w:rPr>
        <w:t>.</w:t>
      </w:r>
    </w:p>
    <w:p w14:paraId="0F698ED7">
      <w:pPr>
        <w:pStyle w:val="28"/>
        <w:numPr>
          <w:ilvl w:val="0"/>
          <w:numId w:val="49"/>
        </w:numPr>
        <w:jc w:val="both"/>
        <w:rPr>
          <w:rFonts w:ascii="Times New Roman" w:hAnsi="Times New Roman" w:cs="Times New Roman"/>
        </w:rPr>
      </w:pPr>
      <w:r>
        <w:rPr>
          <w:rFonts w:ascii="Times New Roman" w:hAnsi="Times New Roman" w:cs="Times New Roman"/>
        </w:rPr>
        <w:t xml:space="preserve">Innych potencjalnych / </w:t>
      </w:r>
      <w:r>
        <w:rPr>
          <w:rFonts w:ascii="Times New Roman" w:hAnsi="Times New Roman" w:cs="Times New Roman"/>
          <w:b/>
          <w:bCs/>
        </w:rPr>
        <w:t>pośrednich źródeł finansowania</w:t>
      </w:r>
      <w:r>
        <w:rPr>
          <w:rFonts w:ascii="Times New Roman" w:hAnsi="Times New Roman" w:cs="Times New Roman"/>
        </w:rPr>
        <w:t xml:space="preserve"> przedsięwzięć wynikających z LSR, w tym także EFSI w zakresie nieobjętym RLKS, które nie stanowią źródła finansowania, o którym mowa w pkt. 1):</w:t>
      </w:r>
    </w:p>
    <w:p w14:paraId="5F99901E">
      <w:pPr>
        <w:pStyle w:val="28"/>
        <w:numPr>
          <w:ilvl w:val="0"/>
          <w:numId w:val="51"/>
        </w:numPr>
        <w:jc w:val="both"/>
        <w:rPr>
          <w:rFonts w:ascii="Times New Roman" w:hAnsi="Times New Roman" w:cs="Times New Roman"/>
        </w:rPr>
      </w:pPr>
      <w:r>
        <w:rPr>
          <w:rFonts w:ascii="Times New Roman" w:hAnsi="Times New Roman" w:cs="Times New Roman"/>
          <w:i/>
          <w:iCs/>
        </w:rPr>
        <w:t>Fundusze Europejskie na Infrastrukturę, Klimat, Środowisko 2021–2027</w:t>
      </w:r>
      <w:r>
        <w:rPr>
          <w:rFonts w:ascii="Times New Roman" w:hAnsi="Times New Roman" w:cs="Times New Roman"/>
        </w:rPr>
        <w:t xml:space="preserve"> w ramach priorytetu VII </w:t>
      </w:r>
      <w:r>
        <w:rPr>
          <w:rFonts w:ascii="Times New Roman" w:hAnsi="Times New Roman" w:cs="Times New Roman"/>
          <w:i/>
          <w:iCs/>
        </w:rPr>
        <w:t>Kultura</w:t>
      </w:r>
      <w:r>
        <w:rPr>
          <w:rFonts w:ascii="Times New Roman" w:hAnsi="Times New Roman" w:cs="Times New Roman"/>
        </w:rPr>
        <w:t xml:space="preserve"> Cel szczegółowy 4.6 </w:t>
      </w:r>
      <w:r>
        <w:rPr>
          <w:rFonts w:ascii="Times New Roman" w:hAnsi="Times New Roman" w:cs="Times New Roman"/>
          <w:i/>
          <w:iCs/>
        </w:rPr>
        <w:t>Wzmacnianie roli kultury i zrównoważonej turystyki w rozwoju gospodarczym, włączeniu społecznym i innowacjach społecznych;</w:t>
      </w:r>
    </w:p>
    <w:p w14:paraId="213AA9B7">
      <w:pPr>
        <w:pStyle w:val="28"/>
        <w:numPr>
          <w:ilvl w:val="0"/>
          <w:numId w:val="51"/>
        </w:numPr>
        <w:jc w:val="both"/>
        <w:rPr>
          <w:rFonts w:ascii="Times New Roman" w:hAnsi="Times New Roman" w:cs="Times New Roman"/>
        </w:rPr>
      </w:pPr>
      <w:r>
        <w:rPr>
          <w:rFonts w:ascii="Times New Roman" w:hAnsi="Times New Roman" w:cs="Times New Roman"/>
          <w:i/>
          <w:iCs/>
        </w:rPr>
        <w:t>Program Fundusz Inicjatyw Obywatelskich NOWEFIO na lata 2021–2030 – w ramach priorytetu I Mikro-inicjatywy oraz w ramach priorytetu II Organizacje obywatelskie na rzecz dobra wspólnego;</w:t>
      </w:r>
    </w:p>
    <w:p w14:paraId="628D8AA6">
      <w:pPr>
        <w:pStyle w:val="28"/>
        <w:numPr>
          <w:ilvl w:val="0"/>
          <w:numId w:val="51"/>
        </w:numPr>
        <w:jc w:val="both"/>
        <w:rPr>
          <w:rFonts w:ascii="Times New Roman" w:hAnsi="Times New Roman" w:cs="Times New Roman"/>
        </w:rPr>
      </w:pPr>
      <w:r>
        <w:rPr>
          <w:rFonts w:ascii="Times New Roman" w:hAnsi="Times New Roman" w:cs="Times New Roman"/>
          <w:i/>
          <w:iCs/>
        </w:rPr>
        <w:t xml:space="preserve">Program Interreg Polska-Słowacja 2021–2027 </w:t>
      </w:r>
      <w:r>
        <w:rPr>
          <w:rFonts w:ascii="Times New Roman" w:hAnsi="Times New Roman" w:cs="Times New Roman"/>
        </w:rPr>
        <w:t xml:space="preserve">w ramach priorytetu 3 </w:t>
      </w:r>
      <w:r>
        <w:rPr>
          <w:rFonts w:ascii="Times New Roman" w:hAnsi="Times New Roman" w:cs="Times New Roman"/>
          <w:i/>
          <w:iCs/>
        </w:rPr>
        <w:t xml:space="preserve">Twórcze i atrakcyjne turystycznie Pogranicze </w:t>
      </w:r>
      <w:r>
        <w:rPr>
          <w:rFonts w:ascii="Times New Roman" w:hAnsi="Times New Roman" w:cs="Times New Roman"/>
        </w:rPr>
        <w:t xml:space="preserve">Cel szczegółowy </w:t>
      </w:r>
      <w:r>
        <w:rPr>
          <w:rFonts w:ascii="Times New Roman" w:hAnsi="Times New Roman" w:cs="Times New Roman"/>
          <w:i/>
          <w:iCs/>
        </w:rPr>
        <w:t xml:space="preserve">wzmacnianie roli kultury i zrównoważonej turystyki </w:t>
      </w:r>
      <w:r>
        <w:rPr>
          <w:rFonts w:ascii="Times New Roman" w:hAnsi="Times New Roman" w:cs="Times New Roman"/>
          <w:i/>
          <w:iCs/>
        </w:rPr>
        <w:br w:type="textWrapping"/>
      </w:r>
      <w:r>
        <w:rPr>
          <w:rFonts w:ascii="Times New Roman" w:hAnsi="Times New Roman" w:cs="Times New Roman"/>
          <w:i/>
          <w:iCs/>
        </w:rPr>
        <w:t>w rozwoju gospodarczym, włączeniu społecznym i innowacjach społecznych;</w:t>
      </w:r>
      <w:r>
        <w:rPr>
          <w:rFonts w:ascii="Times New Roman" w:hAnsi="Times New Roman" w:cs="Times New Roman"/>
        </w:rPr>
        <w:t xml:space="preserve"> </w:t>
      </w:r>
    </w:p>
    <w:p w14:paraId="6B0CF2D8">
      <w:pPr>
        <w:pStyle w:val="28"/>
        <w:numPr>
          <w:ilvl w:val="0"/>
          <w:numId w:val="51"/>
        </w:numPr>
        <w:jc w:val="both"/>
        <w:rPr>
          <w:rFonts w:ascii="Times New Roman" w:hAnsi="Times New Roman" w:cs="Times New Roman"/>
        </w:rPr>
      </w:pPr>
      <w:r>
        <w:rPr>
          <w:rFonts w:ascii="Times New Roman" w:hAnsi="Times New Roman" w:cs="Times New Roman"/>
        </w:rPr>
        <w:t>Środki krajowe;</w:t>
      </w:r>
    </w:p>
    <w:p w14:paraId="6ACD41ED">
      <w:pPr>
        <w:pStyle w:val="28"/>
        <w:numPr>
          <w:ilvl w:val="0"/>
          <w:numId w:val="51"/>
        </w:numPr>
        <w:jc w:val="both"/>
        <w:rPr>
          <w:rFonts w:ascii="Times New Roman" w:hAnsi="Times New Roman" w:cs="Times New Roman"/>
        </w:rPr>
      </w:pPr>
      <w:r>
        <w:rPr>
          <w:rFonts w:ascii="Times New Roman" w:hAnsi="Times New Roman" w:cs="Times New Roman"/>
        </w:rPr>
        <w:t>Fundusze Norweskie i EOG (Europejski Obszar Gospodarczy).</w:t>
      </w:r>
    </w:p>
    <w:p w14:paraId="5F670BDE">
      <w:pPr>
        <w:pStyle w:val="28"/>
        <w:spacing w:after="0" w:line="276" w:lineRule="auto"/>
        <w:ind w:left="0" w:firstLine="708"/>
        <w:jc w:val="both"/>
        <w:rPr>
          <w:rFonts w:ascii="Times New Roman" w:hAnsi="Times New Roman" w:cs="Times New Roman"/>
        </w:rPr>
      </w:pPr>
    </w:p>
    <w:p w14:paraId="0F3F3DB6">
      <w:pPr>
        <w:spacing w:after="0" w:line="276" w:lineRule="auto"/>
        <w:ind w:firstLine="708"/>
        <w:jc w:val="both"/>
        <w:rPr>
          <w:rFonts w:ascii="Times New Roman" w:hAnsi="Times New Roman" w:cs="Times New Roman"/>
        </w:rPr>
      </w:pPr>
      <w:r>
        <w:rPr>
          <w:rFonts w:ascii="Times New Roman" w:hAnsi="Times New Roman" w:cs="Times New Roman"/>
        </w:rPr>
        <w:t>Zadania finansowane z innych źródeł niż bezpośrednie, przyczynią się do realizacji celów określonych w ramach RLKS.</w:t>
      </w:r>
    </w:p>
    <w:p w14:paraId="32F57072">
      <w:pPr>
        <w:numPr>
          <w:ilvl w:val="0"/>
          <w:numId w:val="48"/>
        </w:numPr>
        <w:spacing w:before="240" w:line="276" w:lineRule="auto"/>
        <w:jc w:val="both"/>
        <w:rPr>
          <w:rFonts w:ascii="Times New Roman" w:hAnsi="Times New Roman" w:cs="Times New Roman"/>
          <w:b/>
          <w:bCs/>
        </w:rPr>
      </w:pPr>
      <w:r>
        <w:rPr>
          <w:rFonts w:ascii="Times New Roman" w:hAnsi="Times New Roman" w:cs="Times New Roman"/>
          <w:b/>
          <w:bCs/>
        </w:rPr>
        <w:t>Powiązanie źródeł finansowania</w:t>
      </w:r>
    </w:p>
    <w:p w14:paraId="082F1E7A">
      <w:pPr>
        <w:spacing w:after="0" w:line="276" w:lineRule="auto"/>
        <w:ind w:firstLine="708"/>
        <w:jc w:val="both"/>
        <w:rPr>
          <w:rFonts w:ascii="Times New Roman" w:hAnsi="Times New Roman" w:cs="Times New Roman"/>
          <w:b/>
          <w:bCs/>
        </w:rPr>
      </w:pPr>
      <w:r>
        <w:rPr>
          <w:rFonts w:ascii="Times New Roman" w:hAnsi="Times New Roman" w:cs="Times New Roman"/>
        </w:rPr>
        <w:t xml:space="preserve">Przewidziane źródła finansowania oraz plan działania są w bezpośredni sposób powiązane z celami i przedsięwzięciami. Zaplanowane do realizacji przedsięwzięcia można będzie lepiej wdrażać na obszarze LSR dzięki alternatywnym źródłom dofinansowania, które pozwolą zrealizować większy zakres projektów. Wzięto pod uwagę te źródła finansowania, z których środki przeznaczane będą na operacje zgodnie z celem niniejszej LSR, a więc wszelkie te, które mogą przyczynić się do rozwoju kapitału społecznego mieszkańców, w tym podniesienia dostępności i atrakcyjności ogólnodostępnych przestrzeni, infrastruktury sportowo-rekreacyjnej, turystycznej, kulturalnej i edukacyjnej oraz oferty przemysłu czasu wolnego i samorozwoju mieszkańców. </w:t>
      </w:r>
    </w:p>
    <w:p w14:paraId="12B0DA02">
      <w:pPr>
        <w:spacing w:before="240" w:line="276" w:lineRule="auto"/>
        <w:ind w:firstLine="708"/>
        <w:jc w:val="both"/>
        <w:rPr>
          <w:rFonts w:ascii="Times New Roman" w:hAnsi="Times New Roman" w:cs="Times New Roman"/>
        </w:rPr>
      </w:pPr>
      <w:r>
        <w:rPr>
          <w:rFonts w:ascii="Times New Roman" w:hAnsi="Times New Roman" w:cs="Times New Roman"/>
        </w:rPr>
        <w:t xml:space="preserve">Zaplanowany do realizacji budżet został przedstawiony w Załączniku nr 3 do LSR pn. </w:t>
      </w:r>
      <w:r>
        <w:rPr>
          <w:rFonts w:ascii="Times New Roman" w:hAnsi="Times New Roman" w:cs="Times New Roman"/>
          <w:i/>
          <w:iCs/>
        </w:rPr>
        <w:t>Budżet LSR</w:t>
      </w:r>
      <w:r>
        <w:rPr>
          <w:rFonts w:ascii="Times New Roman" w:hAnsi="Times New Roman" w:cs="Times New Roman"/>
        </w:rPr>
        <w:t xml:space="preserve"> oraz w Załączniku nr 4 do LSR pn. </w:t>
      </w:r>
      <w:r>
        <w:rPr>
          <w:rFonts w:ascii="Times New Roman" w:hAnsi="Times New Roman" w:cs="Times New Roman"/>
          <w:i/>
          <w:iCs/>
        </w:rPr>
        <w:t>Plan wykorzystania budżetu</w:t>
      </w:r>
      <w:r>
        <w:rPr>
          <w:rFonts w:ascii="Times New Roman" w:hAnsi="Times New Roman" w:cs="Times New Roman"/>
        </w:rPr>
        <w:t>.</w:t>
      </w:r>
    </w:p>
    <w:p w14:paraId="25A82E3C">
      <w:pP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i/>
          <w:iCs/>
          <w:color w:val="000000" w:themeColor="text1"/>
          <w:sz w:val="20"/>
          <w:szCs w:val="20"/>
          <w14:textFill>
            <w14:solidFill>
              <w14:schemeClr w14:val="tx1"/>
            </w14:solidFill>
          </w14:textFill>
        </w:rPr>
        <w:br w:type="page"/>
      </w:r>
    </w:p>
    <w:p w14:paraId="40026D6B">
      <w:pPr>
        <w:pStyle w:val="28"/>
        <w:numPr>
          <w:ilvl w:val="0"/>
          <w:numId w:val="2"/>
        </w:numPr>
        <w:outlineLvl w:val="0"/>
        <w:rPr>
          <w:rFonts w:ascii="Times New Roman" w:hAnsi="Times New Roman" w:cs="Times New Roman"/>
          <w:b/>
          <w:bCs/>
        </w:rPr>
      </w:pPr>
      <w:r>
        <w:rPr>
          <w:rFonts w:ascii="Times New Roman" w:hAnsi="Times New Roman" w:cs="Times New Roman"/>
          <w:b/>
          <w:bCs/>
          <w:color w:val="000000" w:themeColor="text1"/>
          <w14:textFill>
            <w14:solidFill>
              <w14:schemeClr w14:val="tx1"/>
            </w14:solidFill>
          </w14:textFill>
        </w:rPr>
        <w:t xml:space="preserve"> </w:t>
      </w:r>
      <w:bookmarkStart w:id="160" w:name="_Toc135994842"/>
      <w:bookmarkStart w:id="161" w:name="_Toc135647313"/>
      <w:r>
        <w:rPr>
          <w:rFonts w:ascii="Times New Roman" w:hAnsi="Times New Roman" w:cs="Times New Roman"/>
          <w:b/>
          <w:bCs/>
          <w:color w:val="000000" w:themeColor="text1"/>
          <w14:textFill>
            <w14:solidFill>
              <w14:schemeClr w14:val="tx1"/>
            </w14:solidFill>
          </w14:textFill>
        </w:rPr>
        <w:t>MONITORING I EWALUACJA</w:t>
      </w:r>
      <w:bookmarkEnd w:id="160"/>
      <w:bookmarkEnd w:id="161"/>
    </w:p>
    <w:p w14:paraId="382C6F7F">
      <w:pPr>
        <w:spacing w:line="276" w:lineRule="auto"/>
        <w:ind w:firstLine="708"/>
        <w:jc w:val="both"/>
        <w:rPr>
          <w:rFonts w:ascii="Times New Roman" w:hAnsi="Times New Roman" w:cs="Times New Roman"/>
        </w:rPr>
      </w:pPr>
      <w:r>
        <w:rPr>
          <w:rFonts w:ascii="Times New Roman" w:hAnsi="Times New Roman" w:cs="Times New Roman"/>
        </w:rPr>
        <w:t>W celu poprawnego i efektywnego wdrażania założeń Strategii, niezbędne jest prowadzenie działań, które mają na celu weryfikację sposobu jej realizacji. W związku z tym niezbędne jest prowadzenie bieżącego monitoringu oraz przeprowadzanie badań ewaluacyjnych, które umożliwią w razie konieczności aktualizację dokumentu. Wszystkie podejmowane działania powinny być prowadzone w sposób zadowalający społeczność lokalną zamieszkującą obszar LGD.</w:t>
      </w:r>
    </w:p>
    <w:p w14:paraId="1BBE3BDF">
      <w:pPr>
        <w:pStyle w:val="28"/>
        <w:numPr>
          <w:ilvl w:val="1"/>
          <w:numId w:val="2"/>
        </w:numPr>
        <w:spacing w:line="276" w:lineRule="auto"/>
        <w:jc w:val="both"/>
        <w:rPr>
          <w:rFonts w:ascii="Times New Roman" w:hAnsi="Times New Roman" w:cs="Times New Roman"/>
          <w:b/>
          <w:bCs/>
        </w:rPr>
      </w:pPr>
      <w:r>
        <w:rPr>
          <w:rFonts w:ascii="Times New Roman" w:hAnsi="Times New Roman" w:cs="Times New Roman"/>
          <w:b/>
          <w:bCs/>
        </w:rPr>
        <w:t xml:space="preserve">Monitoring </w:t>
      </w:r>
    </w:p>
    <w:p w14:paraId="6C0BA098">
      <w:pPr>
        <w:spacing w:after="0" w:line="276" w:lineRule="auto"/>
        <w:ind w:firstLine="708"/>
        <w:jc w:val="both"/>
        <w:rPr>
          <w:rFonts w:ascii="Times New Roman" w:hAnsi="Times New Roman" w:cs="Times New Roman"/>
        </w:rPr>
      </w:pPr>
      <w:r>
        <w:rPr>
          <w:rFonts w:ascii="Times New Roman" w:hAnsi="Times New Roman" w:cs="Times New Roman"/>
        </w:rPr>
        <w:t xml:space="preserve">Monitoring LSR prowadzony będzie na bieżąco przez pracowników Biura LGD. </w:t>
      </w:r>
    </w:p>
    <w:p w14:paraId="151CC51B">
      <w:pPr>
        <w:spacing w:after="0" w:line="276" w:lineRule="auto"/>
        <w:ind w:firstLine="708"/>
        <w:jc w:val="both"/>
        <w:rPr>
          <w:rFonts w:ascii="Times New Roman" w:hAnsi="Times New Roman" w:cs="Times New Roman"/>
        </w:rPr>
      </w:pPr>
      <w:r>
        <w:rPr>
          <w:rFonts w:ascii="Times New Roman" w:hAnsi="Times New Roman" w:cs="Times New Roman"/>
        </w:rPr>
        <w:t xml:space="preserve">Monitoring obejmuje: </w:t>
      </w:r>
    </w:p>
    <w:p w14:paraId="0BC26737">
      <w:pPr>
        <w:pStyle w:val="28"/>
        <w:numPr>
          <w:ilvl w:val="0"/>
          <w:numId w:val="52"/>
        </w:numPr>
        <w:spacing w:line="276" w:lineRule="auto"/>
        <w:ind w:left="709"/>
        <w:jc w:val="both"/>
        <w:rPr>
          <w:rFonts w:ascii="Times New Roman" w:hAnsi="Times New Roman" w:cs="Times New Roman"/>
          <w:b/>
          <w:bCs/>
        </w:rPr>
      </w:pPr>
      <w:r>
        <w:rPr>
          <w:rFonts w:ascii="Times New Roman" w:hAnsi="Times New Roman" w:cs="Times New Roman"/>
        </w:rPr>
        <w:t xml:space="preserve">zebranie danych na temat: wskaźników realizacji LSR, harmonogramu ogłaszanych konkursów, budżetu LGD, liczby osób odwiedzających stronę internetową; </w:t>
      </w:r>
    </w:p>
    <w:p w14:paraId="3BFE6A9E">
      <w:pPr>
        <w:pStyle w:val="28"/>
        <w:numPr>
          <w:ilvl w:val="0"/>
          <w:numId w:val="52"/>
        </w:numPr>
        <w:spacing w:line="276" w:lineRule="auto"/>
        <w:ind w:left="709"/>
        <w:jc w:val="both"/>
        <w:rPr>
          <w:rFonts w:ascii="Times New Roman" w:hAnsi="Times New Roman" w:cs="Times New Roman"/>
          <w:b/>
          <w:bCs/>
        </w:rPr>
      </w:pPr>
      <w:r>
        <w:rPr>
          <w:rFonts w:ascii="Times New Roman" w:hAnsi="Times New Roman" w:cs="Times New Roman"/>
        </w:rPr>
        <w:t xml:space="preserve">ocenę zebranych informacji w stosunku do założonych wartości; </w:t>
      </w:r>
    </w:p>
    <w:p w14:paraId="2A4D0DBC">
      <w:pPr>
        <w:pStyle w:val="28"/>
        <w:numPr>
          <w:ilvl w:val="0"/>
          <w:numId w:val="52"/>
        </w:numPr>
        <w:spacing w:line="276" w:lineRule="auto"/>
        <w:ind w:left="709"/>
        <w:jc w:val="both"/>
        <w:rPr>
          <w:rFonts w:ascii="Times New Roman" w:hAnsi="Times New Roman" w:cs="Times New Roman"/>
          <w:b/>
          <w:bCs/>
        </w:rPr>
      </w:pPr>
      <w:r>
        <w:rPr>
          <w:rFonts w:ascii="Times New Roman" w:hAnsi="Times New Roman" w:cs="Times New Roman"/>
        </w:rPr>
        <w:t>opracowanie Raportów z monitoringu Strategii w okresie rocznym, zawierających podsumowanie danych wraz z wygenerowanymi wnioskami dotyczącymi wpływu podejmowanych działań na realizację założeń Strategii.</w:t>
      </w:r>
    </w:p>
    <w:p w14:paraId="6914B312">
      <w:pPr>
        <w:spacing w:after="0" w:line="276" w:lineRule="auto"/>
        <w:ind w:firstLine="708"/>
        <w:jc w:val="both"/>
        <w:rPr>
          <w:rFonts w:ascii="Times New Roman" w:hAnsi="Times New Roman" w:cs="Times New Roman"/>
        </w:rPr>
      </w:pPr>
      <w:r>
        <w:rPr>
          <w:rFonts w:ascii="Times New Roman" w:hAnsi="Times New Roman" w:cs="Times New Roman"/>
        </w:rPr>
        <w:t>Charakterystyka źródeł danych oraz sposobu pomiaru i oceny danych:</w:t>
      </w:r>
    </w:p>
    <w:p w14:paraId="5A26A835">
      <w:pPr>
        <w:pStyle w:val="28"/>
        <w:numPr>
          <w:ilvl w:val="0"/>
          <w:numId w:val="38"/>
        </w:numPr>
        <w:spacing w:line="276" w:lineRule="auto"/>
        <w:ind w:hanging="436"/>
        <w:jc w:val="both"/>
        <w:rPr>
          <w:rFonts w:ascii="Times New Roman" w:hAnsi="Times New Roman" w:cs="Times New Roman"/>
        </w:rPr>
      </w:pPr>
      <w:r>
        <w:rPr>
          <w:rFonts w:ascii="Times New Roman" w:hAnsi="Times New Roman" w:cs="Times New Roman"/>
        </w:rPr>
        <w:t>Dane własne LGD – informacje gromadzone w toku normalnej działalności LGD, w szczególności w ramach obowiązkowej sprawozdawczości. Dane własne obejmują:</w:t>
      </w:r>
    </w:p>
    <w:p w14:paraId="180FDDF6">
      <w:pPr>
        <w:pStyle w:val="28"/>
        <w:numPr>
          <w:ilvl w:val="0"/>
          <w:numId w:val="53"/>
        </w:numPr>
        <w:spacing w:line="276" w:lineRule="auto"/>
        <w:jc w:val="both"/>
        <w:rPr>
          <w:rFonts w:ascii="Times New Roman" w:hAnsi="Times New Roman" w:cs="Times New Roman"/>
        </w:rPr>
      </w:pPr>
      <w:r>
        <w:rPr>
          <w:rFonts w:ascii="Times New Roman" w:hAnsi="Times New Roman" w:cs="Times New Roman"/>
        </w:rPr>
        <w:t>wskaźniki Planu komunikacji,</w:t>
      </w:r>
    </w:p>
    <w:p w14:paraId="33C2DEA4">
      <w:pPr>
        <w:pStyle w:val="28"/>
        <w:numPr>
          <w:ilvl w:val="0"/>
          <w:numId w:val="53"/>
        </w:numPr>
        <w:spacing w:line="276" w:lineRule="auto"/>
        <w:jc w:val="both"/>
        <w:rPr>
          <w:rFonts w:ascii="Times New Roman" w:hAnsi="Times New Roman" w:cs="Times New Roman"/>
        </w:rPr>
      </w:pPr>
      <w:r>
        <w:rPr>
          <w:rFonts w:ascii="Times New Roman" w:hAnsi="Times New Roman" w:cs="Times New Roman"/>
        </w:rPr>
        <w:t>dane ilościowe dotyczące doradztwa w Biurze,</w:t>
      </w:r>
    </w:p>
    <w:p w14:paraId="55E3FCDD">
      <w:pPr>
        <w:pStyle w:val="28"/>
        <w:numPr>
          <w:ilvl w:val="0"/>
          <w:numId w:val="53"/>
        </w:numPr>
        <w:spacing w:line="276" w:lineRule="auto"/>
        <w:jc w:val="both"/>
        <w:rPr>
          <w:rFonts w:ascii="Times New Roman" w:hAnsi="Times New Roman" w:cs="Times New Roman"/>
        </w:rPr>
      </w:pPr>
      <w:r>
        <w:rPr>
          <w:rFonts w:ascii="Times New Roman" w:hAnsi="Times New Roman" w:cs="Times New Roman"/>
        </w:rPr>
        <w:t>dane gromadzone w trakcie naborów (m.in. terminy naborów, ilość złożonych wniosków, środki finansowe przypisane do naborów),</w:t>
      </w:r>
    </w:p>
    <w:p w14:paraId="26688879">
      <w:pPr>
        <w:pStyle w:val="28"/>
        <w:numPr>
          <w:ilvl w:val="0"/>
          <w:numId w:val="53"/>
        </w:numPr>
        <w:spacing w:line="276" w:lineRule="auto"/>
        <w:jc w:val="both"/>
        <w:rPr>
          <w:rFonts w:ascii="Times New Roman" w:hAnsi="Times New Roman" w:cs="Times New Roman"/>
        </w:rPr>
      </w:pPr>
      <w:r>
        <w:rPr>
          <w:rFonts w:ascii="Times New Roman" w:hAnsi="Times New Roman" w:cs="Times New Roman"/>
        </w:rPr>
        <w:t>wskaźniki LSR, EFSI,</w:t>
      </w:r>
    </w:p>
    <w:p w14:paraId="134849CD">
      <w:pPr>
        <w:pStyle w:val="28"/>
        <w:numPr>
          <w:ilvl w:val="0"/>
          <w:numId w:val="53"/>
        </w:numPr>
        <w:spacing w:line="276" w:lineRule="auto"/>
        <w:jc w:val="both"/>
        <w:rPr>
          <w:rFonts w:ascii="Times New Roman" w:hAnsi="Times New Roman" w:cs="Times New Roman"/>
        </w:rPr>
      </w:pPr>
      <w:r>
        <w:rPr>
          <w:rFonts w:ascii="Times New Roman" w:hAnsi="Times New Roman" w:cs="Times New Roman"/>
        </w:rPr>
        <w:t>realizację budżetu LSR,</w:t>
      </w:r>
    </w:p>
    <w:p w14:paraId="5743E7A8">
      <w:pPr>
        <w:pStyle w:val="28"/>
        <w:numPr>
          <w:ilvl w:val="0"/>
          <w:numId w:val="53"/>
        </w:numPr>
        <w:spacing w:line="276" w:lineRule="auto"/>
        <w:jc w:val="both"/>
        <w:rPr>
          <w:rFonts w:ascii="Times New Roman" w:hAnsi="Times New Roman" w:cs="Times New Roman"/>
        </w:rPr>
      </w:pPr>
      <w:r>
        <w:rPr>
          <w:rFonts w:ascii="Times New Roman" w:hAnsi="Times New Roman" w:cs="Times New Roman"/>
        </w:rPr>
        <w:t>dane dotyczące pracy organów LGD,</w:t>
      </w:r>
    </w:p>
    <w:p w14:paraId="631AFBFC">
      <w:pPr>
        <w:pStyle w:val="28"/>
        <w:numPr>
          <w:ilvl w:val="0"/>
          <w:numId w:val="53"/>
        </w:numPr>
        <w:spacing w:line="276" w:lineRule="auto"/>
        <w:jc w:val="both"/>
        <w:rPr>
          <w:rFonts w:ascii="Times New Roman" w:hAnsi="Times New Roman" w:cs="Times New Roman"/>
        </w:rPr>
      </w:pPr>
      <w:r>
        <w:rPr>
          <w:rFonts w:ascii="Times New Roman" w:hAnsi="Times New Roman" w:cs="Times New Roman"/>
        </w:rPr>
        <w:t>informacje o szkoleniach dla pracowników Biura i członków organów LGD.</w:t>
      </w:r>
    </w:p>
    <w:p w14:paraId="1D41D83A">
      <w:pPr>
        <w:pStyle w:val="28"/>
        <w:spacing w:line="276" w:lineRule="auto"/>
        <w:ind w:left="1428"/>
        <w:jc w:val="both"/>
        <w:rPr>
          <w:rFonts w:ascii="Times New Roman" w:hAnsi="Times New Roman" w:cs="Times New Roman"/>
        </w:rPr>
      </w:pPr>
    </w:p>
    <w:p w14:paraId="0210EF35">
      <w:pPr>
        <w:pStyle w:val="28"/>
        <w:numPr>
          <w:ilvl w:val="0"/>
          <w:numId w:val="38"/>
        </w:numPr>
        <w:spacing w:line="276" w:lineRule="auto"/>
        <w:ind w:left="709" w:hanging="425"/>
        <w:jc w:val="both"/>
        <w:rPr>
          <w:rFonts w:ascii="Times New Roman" w:hAnsi="Times New Roman" w:cs="Times New Roman"/>
        </w:rPr>
      </w:pPr>
      <w:r>
        <w:rPr>
          <w:rFonts w:ascii="Times New Roman" w:hAnsi="Times New Roman" w:cs="Times New Roman"/>
        </w:rPr>
        <w:t>Badania własne:</w:t>
      </w:r>
    </w:p>
    <w:p w14:paraId="5EB57854">
      <w:pPr>
        <w:pStyle w:val="28"/>
        <w:numPr>
          <w:ilvl w:val="0"/>
          <w:numId w:val="54"/>
        </w:numPr>
        <w:spacing w:line="276" w:lineRule="auto"/>
        <w:jc w:val="both"/>
        <w:rPr>
          <w:rFonts w:ascii="Times New Roman" w:hAnsi="Times New Roman" w:cs="Times New Roman"/>
        </w:rPr>
      </w:pPr>
      <w:r>
        <w:rPr>
          <w:rFonts w:ascii="Times New Roman" w:hAnsi="Times New Roman" w:cs="Times New Roman"/>
        </w:rPr>
        <w:t xml:space="preserve">ankieta monitorująca dla beneficjentów i grantobiorców – badanie pozwoli na zbieranie istotnych informacji dotyczących postępu rzeczowo-finansowego. Pozwoli także pogłębić informacje uzyskane z wniosków o dofinansowanie operacji – ankieta będzie wypełniana przez beneficjentów </w:t>
      </w:r>
      <w:r>
        <w:rPr>
          <w:rFonts w:ascii="Times New Roman" w:hAnsi="Times New Roman" w:cs="Times New Roman"/>
        </w:rPr>
        <w:br w:type="textWrapping"/>
      </w:r>
      <w:r>
        <w:rPr>
          <w:rFonts w:ascii="Times New Roman" w:hAnsi="Times New Roman" w:cs="Times New Roman"/>
        </w:rPr>
        <w:t xml:space="preserve">i grantobiorców w roku, w którym rozliczyli oni operację; </w:t>
      </w:r>
    </w:p>
    <w:p w14:paraId="72D61192">
      <w:pPr>
        <w:pStyle w:val="28"/>
        <w:numPr>
          <w:ilvl w:val="0"/>
          <w:numId w:val="54"/>
        </w:numPr>
        <w:spacing w:line="276" w:lineRule="auto"/>
        <w:jc w:val="both"/>
        <w:rPr>
          <w:rFonts w:ascii="Times New Roman" w:hAnsi="Times New Roman" w:cs="Times New Roman"/>
        </w:rPr>
      </w:pPr>
      <w:r>
        <w:rPr>
          <w:rFonts w:ascii="Times New Roman" w:hAnsi="Times New Roman" w:cs="Times New Roman"/>
        </w:rPr>
        <w:t>badanie ankietowe osób korzystających z doradztwa – badanie realizowane na bieżąco, w których jednostką analizy będą udzielone porady. O wypełnienie ankiety będą proszone osoby korzystające z doradztwa w Biurze LGD;</w:t>
      </w:r>
    </w:p>
    <w:p w14:paraId="196D03D4">
      <w:pPr>
        <w:pStyle w:val="28"/>
        <w:numPr>
          <w:ilvl w:val="0"/>
          <w:numId w:val="54"/>
        </w:numPr>
        <w:spacing w:line="276" w:lineRule="auto"/>
        <w:jc w:val="both"/>
        <w:rPr>
          <w:rFonts w:ascii="Times New Roman" w:hAnsi="Times New Roman" w:cs="Times New Roman"/>
        </w:rPr>
      </w:pPr>
      <w:r>
        <w:rPr>
          <w:rFonts w:ascii="Times New Roman" w:hAnsi="Times New Roman" w:cs="Times New Roman"/>
        </w:rPr>
        <w:t>badanie ankietowe uczestników spotkań informacyjno-konsultacyjnych lub szkoleń organizowanych przez LGD – realizowane w czasie każdego tego typu wydarzenia zorganizowanego przez LGD.</w:t>
      </w:r>
    </w:p>
    <w:p w14:paraId="0638A42D">
      <w:pPr>
        <w:pStyle w:val="28"/>
        <w:spacing w:line="276" w:lineRule="auto"/>
        <w:ind w:left="1440"/>
        <w:jc w:val="both"/>
        <w:rPr>
          <w:rFonts w:ascii="Times New Roman" w:hAnsi="Times New Roman" w:cs="Times New Roman"/>
          <w:b/>
          <w:bCs/>
        </w:rPr>
      </w:pPr>
    </w:p>
    <w:p w14:paraId="45FF02C0">
      <w:pPr>
        <w:pStyle w:val="28"/>
        <w:spacing w:line="276" w:lineRule="auto"/>
        <w:ind w:left="0" w:firstLine="708"/>
        <w:jc w:val="both"/>
        <w:rPr>
          <w:rFonts w:ascii="Times New Roman" w:hAnsi="Times New Roman" w:cs="Times New Roman"/>
        </w:rPr>
      </w:pPr>
      <w:r>
        <w:rPr>
          <w:rFonts w:ascii="Times New Roman" w:hAnsi="Times New Roman" w:cs="Times New Roman"/>
        </w:rPr>
        <w:t>Istotną częścią monitoringu, która zasługuje na osobne omówienie, będzie monitoring realizacji projektów grantowych. LGD będzie ponosić bowiem szczególną odpowiedzialność za efekty przedsięwzięć realizowanych przez grantobiorców. Monitorowanie przedsięwzięć w ramach projektów grantowych powinno być przy tym traktowane nie jako kontrola, ale jako wsparcie dla osób je realizujących. W przypadku projektów grantowych zastosowany zostanie również monitoring operacyjny, polegający na osobistych kontaktach między pracownikami LGD a osobami realizującymi granty. Pracownicy LGD będą stosować wystandaryzowany formularz kontaktu, w którym będą zapisywać uzyskane od grantobiorców informacje oraz odnotowywać przekazane im rekomendacje. Dopuszcza się możliwość kontaktu telefonicznego z grantobiorcami bądź osobiste spotkania w Biurze LGD lub w miejscu realizacji operacji. Pracownicy będą zobowiązani odwiedzić grantobiorców w miejscu realizacji przedsięwzięć w czasie realizowania przez nich operacji. Jeśli charakter realizowanego przedsięwzięcia będzie na to pozwalał, to zbierana będzie dokumentacja fotograficzna, która będzie dołączona do formularza kontaktu.</w:t>
      </w:r>
    </w:p>
    <w:p w14:paraId="6082F106">
      <w:pPr>
        <w:pStyle w:val="28"/>
        <w:numPr>
          <w:ilvl w:val="1"/>
          <w:numId w:val="2"/>
        </w:numPr>
        <w:spacing w:line="276" w:lineRule="auto"/>
        <w:jc w:val="both"/>
        <w:rPr>
          <w:rFonts w:ascii="Times New Roman" w:hAnsi="Times New Roman" w:cs="Times New Roman"/>
          <w:b/>
          <w:bCs/>
        </w:rPr>
      </w:pPr>
      <w:r>
        <w:rPr>
          <w:rFonts w:ascii="Times New Roman" w:hAnsi="Times New Roman" w:cs="Times New Roman"/>
          <w:b/>
          <w:bCs/>
        </w:rPr>
        <w:t xml:space="preserve">Ewaluacja </w:t>
      </w:r>
    </w:p>
    <w:p w14:paraId="1A655869">
      <w:pPr>
        <w:spacing w:line="276" w:lineRule="auto"/>
        <w:ind w:firstLine="708"/>
        <w:jc w:val="both"/>
        <w:rPr>
          <w:rFonts w:ascii="Times New Roman" w:hAnsi="Times New Roman" w:cs="Times New Roman"/>
        </w:rPr>
      </w:pPr>
      <w:r>
        <w:rPr>
          <w:rFonts w:ascii="Times New Roman" w:hAnsi="Times New Roman" w:cs="Times New Roman"/>
        </w:rPr>
        <w:t>Ewaluacja LSR realizowana będzie w następujących etapach, które będą różniły się celami w zależności od etapu realizacji Strategii:</w:t>
      </w:r>
    </w:p>
    <w:p w14:paraId="3CFD76D5">
      <w:pPr>
        <w:pStyle w:val="28"/>
        <w:numPr>
          <w:ilvl w:val="1"/>
          <w:numId w:val="55"/>
        </w:numPr>
        <w:spacing w:line="276" w:lineRule="auto"/>
        <w:jc w:val="both"/>
        <w:rPr>
          <w:rFonts w:ascii="Times New Roman" w:hAnsi="Times New Roman" w:cs="Times New Roman"/>
        </w:rPr>
      </w:pPr>
      <w:r>
        <w:rPr>
          <w:rFonts w:ascii="Times New Roman" w:hAnsi="Times New Roman" w:cs="Times New Roman"/>
        </w:rPr>
        <w:t>Ewaluacja on-going – corocznie w latach 2024–2029, dokonywana w pierwszym kwartale roku kolejnego.</w:t>
      </w:r>
    </w:p>
    <w:p w14:paraId="62C4962E">
      <w:pPr>
        <w:pStyle w:val="28"/>
        <w:numPr>
          <w:ilvl w:val="1"/>
          <w:numId w:val="55"/>
        </w:numPr>
        <w:spacing w:line="276" w:lineRule="auto"/>
        <w:jc w:val="both"/>
        <w:rPr>
          <w:rFonts w:ascii="Times New Roman" w:hAnsi="Times New Roman" w:cs="Times New Roman"/>
        </w:rPr>
      </w:pPr>
      <w:r>
        <w:rPr>
          <w:rFonts w:ascii="Times New Roman" w:hAnsi="Times New Roman" w:cs="Times New Roman"/>
        </w:rPr>
        <w:t>Ewaluacja mid-term (śródokresowa) – w 2026 roku.</w:t>
      </w:r>
    </w:p>
    <w:p w14:paraId="2AC24385">
      <w:pPr>
        <w:pStyle w:val="28"/>
        <w:numPr>
          <w:ilvl w:val="1"/>
          <w:numId w:val="55"/>
        </w:numPr>
        <w:spacing w:line="276" w:lineRule="auto"/>
        <w:jc w:val="both"/>
        <w:rPr>
          <w:rFonts w:ascii="Times New Roman" w:hAnsi="Times New Roman" w:cs="Times New Roman"/>
        </w:rPr>
      </w:pPr>
      <w:r>
        <w:rPr>
          <w:rFonts w:ascii="Times New Roman" w:hAnsi="Times New Roman" w:cs="Times New Roman"/>
        </w:rPr>
        <w:t>Ewaluacja ex-post (końcowa ewaluacja zewnętrzna).</w:t>
      </w:r>
    </w:p>
    <w:p w14:paraId="79A512DD">
      <w:pPr>
        <w:spacing w:line="276" w:lineRule="auto"/>
        <w:ind w:firstLine="708"/>
        <w:jc w:val="both"/>
        <w:rPr>
          <w:rFonts w:ascii="Times New Roman" w:hAnsi="Times New Roman" w:cs="Times New Roman"/>
        </w:rPr>
      </w:pPr>
      <w:r>
        <w:rPr>
          <w:rFonts w:ascii="Times New Roman" w:hAnsi="Times New Roman" w:cs="Times New Roman"/>
        </w:rPr>
        <w:t>Ewaluacja dotyczyć będzie: oceny działalności LGD, pracowników i funkcjonowania Biura, skuteczności promocji i aktywizacji społeczności lokalnej, harmonogramu rzeczowo-finansowego LSR, stopnia realizacji celów (wskaźników) oraz budżetu LSR.</w:t>
      </w:r>
    </w:p>
    <w:p w14:paraId="4CD1A869">
      <w:pPr>
        <w:spacing w:line="276" w:lineRule="auto"/>
        <w:ind w:firstLine="708"/>
        <w:jc w:val="both"/>
        <w:rPr>
          <w:rFonts w:ascii="Times New Roman" w:hAnsi="Times New Roman" w:cs="Times New Roman"/>
        </w:rPr>
      </w:pPr>
      <w:r>
        <w:rPr>
          <w:rFonts w:ascii="Times New Roman" w:hAnsi="Times New Roman" w:cs="Times New Roman"/>
        </w:rPr>
        <w:t xml:space="preserve">Coroczna ewaluacja wewnętrzna prowadzona będzie w ramach warsztatów refleksyjnych w ramach ewaluacji on-going. Przeprowadzenie ewaluacji mid-term i ex-post zostanie powierzone wyspecjalizowanemu podmiotowi zewnętrznemu (niezależnym ekspertom). Decyzję w tym względzie podejmie Zarząd LGD na podstawie ofert przedstawionych przez potencjalnych wykonawców. </w:t>
      </w:r>
    </w:p>
    <w:p w14:paraId="2236B55D">
      <w:pPr>
        <w:spacing w:line="276" w:lineRule="auto"/>
        <w:ind w:firstLine="708"/>
        <w:jc w:val="both"/>
        <w:rPr>
          <w:rFonts w:ascii="Times New Roman" w:hAnsi="Times New Roman" w:cs="Times New Roman"/>
        </w:rPr>
      </w:pPr>
      <w:r>
        <w:rPr>
          <w:rFonts w:ascii="Times New Roman" w:hAnsi="Times New Roman" w:cs="Times New Roman"/>
        </w:rPr>
        <w:t>Raport z ewaluacji Strategii obejmuje przede wszystkim:</w:t>
      </w:r>
    </w:p>
    <w:p w14:paraId="27D875DF">
      <w:pPr>
        <w:pStyle w:val="28"/>
        <w:numPr>
          <w:ilvl w:val="0"/>
          <w:numId w:val="56"/>
        </w:numPr>
        <w:spacing w:line="276" w:lineRule="auto"/>
        <w:jc w:val="both"/>
        <w:rPr>
          <w:rFonts w:ascii="Times New Roman" w:hAnsi="Times New Roman" w:cs="Times New Roman"/>
        </w:rPr>
      </w:pPr>
      <w:r>
        <w:rPr>
          <w:rFonts w:ascii="Times New Roman" w:hAnsi="Times New Roman" w:cs="Times New Roman"/>
        </w:rPr>
        <w:t xml:space="preserve">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 efektywność doradztwa w Biurze LGD, liczbę porad i charakter doradztwa w Biurze, częstotliwość, regularność i frekwencję spotkań organów LGD. </w:t>
      </w:r>
    </w:p>
    <w:p w14:paraId="362EB19F">
      <w:pPr>
        <w:pStyle w:val="28"/>
        <w:numPr>
          <w:ilvl w:val="0"/>
          <w:numId w:val="56"/>
        </w:numPr>
        <w:spacing w:line="276" w:lineRule="auto"/>
        <w:jc w:val="both"/>
        <w:rPr>
          <w:rFonts w:ascii="Times New Roman" w:hAnsi="Times New Roman" w:cs="Times New Roman"/>
        </w:rPr>
      </w:pPr>
      <w:r>
        <w:rPr>
          <w:rFonts w:ascii="Times New Roman" w:hAnsi="Times New Roman" w:cs="Times New Roman"/>
        </w:rPr>
        <w:t xml:space="preserve">Ocenę realizacji planu działania. </w:t>
      </w:r>
    </w:p>
    <w:p w14:paraId="3860F0C9">
      <w:pPr>
        <w:pStyle w:val="28"/>
        <w:numPr>
          <w:ilvl w:val="0"/>
          <w:numId w:val="56"/>
        </w:numPr>
        <w:spacing w:line="276" w:lineRule="auto"/>
        <w:jc w:val="both"/>
        <w:rPr>
          <w:rFonts w:ascii="Times New Roman" w:hAnsi="Times New Roman" w:cs="Times New Roman"/>
        </w:rPr>
      </w:pPr>
      <w:r>
        <w:rPr>
          <w:rFonts w:ascii="Times New Roman" w:hAnsi="Times New Roman" w:cs="Times New Roman"/>
        </w:rPr>
        <w:t xml:space="preserve">Ocenę stopnia wdrażania celów LSR, w tym stopnia osiągnięcia wskaźników, stopnia wykorzystania funduszy, realizacji budżetu, realizacji działań skierowanych do grupy osób w niekorzystnej sytuacji. </w:t>
      </w:r>
    </w:p>
    <w:p w14:paraId="7A02288E">
      <w:pPr>
        <w:pStyle w:val="28"/>
        <w:numPr>
          <w:ilvl w:val="0"/>
          <w:numId w:val="56"/>
        </w:numPr>
        <w:spacing w:line="276" w:lineRule="auto"/>
        <w:jc w:val="both"/>
        <w:rPr>
          <w:rFonts w:ascii="Times New Roman" w:hAnsi="Times New Roman" w:cs="Times New Roman"/>
        </w:rPr>
      </w:pPr>
      <w:r>
        <w:rPr>
          <w:rFonts w:ascii="Times New Roman" w:hAnsi="Times New Roman" w:cs="Times New Roman"/>
        </w:rPr>
        <w:t xml:space="preserve">Podsumowanie działalności LGD w badanym okresie, wnioski i rekomendacje. </w:t>
      </w:r>
    </w:p>
    <w:p w14:paraId="3FDAD21D">
      <w:pPr>
        <w:spacing w:line="276" w:lineRule="auto"/>
        <w:ind w:firstLine="708"/>
        <w:jc w:val="both"/>
        <w:rPr>
          <w:rFonts w:ascii="Times New Roman" w:hAnsi="Times New Roman" w:cs="Times New Roman"/>
        </w:rPr>
      </w:pPr>
      <w:r>
        <w:rPr>
          <w:rFonts w:ascii="Times New Roman" w:hAnsi="Times New Roman" w:cs="Times New Roman"/>
        </w:rPr>
        <w:t>Ewaluacja prowadzona będzie w oparciu o kryteria ewaluacji, tj.: trafności, efektywności i wydajności, skuteczności, trwałości, użyteczności. Źródła danych są tożsame ze źródłami dla monitoringu (dane własne, badania własne).</w:t>
      </w:r>
    </w:p>
    <w:p w14:paraId="48BB6632">
      <w:pPr>
        <w:spacing w:line="276" w:lineRule="auto"/>
        <w:ind w:firstLine="708"/>
        <w:jc w:val="both"/>
        <w:rPr>
          <w:rFonts w:ascii="Times New Roman" w:hAnsi="Times New Roman" w:cs="Times New Roman"/>
        </w:rPr>
      </w:pPr>
      <w:r>
        <w:rPr>
          <w:rFonts w:ascii="Times New Roman" w:hAnsi="Times New Roman" w:cs="Times New Roman"/>
        </w:rPr>
        <w:t>Zatwierdzenia Raportu z ewaluacji Strategii dokonuje się uchwałą Walnego Zebrania Członków.</w:t>
      </w:r>
    </w:p>
    <w:p w14:paraId="584C66D3">
      <w:pPr>
        <w:spacing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ab/>
      </w:r>
      <w:r>
        <w:rPr>
          <w:rFonts w:ascii="Times New Roman" w:hAnsi="Times New Roman" w:cs="Times New Roman" w:eastAsiaTheme="majorEastAsia"/>
          <w:color w:val="000000" w:themeColor="text1"/>
          <w14:textFill>
            <w14:solidFill>
              <w14:schemeClr w14:val="tx1"/>
            </w14:solidFill>
          </w14:textFill>
        </w:rPr>
        <w:t>Zalecenia z kontroli, oceny, monitoringu i/lub ewaluacji mogą być podstawą do aktualizacji LSR, podobnie jak zmiana przepisów dotyczących LSR czy zmiana danych dotyczących LSR.</w:t>
      </w:r>
    </w:p>
    <w:p w14:paraId="0611A49E">
      <w:pPr>
        <w:spacing w:after="0"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ab/>
      </w:r>
      <w:r>
        <w:rPr>
          <w:rFonts w:ascii="Times New Roman" w:hAnsi="Times New Roman" w:cs="Times New Roman" w:eastAsiaTheme="majorEastAsia"/>
          <w:color w:val="000000" w:themeColor="text1"/>
          <w14:textFill>
            <w14:solidFill>
              <w14:schemeClr w14:val="tx1"/>
            </w14:solidFill>
          </w14:textFill>
        </w:rPr>
        <w:t>Aktualizacja Strategii Rozwoju Lokalnego Kierowanego przez Społeczność może nastąpić w związku z:</w:t>
      </w:r>
    </w:p>
    <w:p w14:paraId="6DE4ED74">
      <w:pPr>
        <w:pStyle w:val="28"/>
        <w:numPr>
          <w:ilvl w:val="1"/>
          <w:numId w:val="57"/>
        </w:numPr>
        <w:spacing w:after="0"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zmianą danych dotyczących obszaru LSR,</w:t>
      </w:r>
    </w:p>
    <w:p w14:paraId="027673DB">
      <w:pPr>
        <w:pStyle w:val="28"/>
        <w:numPr>
          <w:ilvl w:val="1"/>
          <w:numId w:val="57"/>
        </w:numPr>
        <w:spacing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zmianą przepisów dotyczących LSR,</w:t>
      </w:r>
    </w:p>
    <w:p w14:paraId="15473DA7">
      <w:pPr>
        <w:pStyle w:val="28"/>
        <w:numPr>
          <w:ilvl w:val="1"/>
          <w:numId w:val="57"/>
        </w:numPr>
        <w:spacing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potrzebą zastosowania zaleceń z kontroli, oceny, monitoringu i/lub ewaluacji LSR/LGD,</w:t>
      </w:r>
    </w:p>
    <w:p w14:paraId="6914DFC6">
      <w:pPr>
        <w:pStyle w:val="28"/>
        <w:numPr>
          <w:ilvl w:val="1"/>
          <w:numId w:val="57"/>
        </w:numPr>
        <w:spacing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 xml:space="preserve">rocznymi wynikami ciągłego </w:t>
      </w:r>
      <w:r>
        <w:rPr>
          <w:rFonts w:ascii="Times New Roman" w:hAnsi="Times New Roman" w:cs="Times New Roman"/>
        </w:rPr>
        <w:t>naboru propozycji projektów do realizacji.</w:t>
      </w:r>
    </w:p>
    <w:p w14:paraId="60D990EF">
      <w:pPr>
        <w:spacing w:after="0" w:line="276" w:lineRule="auto"/>
        <w:ind w:firstLine="708"/>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Aktualizacja LSR może nastąpić na wniosek:</w:t>
      </w:r>
    </w:p>
    <w:p w14:paraId="159A1125">
      <w:pPr>
        <w:pStyle w:val="28"/>
        <w:numPr>
          <w:ilvl w:val="1"/>
          <w:numId w:val="58"/>
        </w:numPr>
        <w:spacing w:after="0"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Rady LGD,</w:t>
      </w:r>
    </w:p>
    <w:p w14:paraId="529076A2">
      <w:pPr>
        <w:pStyle w:val="28"/>
        <w:numPr>
          <w:ilvl w:val="1"/>
          <w:numId w:val="58"/>
        </w:numPr>
        <w:spacing w:after="0"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Komisji Rewizyjnej LGD,</w:t>
      </w:r>
    </w:p>
    <w:p w14:paraId="0B23F58E">
      <w:pPr>
        <w:pStyle w:val="28"/>
        <w:numPr>
          <w:ilvl w:val="1"/>
          <w:numId w:val="58"/>
        </w:numPr>
        <w:spacing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Zarządu LGD,</w:t>
      </w:r>
    </w:p>
    <w:p w14:paraId="7D8FEDBF">
      <w:pPr>
        <w:pStyle w:val="28"/>
        <w:numPr>
          <w:ilvl w:val="1"/>
          <w:numId w:val="58"/>
        </w:numPr>
        <w:spacing w:line="276" w:lineRule="auto"/>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grupy liczącej powyżej 10% wszystkich członków LGD.</w:t>
      </w:r>
    </w:p>
    <w:p w14:paraId="15A0BC30">
      <w:pPr>
        <w:spacing w:line="276" w:lineRule="auto"/>
        <w:ind w:firstLine="708"/>
        <w:jc w:val="both"/>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color w:val="000000" w:themeColor="text1"/>
          <w14:textFill>
            <w14:solidFill>
              <w14:schemeClr w14:val="tx1"/>
            </w14:solidFill>
          </w14:textFill>
        </w:rPr>
        <w:t>Wniosek o aktualizację LSR będzie składany do Zarządu LGD, który zobowiązany jest przedstawić go na najbliższym Walnym Zebraniu Członków. Projekt zmiany LSR musi zostać poddany konsultacjom społecznym poprzez zamieszczenie zmienianych części LSR wraz z uzasadnieniem na stronie internetowej LGD na co najmniej 14 dni.</w:t>
      </w:r>
    </w:p>
    <w:p w14:paraId="52604465">
      <w:pPr>
        <w:rPr>
          <w:rFonts w:ascii="Times New Roman" w:hAnsi="Times New Roman" w:cs="Times New Roman" w:eastAsiaTheme="majorEastAsia"/>
          <w:b/>
          <w:bCs/>
          <w:color w:val="000000" w:themeColor="text1"/>
          <w14:textFill>
            <w14:solidFill>
              <w14:schemeClr w14:val="tx1"/>
            </w14:solidFill>
          </w14:textFill>
        </w:rPr>
      </w:pPr>
      <w:r>
        <w:rPr>
          <w:rFonts w:ascii="Times New Roman" w:hAnsi="Times New Roman" w:cs="Times New Roman" w:eastAsiaTheme="majorEastAsia"/>
          <w:b/>
          <w:bCs/>
          <w:color w:val="000000" w:themeColor="text1"/>
          <w14:textFill>
            <w14:solidFill>
              <w14:schemeClr w14:val="tx1"/>
            </w14:solidFill>
          </w14:textFill>
        </w:rPr>
        <w:br w:type="page"/>
      </w:r>
    </w:p>
    <w:p w14:paraId="1791422D">
      <w:pPr>
        <w:pStyle w:val="3"/>
        <w:spacing w:after="240"/>
        <w:ind w:firstLine="360"/>
        <w:rPr>
          <w:rFonts w:ascii="Times New Roman" w:hAnsi="Times New Roman" w:cs="Times New Roman"/>
          <w:b/>
          <w:bCs/>
          <w:color w:val="000000" w:themeColor="text1"/>
          <w:sz w:val="22"/>
          <w:szCs w:val="22"/>
          <w14:textFill>
            <w14:solidFill>
              <w14:schemeClr w14:val="tx1"/>
            </w14:solidFill>
          </w14:textFill>
        </w:rPr>
      </w:pPr>
      <w:bookmarkStart w:id="162" w:name="_Toc135994843"/>
      <w:bookmarkStart w:id="163" w:name="_Toc135647314"/>
      <w:r>
        <w:rPr>
          <w:rFonts w:ascii="Times New Roman" w:hAnsi="Times New Roman" w:cs="Times New Roman"/>
          <w:b/>
          <w:bCs/>
          <w:color w:val="000000" w:themeColor="text1"/>
          <w:sz w:val="22"/>
          <w:szCs w:val="22"/>
          <w14:textFill>
            <w14:solidFill>
              <w14:schemeClr w14:val="tx1"/>
            </w14:solidFill>
          </w14:textFill>
        </w:rPr>
        <w:t>Spis rysunków</w:t>
      </w:r>
      <w:bookmarkEnd w:id="162"/>
      <w:bookmarkEnd w:id="163"/>
    </w:p>
    <w:p w14:paraId="58C74683">
      <w:pPr>
        <w:pStyle w:val="24"/>
        <w:tabs>
          <w:tab w:val="right" w:leader="dot" w:pos="10194"/>
        </w:tabs>
        <w:spacing w:line="276" w:lineRule="auto"/>
        <w:jc w:val="both"/>
        <w:rPr>
          <w:rFonts w:ascii="Times New Roman" w:hAnsi="Times New Roman" w:cs="Times New Roman" w:eastAsiaTheme="minorEastAsia"/>
          <w:lang w:eastAsia="pl-PL"/>
        </w:rPr>
      </w:pPr>
      <w:r>
        <w:rPr>
          <w:rFonts w:ascii="Times New Roman" w:hAnsi="Times New Roman" w:cs="Times New Roman"/>
        </w:rPr>
        <w:fldChar w:fldCharType="begin"/>
      </w:r>
      <w:r>
        <w:rPr>
          <w:rFonts w:ascii="Times New Roman" w:hAnsi="Times New Roman" w:cs="Times New Roman"/>
        </w:rPr>
        <w:instrText xml:space="preserve"> TOC \h \z \c "Rysunek" </w:instrText>
      </w:r>
      <w:r>
        <w:rPr>
          <w:rFonts w:ascii="Times New Roman" w:hAnsi="Times New Roman" w:cs="Times New Roman"/>
        </w:rPr>
        <w:fldChar w:fldCharType="separate"/>
      </w:r>
      <w:r>
        <w:fldChar w:fldCharType="begin"/>
      </w:r>
      <w:r>
        <w:instrText xml:space="preserve"> HYPERLINK \l "_Toc136241281" </w:instrText>
      </w:r>
      <w:r>
        <w:fldChar w:fldCharType="separate"/>
      </w:r>
      <w:r>
        <w:rPr>
          <w:rStyle w:val="20"/>
          <w:rFonts w:ascii="Times New Roman" w:hAnsi="Times New Roman" w:cs="Times New Roman"/>
        </w:rPr>
        <w:t>Rysunek 1 Sposób określania celu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_Toc136241281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14:paraId="52251FAD">
      <w:pPr>
        <w:spacing w:line="276" w:lineRule="auto"/>
        <w:jc w:val="both"/>
        <w:rPr>
          <w:rFonts w:ascii="Times New Roman" w:hAnsi="Times New Roman" w:cs="Times New Roman"/>
        </w:rPr>
      </w:pPr>
      <w:r>
        <w:rPr>
          <w:rFonts w:ascii="Times New Roman" w:hAnsi="Times New Roman" w:cs="Times New Roman"/>
        </w:rPr>
        <w:fldChar w:fldCharType="end"/>
      </w:r>
    </w:p>
    <w:p w14:paraId="753D094F">
      <w:pPr>
        <w:pStyle w:val="3"/>
        <w:spacing w:after="240"/>
        <w:ind w:firstLine="360"/>
        <w:rPr>
          <w:rFonts w:ascii="Times New Roman" w:hAnsi="Times New Roman" w:cs="Times New Roman"/>
          <w:b/>
          <w:bCs/>
          <w:color w:val="000000" w:themeColor="text1"/>
          <w:sz w:val="22"/>
          <w:szCs w:val="22"/>
          <w14:textFill>
            <w14:solidFill>
              <w14:schemeClr w14:val="tx1"/>
            </w14:solidFill>
          </w14:textFill>
        </w:rPr>
      </w:pPr>
      <w:bookmarkStart w:id="164" w:name="_Toc135994844"/>
      <w:bookmarkStart w:id="165" w:name="_Toc135647315"/>
      <w:r>
        <w:rPr>
          <w:rFonts w:ascii="Times New Roman" w:hAnsi="Times New Roman" w:cs="Times New Roman"/>
          <w:b/>
          <w:bCs/>
          <w:color w:val="000000" w:themeColor="text1"/>
          <w:sz w:val="22"/>
          <w:szCs w:val="22"/>
          <w14:textFill>
            <w14:solidFill>
              <w14:schemeClr w14:val="tx1"/>
            </w14:solidFill>
          </w14:textFill>
        </w:rPr>
        <w:t>Spis map</w:t>
      </w:r>
      <w:bookmarkEnd w:id="164"/>
      <w:bookmarkEnd w:id="165"/>
    </w:p>
    <w:p w14:paraId="7FB8D6D8">
      <w:pPr>
        <w:pStyle w:val="24"/>
        <w:tabs>
          <w:tab w:val="right" w:leader="dot" w:pos="10194"/>
        </w:tabs>
        <w:spacing w:line="276" w:lineRule="auto"/>
        <w:jc w:val="both"/>
        <w:rPr>
          <w:rFonts w:ascii="Times New Roman" w:hAnsi="Times New Roman" w:cs="Times New Roman" w:eastAsiaTheme="minorEastAsia"/>
          <w:lang w:eastAsia="pl-PL"/>
        </w:rPr>
      </w:pPr>
      <w:r>
        <w:rPr>
          <w:rFonts w:ascii="Times New Roman" w:hAnsi="Times New Roman" w:cs="Times New Roman"/>
        </w:rPr>
        <w:fldChar w:fldCharType="begin"/>
      </w:r>
      <w:r>
        <w:rPr>
          <w:rFonts w:ascii="Times New Roman" w:hAnsi="Times New Roman" w:cs="Times New Roman"/>
        </w:rPr>
        <w:instrText xml:space="preserve"> TOC \h \z \c "Mapa" </w:instrText>
      </w:r>
      <w:r>
        <w:rPr>
          <w:rFonts w:ascii="Times New Roman" w:hAnsi="Times New Roman" w:cs="Times New Roman"/>
        </w:rPr>
        <w:fldChar w:fldCharType="separate"/>
      </w:r>
      <w:r>
        <w:fldChar w:fldCharType="begin"/>
      </w:r>
      <w:r>
        <w:instrText xml:space="preserve"> HYPERLINK \l "_Toc136241311" </w:instrText>
      </w:r>
      <w:r>
        <w:fldChar w:fldCharType="separate"/>
      </w:r>
      <w:r>
        <w:rPr>
          <w:rStyle w:val="20"/>
          <w:rFonts w:ascii="Times New Roman" w:hAnsi="Times New Roman" w:eastAsia="Calibri" w:cs="Times New Roman"/>
        </w:rPr>
        <w:t>Mapa 1 Gminy objęte partnerstwem LGD Między Dalinem i Gościbią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_Toc136241311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14:paraId="71171181">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"_Toc136241312" </w:instrText>
      </w:r>
      <w:r>
        <w:fldChar w:fldCharType="separate"/>
      </w:r>
      <w:r>
        <w:rPr>
          <w:rStyle w:val="20"/>
          <w:rFonts w:ascii="Times New Roman" w:hAnsi="Times New Roman" w:cs="Times New Roman"/>
        </w:rPr>
        <w:t>Mapa 2 Penetracja budynkowa zasięgami Internetu stacjonarnego o przepustowości co najmniej 30 Mb/s – fragment mapy dla województwa małopolskiego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_Toc136241312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14:paraId="1E53F0E7">
      <w:pPr>
        <w:spacing w:line="276" w:lineRule="auto"/>
        <w:jc w:val="both"/>
        <w:rPr>
          <w:rFonts w:ascii="Times New Roman" w:hAnsi="Times New Roman" w:cs="Times New Roman"/>
        </w:rPr>
      </w:pPr>
      <w:r>
        <w:rPr>
          <w:rFonts w:ascii="Times New Roman" w:hAnsi="Times New Roman" w:cs="Times New Roman"/>
        </w:rPr>
        <w:fldChar w:fldCharType="end"/>
      </w:r>
    </w:p>
    <w:p w14:paraId="154D9507">
      <w:pPr>
        <w:pStyle w:val="3"/>
        <w:spacing w:after="240"/>
        <w:ind w:firstLine="360"/>
        <w:rPr>
          <w:rFonts w:ascii="Times New Roman" w:hAnsi="Times New Roman" w:cs="Times New Roman"/>
          <w:b/>
          <w:bCs/>
          <w:color w:val="000000" w:themeColor="text1"/>
          <w:sz w:val="22"/>
          <w:szCs w:val="22"/>
          <w14:textFill>
            <w14:solidFill>
              <w14:schemeClr w14:val="tx1"/>
            </w14:solidFill>
          </w14:textFill>
        </w:rPr>
      </w:pPr>
      <w:bookmarkStart w:id="166" w:name="_Toc135994845"/>
      <w:bookmarkStart w:id="167" w:name="_Toc135647316"/>
      <w:r>
        <w:rPr>
          <w:rFonts w:ascii="Times New Roman" w:hAnsi="Times New Roman" w:cs="Times New Roman"/>
          <w:b/>
          <w:bCs/>
          <w:color w:val="000000" w:themeColor="text1"/>
          <w:sz w:val="22"/>
          <w:szCs w:val="22"/>
          <w14:textFill>
            <w14:solidFill>
              <w14:schemeClr w14:val="tx1"/>
            </w14:solidFill>
          </w14:textFill>
        </w:rPr>
        <w:t>Spis wykresów</w:t>
      </w:r>
      <w:bookmarkEnd w:id="166"/>
      <w:bookmarkEnd w:id="167"/>
    </w:p>
    <w:p w14:paraId="1D88F440">
      <w:pPr>
        <w:pStyle w:val="24"/>
        <w:tabs>
          <w:tab w:val="right" w:leader="dot" w:pos="10194"/>
        </w:tabs>
        <w:spacing w:line="276" w:lineRule="auto"/>
        <w:jc w:val="both"/>
        <w:rPr>
          <w:rFonts w:ascii="Times New Roman" w:hAnsi="Times New Roman" w:cs="Times New Roman" w:eastAsiaTheme="minorEastAsia"/>
          <w:lang w:eastAsia="pl-PL"/>
        </w:rPr>
      </w:pPr>
      <w:r>
        <w:rPr>
          <w:rFonts w:ascii="Times New Roman" w:hAnsi="Times New Roman" w:cs="Times New Roman"/>
        </w:rPr>
        <w:fldChar w:fldCharType="begin"/>
      </w:r>
      <w:r>
        <w:rPr>
          <w:rFonts w:ascii="Times New Roman" w:hAnsi="Times New Roman" w:cs="Times New Roman"/>
        </w:rPr>
        <w:instrText xml:space="preserve"> TOC \h \z \c "Wykres" </w:instrText>
      </w:r>
      <w:r>
        <w:rPr>
          <w:rFonts w:ascii="Times New Roman" w:hAnsi="Times New Roman" w:cs="Times New Roman"/>
        </w:rPr>
        <w:fldChar w:fldCharType="separate"/>
      </w:r>
      <w:r>
        <w:fldChar w:fldCharType="begin"/>
      </w:r>
      <w:r>
        <w:instrText xml:space="preserve"> HYPERLINK \l "_Toc136240705" </w:instrText>
      </w:r>
      <w:r>
        <w:fldChar w:fldCharType="separate"/>
      </w:r>
      <w:r>
        <w:rPr>
          <w:rStyle w:val="20"/>
          <w:rFonts w:ascii="Times New Roman" w:hAnsi="Times New Roman" w:cs="Times New Roman"/>
        </w:rPr>
        <w:t>Wykres 1 Liczba ludności ogółem na obszarze LGD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_Toc136240705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2A0EFC70">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"_Toc136240706" </w:instrText>
      </w:r>
      <w:r>
        <w:fldChar w:fldCharType="separate"/>
      </w:r>
      <w:r>
        <w:rPr>
          <w:rStyle w:val="20"/>
          <w:rFonts w:ascii="Times New Roman" w:hAnsi="Times New Roman" w:cs="Times New Roman"/>
        </w:rPr>
        <w:t xml:space="preserve">Wykres 2 Udział ludności wg ekonomicznych grup wieku w % ludności ogółem na obszarze LGD </w:t>
      </w:r>
      <w:r>
        <w:rPr>
          <w:rStyle w:val="20"/>
          <w:rFonts w:ascii="Times New Roman" w:hAnsi="Times New Roman" w:cs="Times New Roman"/>
        </w:rPr>
        <w:br w:type="textWrapping"/>
      </w:r>
      <w:r>
        <w:rPr>
          <w:rStyle w:val="20"/>
          <w:rFonts w:ascii="Times New Roman" w:hAnsi="Times New Roman" w:cs="Times New Roman"/>
        </w:rPr>
        <w:t>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_Toc136240706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14:paraId="1BF72F94">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"_Toc136240707" </w:instrText>
      </w:r>
      <w:r>
        <w:fldChar w:fldCharType="separate"/>
      </w:r>
      <w:r>
        <w:rPr>
          <w:rStyle w:val="20"/>
          <w:rFonts w:ascii="Times New Roman" w:hAnsi="Times New Roman" w:cs="Times New Roman"/>
        </w:rPr>
        <w:t>Wykres 3 Udział ludności wg ekonomicznych grup wieku w % ludności ogółem na obszarze LGD w porównaniu do średniej dla województwa i kraju w 2021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_Toc136240707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14:paraId="74E900E7">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"_Toc136240708" </w:instrText>
      </w:r>
      <w:r>
        <w:fldChar w:fldCharType="separate"/>
      </w:r>
      <w:r>
        <w:rPr>
          <w:rStyle w:val="20"/>
          <w:rFonts w:ascii="Times New Roman" w:hAnsi="Times New Roman" w:cs="Times New Roman"/>
        </w:rPr>
        <w:t>Wykres 4 Przyrost naturalny na 1 000 ludności na obszarze LGD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_Toc136240708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14:paraId="29D48A57">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"_Toc136240709" </w:instrText>
      </w:r>
      <w:r>
        <w:fldChar w:fldCharType="separate"/>
      </w:r>
      <w:r>
        <w:rPr>
          <w:rStyle w:val="20"/>
          <w:rFonts w:ascii="Times New Roman" w:hAnsi="Times New Roman" w:cs="Times New Roman"/>
        </w:rPr>
        <w:t>Wykres 5 Saldo migracji na 1 000 ludności na obszarze LGD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_Toc136240709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14:paraId="59CBFF26">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"_Toc136240710" </w:instrText>
      </w:r>
      <w:r>
        <w:fldChar w:fldCharType="separate"/>
      </w:r>
      <w:r>
        <w:rPr>
          <w:rStyle w:val="20"/>
          <w:rFonts w:ascii="Times New Roman" w:hAnsi="Times New Roman" w:cs="Times New Roman"/>
        </w:rPr>
        <w:t>Wykres 6 Saldo migracji na 1 000 ludności na obszarze LGD w porównaniu do województwa i kraju w 2021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_Toc136240710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14:paraId="020842F4">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"_Toc136240711" </w:instrText>
      </w:r>
      <w:r>
        <w:fldChar w:fldCharType="separate"/>
      </w:r>
      <w:r>
        <w:rPr>
          <w:rStyle w:val="20"/>
          <w:rFonts w:ascii="Times New Roman" w:hAnsi="Times New Roman" w:cs="Times New Roman"/>
        </w:rPr>
        <w:t>Wykres 7 Dynamika wzrostu wartości wskaźników gospodarczych obszaru LGD, województwa i kraju – wzrost procentowy w 2021 r. w stosunku do 2016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_Toc136240711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11FD3E92">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"_Toc136240712" </w:instrText>
      </w:r>
      <w:r>
        <w:fldChar w:fldCharType="separate"/>
      </w:r>
      <w:r>
        <w:rPr>
          <w:rStyle w:val="20"/>
          <w:rFonts w:ascii="Times New Roman" w:hAnsi="Times New Roman" w:cs="Times New Roman"/>
        </w:rPr>
        <w:t>Wykres 8 Liczba fundacji, stowarzyszeń, organizacji społecznych na 10 tys. mieszkańców na obszarze LGD  w porównaniu do województwa i kraju w 2021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_Toc136240712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14:paraId="3B5615CC">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"_Toc136240713" </w:instrText>
      </w:r>
      <w:r>
        <w:fldChar w:fldCharType="separate"/>
      </w:r>
      <w:r>
        <w:rPr>
          <w:rStyle w:val="20"/>
          <w:rFonts w:ascii="Times New Roman" w:hAnsi="Times New Roman" w:cs="Times New Roman"/>
        </w:rPr>
        <w:t>Wykres 9 Procentowy udział bezrobotnych według płci na obszarze LGD, w województwie i kraju w 2021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_Toc136240713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708F0AC6">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"_Toc136240714" </w:instrText>
      </w:r>
      <w:r>
        <w:fldChar w:fldCharType="separate"/>
      </w:r>
      <w:r>
        <w:rPr>
          <w:rStyle w:val="20"/>
          <w:rFonts w:ascii="Times New Roman" w:hAnsi="Times New Roman" w:cs="Times New Roman"/>
        </w:rPr>
        <w:t>Wykres 10 Udział osób korzystających ze środowiskowej pomocy społecznej w liczbie mieszkańców ogółem na obszarze LGD w latach 2016–2020</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_Toc136240714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3A9D3BB3">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"_Toc136240715" </w:instrText>
      </w:r>
      <w:r>
        <w:fldChar w:fldCharType="separate"/>
      </w:r>
      <w:r>
        <w:rPr>
          <w:rStyle w:val="20"/>
          <w:rFonts w:ascii="Times New Roman" w:hAnsi="Times New Roman" w:eastAsia="Calibri" w:cs="Times New Roman"/>
        </w:rPr>
        <w:t>Wykres 11 Udział osób korzystających ze środowiskowej pomocy społecznej w liczbie mieszkańców ogółem na obszarze LGD w porównaniu do województwa i kraju w 2020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_Toc136240715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3D081FEA">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"_Toc136240716" </w:instrText>
      </w:r>
      <w:r>
        <w:fldChar w:fldCharType="separate"/>
      </w:r>
      <w:r>
        <w:rPr>
          <w:rStyle w:val="20"/>
          <w:rFonts w:ascii="Times New Roman" w:hAnsi="Times New Roman" w:cs="Times New Roman"/>
        </w:rPr>
        <w:t xml:space="preserve">Wykres 12 Udział % korzystających z instalacji w ogóle ludności na obszarze LGD, w województwie i kraju </w:t>
      </w:r>
      <w:r>
        <w:rPr>
          <w:rStyle w:val="20"/>
          <w:rFonts w:ascii="Times New Roman" w:hAnsi="Times New Roman" w:cs="Times New Roman"/>
        </w:rPr>
        <w:br w:type="textWrapping"/>
      </w:r>
      <w:r>
        <w:rPr>
          <w:rStyle w:val="20"/>
          <w:rFonts w:ascii="Times New Roman" w:hAnsi="Times New Roman" w:cs="Times New Roman"/>
        </w:rPr>
        <w:t>w 2020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_Toc136240716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14:paraId="7BBD1E55">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"_Toc136240717" </w:instrText>
      </w:r>
      <w:r>
        <w:fldChar w:fldCharType="separate"/>
      </w:r>
      <w:r>
        <w:rPr>
          <w:rStyle w:val="20"/>
          <w:rFonts w:ascii="Times New Roman" w:hAnsi="Times New Roman" w:cs="Times New Roman"/>
        </w:rPr>
        <w:t xml:space="preserve">Wykres 13 Uczniowie w oddziałach specjalnych, integracyjnych i ogólnodostępnych na 10 tys. ludności </w:t>
      </w:r>
      <w:r>
        <w:rPr>
          <w:rStyle w:val="20"/>
          <w:rFonts w:ascii="Times New Roman" w:hAnsi="Times New Roman" w:eastAsia="Calibri" w:cs="Times New Roman"/>
        </w:rPr>
        <w:t>na obszarze LGD w porównaniu</w:t>
      </w:r>
      <w:r>
        <w:rPr>
          <w:rStyle w:val="20"/>
          <w:rFonts w:ascii="Times New Roman" w:hAnsi="Times New Roman" w:cs="Times New Roman"/>
        </w:rPr>
        <w:t xml:space="preserve"> do województwa i kraju w 2021 roku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_Toc136240717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14:paraId="5FC4F64E">
      <w:pPr>
        <w:spacing w:line="276" w:lineRule="auto"/>
        <w:jc w:val="both"/>
        <w:rPr>
          <w:rFonts w:ascii="Times New Roman" w:hAnsi="Times New Roman" w:cs="Times New Roman"/>
        </w:rPr>
      </w:pPr>
      <w:r>
        <w:rPr>
          <w:rFonts w:ascii="Times New Roman" w:hAnsi="Times New Roman" w:cs="Times New Roman"/>
        </w:rPr>
        <w:fldChar w:fldCharType="end"/>
      </w:r>
    </w:p>
    <w:p w14:paraId="2229F657">
      <w:pPr>
        <w:pStyle w:val="3"/>
        <w:spacing w:after="240"/>
        <w:ind w:firstLine="360"/>
        <w:rPr>
          <w:rFonts w:ascii="Times New Roman" w:hAnsi="Times New Roman" w:cs="Times New Roman"/>
          <w:b/>
          <w:bCs/>
          <w:color w:val="000000" w:themeColor="text1"/>
          <w:sz w:val="22"/>
          <w:szCs w:val="22"/>
          <w14:textFill>
            <w14:solidFill>
              <w14:schemeClr w14:val="tx1"/>
            </w14:solidFill>
          </w14:textFill>
        </w:rPr>
      </w:pPr>
      <w:bookmarkStart w:id="168" w:name="_Toc135994846"/>
      <w:bookmarkStart w:id="169" w:name="_Toc135647317"/>
      <w:r>
        <w:rPr>
          <w:rFonts w:ascii="Times New Roman" w:hAnsi="Times New Roman" w:cs="Times New Roman"/>
          <w:b/>
          <w:bCs/>
          <w:color w:val="000000" w:themeColor="text1"/>
          <w:sz w:val="22"/>
          <w:szCs w:val="22"/>
          <w14:textFill>
            <w14:solidFill>
              <w14:schemeClr w14:val="tx1"/>
            </w14:solidFill>
          </w14:textFill>
        </w:rPr>
        <w:t>Spis tabel</w:t>
      </w:r>
      <w:bookmarkEnd w:id="168"/>
      <w:bookmarkEnd w:id="169"/>
    </w:p>
    <w:p w14:paraId="222A3E8B">
      <w:pPr>
        <w:pStyle w:val="24"/>
        <w:tabs>
          <w:tab w:val="right" w:leader="dot" w:pos="10194"/>
        </w:tabs>
        <w:spacing w:line="276" w:lineRule="auto"/>
        <w:jc w:val="both"/>
        <w:rPr>
          <w:rFonts w:ascii="Times New Roman" w:hAnsi="Times New Roman" w:cs="Times New Roman" w:eastAsiaTheme="minorEastAsia"/>
          <w:lang w:eastAsia="pl-PL"/>
        </w:rPr>
      </w:pPr>
      <w:r>
        <w:rPr>
          <w:rFonts w:ascii="Times New Roman" w:hAnsi="Times New Roman" w:cs="Times New Roman"/>
        </w:rPr>
        <w:fldChar w:fldCharType="begin"/>
      </w:r>
      <w:r>
        <w:rPr>
          <w:rFonts w:ascii="Times New Roman" w:hAnsi="Times New Roman" w:cs="Times New Roman"/>
        </w:rPr>
        <w:instrText xml:space="preserve"> TOC \h \z \c "Tabela" </w:instrText>
      </w:r>
      <w:r>
        <w:rPr>
          <w:rFonts w:ascii="Times New Roman" w:hAnsi="Times New Roman" w:cs="Times New Roman"/>
        </w:rPr>
        <w:fldChar w:fldCharType="separate"/>
      </w:r>
      <w:r>
        <w:fldChar w:fldCharType="begin"/>
      </w:r>
      <w:r>
        <w:instrText xml:space="preserve"> HYPERLINK \l "_Toc136241389" </w:instrText>
      </w:r>
      <w:r>
        <w:fldChar w:fldCharType="separate"/>
      </w:r>
      <w:r>
        <w:rPr>
          <w:rStyle w:val="20"/>
          <w:rFonts w:ascii="Times New Roman" w:hAnsi="Times New Roman" w:cs="Times New Roman"/>
        </w:rPr>
        <w:t>Tabela 1 Dokumenty regulujące funkcjonowanie LGD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_Toc136241389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14:paraId="49AE26C6">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"_Toc136241390" </w:instrText>
      </w:r>
      <w:r>
        <w:fldChar w:fldCharType="separate"/>
      </w:r>
      <w:r>
        <w:rPr>
          <w:rStyle w:val="20"/>
          <w:rFonts w:ascii="Times New Roman" w:hAnsi="Times New Roman" w:eastAsia="Calibri" w:cs="Times New Roman"/>
        </w:rPr>
        <w:t>Tabela 2 Podstawowe dane o gminach obszaru LGD Między Dalinem i Gościbią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_Toc136241390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14:paraId="39125053">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"_Toc136241391" </w:instrText>
      </w:r>
      <w:r>
        <w:fldChar w:fldCharType="separate"/>
      </w:r>
      <w:r>
        <w:rPr>
          <w:rStyle w:val="20"/>
          <w:rFonts w:ascii="Times New Roman" w:hAnsi="Times New Roman" w:eastAsia="Calibri" w:cs="Times New Roman"/>
        </w:rPr>
        <w:t>Tabela 3 Ludność poszczególnych gmin LGD w 2020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_Toc136241391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0EA04431">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"_Toc136241392" </w:instrText>
      </w:r>
      <w:r>
        <w:fldChar w:fldCharType="separate"/>
      </w:r>
      <w:r>
        <w:rPr>
          <w:rStyle w:val="20"/>
          <w:rFonts w:ascii="Times New Roman" w:hAnsi="Times New Roman" w:cs="Times New Roman"/>
        </w:rPr>
        <w:t xml:space="preserve">Tabela 4 Pozwolenia wydane na budowę i zgłoszenia budowy z projektem budowlanym w przeliczeniu na 10 tys. mieszkańców w poszczególnych gminach LGD oraz porównanie średniej obszaru LGD do województwa i kraju </w:t>
      </w:r>
      <w:r>
        <w:rPr>
          <w:rStyle w:val="20"/>
          <w:rFonts w:ascii="Times New Roman" w:hAnsi="Times New Roman" w:cs="Times New Roman"/>
        </w:rPr>
        <w:br w:type="textWrapping"/>
      </w:r>
      <w:r>
        <w:rPr>
          <w:rStyle w:val="20"/>
          <w:rFonts w:ascii="Times New Roman" w:hAnsi="Times New Roman" w:cs="Times New Roman"/>
        </w:rPr>
        <w:t>w latach 2018–2021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_Toc136241392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14:paraId="3564BC94">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"_Toc136241393" </w:instrText>
      </w:r>
      <w:r>
        <w:fldChar w:fldCharType="separate"/>
      </w:r>
      <w:r>
        <w:rPr>
          <w:rStyle w:val="20"/>
          <w:rFonts w:ascii="Times New Roman" w:hAnsi="Times New Roman" w:cs="Times New Roman"/>
        </w:rPr>
        <w:t xml:space="preserve">Tabela 5 Wskaźniki gospodarcze na obszarze LGD oraz porównanie do województwa i kraju w latach </w:t>
      </w:r>
      <w:r>
        <w:rPr>
          <w:rStyle w:val="20"/>
          <w:rFonts w:ascii="Times New Roman" w:hAnsi="Times New Roman" w:cs="Times New Roman"/>
        </w:rPr>
        <w:br w:type="textWrapping"/>
      </w:r>
      <w:r>
        <w:rPr>
          <w:rStyle w:val="20"/>
          <w:rFonts w:ascii="Times New Roman" w:hAnsi="Times New Roman" w:cs="Times New Roman"/>
        </w:rPr>
        <w:t>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_Toc136241393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74A35D1E">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"_Toc136241394" </w:instrText>
      </w:r>
      <w:r>
        <w:fldChar w:fldCharType="separate"/>
      </w:r>
      <w:r>
        <w:rPr>
          <w:rStyle w:val="20"/>
          <w:rFonts w:ascii="Times New Roman" w:hAnsi="Times New Roman" w:cs="Times New Roman"/>
        </w:rPr>
        <w:t>Tabela 6 Wskaźniki dotyczące przedsiębiorczości dla obszaru LGD w porównaniu do województwa i kraju  w roku 2016 i 2020</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_Toc136241394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14:paraId="3A38428F">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"_Toc136241395" </w:instrText>
      </w:r>
      <w:r>
        <w:fldChar w:fldCharType="separate"/>
      </w:r>
      <w:r>
        <w:rPr>
          <w:rStyle w:val="20"/>
          <w:rFonts w:ascii="Times New Roman" w:hAnsi="Times New Roman" w:cs="Times New Roman"/>
        </w:rPr>
        <w:t>Tabela 7 Udział podmiotów gospodarczych według grup rodzajów działalności (PKD 2007) w poszczególnych gminach LGD, średnio na obszarze, w województwie i kraju w 2021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_Toc136241395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1B5E28C4">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"_Toc136241396" </w:instrText>
      </w:r>
      <w:r>
        <w:fldChar w:fldCharType="separate"/>
      </w:r>
      <w:r>
        <w:rPr>
          <w:rStyle w:val="20"/>
          <w:rFonts w:ascii="Times New Roman" w:hAnsi="Times New Roman" w:cs="Times New Roman"/>
        </w:rPr>
        <w:t>Tabela 8 Wskaźniki bezrobocia na obszarze LGD, średnio w województwie i kraju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_Toc136241396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064E9F41">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"_Toc136241397" </w:instrText>
      </w:r>
      <w:r>
        <w:fldChar w:fldCharType="separate"/>
      </w:r>
      <w:r>
        <w:rPr>
          <w:rStyle w:val="20"/>
          <w:rFonts w:ascii="Times New Roman" w:hAnsi="Times New Roman" w:cs="Times New Roman"/>
        </w:rPr>
        <w:t>Tabela 9 Gospodarstwa domowe korzystające ze środowiskowej pomocy społecznej wg kryterium dochodowego ogółem na 10 tys. mieszkańców w gminach LGD oraz porównanie średniej obszaru LGD do województwa  i kraju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_Toc136241397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11402EFF">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"_Toc136241398" </w:instrText>
      </w:r>
      <w:r>
        <w:fldChar w:fldCharType="separate"/>
      </w:r>
      <w:r>
        <w:rPr>
          <w:rStyle w:val="20"/>
          <w:rFonts w:ascii="Times New Roman" w:hAnsi="Times New Roman" w:cs="Times New Roman"/>
        </w:rPr>
        <w:t>Tabela 10 Dofinansowanie likwidacji barier architektonicznych, w komunikowaniu się i technicznych na terenie powiatu myślenickiego w latach 2016–2020</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_Toc136241398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6657B0D2">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"_Toc136241399" </w:instrText>
      </w:r>
      <w:r>
        <w:fldChar w:fldCharType="separate"/>
      </w:r>
      <w:r>
        <w:rPr>
          <w:rStyle w:val="20"/>
          <w:rFonts w:ascii="Times New Roman" w:hAnsi="Times New Roman" w:cs="Times New Roman"/>
        </w:rPr>
        <w:t>Tabela 11 Liczba wniosków o dofinansowanie ze środków PFRON latach 2016-2020</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_Toc136241399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4D274D5E">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"_Toc136241400" </w:instrText>
      </w:r>
      <w:r>
        <w:fldChar w:fldCharType="separate"/>
      </w:r>
      <w:r>
        <w:rPr>
          <w:rStyle w:val="20"/>
          <w:rFonts w:ascii="Times New Roman" w:hAnsi="Times New Roman" w:cs="Times New Roman"/>
        </w:rPr>
        <w:t>Tabela 12 Dochody ogółem i dochody własne na 1 mieszkańca (zł) na obszarze LGD oraz porównanie do województwa i kraju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_Toc136241400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14:paraId="77CFEA42">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"_Toc136241401" </w:instrText>
      </w:r>
      <w:r>
        <w:fldChar w:fldCharType="separate"/>
      </w:r>
      <w:r>
        <w:rPr>
          <w:rStyle w:val="20"/>
          <w:rFonts w:ascii="Times New Roman" w:hAnsi="Times New Roman" w:cs="Times New Roman"/>
        </w:rPr>
        <w:t xml:space="preserve">Tabela 13 Wskaźnik G (zł) dla poszczególnych gmin LGD oraz średnia wartość obszaru LGD w latach </w:t>
      </w:r>
      <w:r>
        <w:rPr>
          <w:rStyle w:val="20"/>
          <w:rFonts w:ascii="Times New Roman" w:hAnsi="Times New Roman" w:cs="Times New Roman"/>
        </w:rPr>
        <w:br w:type="textWrapping"/>
      </w:r>
      <w:r>
        <w:rPr>
          <w:rStyle w:val="20"/>
          <w:rFonts w:ascii="Times New Roman" w:hAnsi="Times New Roman" w:cs="Times New Roman"/>
        </w:rPr>
        <w:t>2020–2022</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_Toc136241401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14:paraId="7E5AE161">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"_Toc136241402" </w:instrText>
      </w:r>
      <w:r>
        <w:fldChar w:fldCharType="separate"/>
      </w:r>
      <w:r>
        <w:rPr>
          <w:rStyle w:val="20"/>
          <w:rFonts w:ascii="Times New Roman" w:hAnsi="Times New Roman" w:cs="Times New Roman"/>
        </w:rPr>
        <w:t>Tabela 14 Udział dzieci objętych wychowaniem przedszkolnym w ogólnej liczbie dzieci w wieku 3–5 lat oraz liczba dzieci przypadająca na 1 placówkę wychowania przedszkolnego w gminach LGD oraz porównanie średniej obszaru LGD do województwa i kraju w latach 2016–2021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_Toc136241402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14:paraId="7F854CBB">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"_Toc136241403" </w:instrText>
      </w:r>
      <w:r>
        <w:fldChar w:fldCharType="separate"/>
      </w:r>
      <w:r>
        <w:rPr>
          <w:rStyle w:val="20"/>
          <w:rFonts w:ascii="Times New Roman" w:hAnsi="Times New Roman" w:cs="Times New Roman"/>
        </w:rPr>
        <w:t>Tabela 15 Struktura gospodarstw rolnych w poszczególnych gminach LGD oraz porównanie średniej obszaru LGD do województwa i kraju w 2020 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_Toc136241403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14:paraId="37DDA3EF">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"_Toc136241404" </w:instrText>
      </w:r>
      <w:r>
        <w:fldChar w:fldCharType="separate"/>
      </w:r>
      <w:r>
        <w:rPr>
          <w:rStyle w:val="20"/>
          <w:rFonts w:ascii="Times New Roman" w:hAnsi="Times New Roman" w:cs="Times New Roman"/>
        </w:rPr>
        <w:t xml:space="preserve">Tabela 16 Współczynnik skolaryzacji brutto oraz liczba uczniów w przeliczeniu na 1 000 mieszkańców </w:t>
      </w:r>
      <w:r>
        <w:rPr>
          <w:rStyle w:val="20"/>
          <w:rFonts w:ascii="Times New Roman" w:hAnsi="Times New Roman" w:cs="Times New Roman"/>
        </w:rPr>
        <w:br w:type="textWrapping"/>
      </w:r>
      <w:r>
        <w:rPr>
          <w:rStyle w:val="20"/>
          <w:rFonts w:ascii="Times New Roman" w:hAnsi="Times New Roman" w:cs="Times New Roman"/>
        </w:rPr>
        <w:t xml:space="preserve">w poszczególnych gminach LGD oraz porównanie średniej obszaru LGD do województwa i kraju w latach </w:t>
      </w:r>
      <w:r>
        <w:rPr>
          <w:rStyle w:val="20"/>
          <w:rFonts w:ascii="Times New Roman" w:hAnsi="Times New Roman" w:cs="Times New Roman"/>
        </w:rPr>
        <w:br w:type="textWrapping"/>
      </w:r>
      <w:r>
        <w:rPr>
          <w:rStyle w:val="20"/>
          <w:rFonts w:ascii="Times New Roman" w:hAnsi="Times New Roman" w:cs="Times New Roman"/>
        </w:rPr>
        <w:t>2016–2020</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_Toc136241404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14:paraId="4CE6E75B">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"_Toc136241405" </w:instrText>
      </w:r>
      <w:r>
        <w:fldChar w:fldCharType="separate"/>
      </w:r>
      <w:r>
        <w:rPr>
          <w:rStyle w:val="20"/>
          <w:rFonts w:ascii="Times New Roman" w:hAnsi="Times New Roman" w:cs="Times New Roman"/>
        </w:rPr>
        <w:t>Tabela 17 Wyniki egzaminu ósmoklasisty w poszczególnych gminach LGD oraz porównanie średniej obszaru LGD do województwa i kraju w latach 2019–2022</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_Toc136241405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14:paraId="51467E9A">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"_Toc136241406" </w:instrText>
      </w:r>
      <w:r>
        <w:fldChar w:fldCharType="separate"/>
      </w:r>
      <w:r>
        <w:rPr>
          <w:rStyle w:val="20"/>
          <w:rFonts w:ascii="Times New Roman" w:hAnsi="Times New Roman" w:cs="Times New Roman"/>
        </w:rPr>
        <w:t>Tabela 18 Schemat analizy SWOT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_Toc136241406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14:paraId="1873AD0B">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"_Toc136241407" </w:instrText>
      </w:r>
      <w:r>
        <w:fldChar w:fldCharType="separate"/>
      </w:r>
      <w:r>
        <w:rPr>
          <w:rStyle w:val="20"/>
          <w:rFonts w:ascii="Times New Roman" w:hAnsi="Times New Roman" w:cs="Times New Roman"/>
        </w:rPr>
        <w:t>Tabela 19 Analiza SWOT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_Toc136241407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14:paraId="28C24355">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"_Toc136241408" </w:instrText>
      </w:r>
      <w:r>
        <w:fldChar w:fldCharType="separate"/>
      </w:r>
      <w:r>
        <w:rPr>
          <w:rStyle w:val="20"/>
          <w:rFonts w:ascii="Times New Roman" w:hAnsi="Times New Roman" w:cs="Times New Roman"/>
        </w:rPr>
        <w:t>Tabela 20 Zgodność celu LSR z innymi dokumentami strategicznymi</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_Toc136241408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14:paraId="3F9DE088">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"_Toc136241409" </w:instrText>
      </w:r>
      <w:r>
        <w:fldChar w:fldCharType="separate"/>
      </w:r>
      <w:r>
        <w:rPr>
          <w:rStyle w:val="20"/>
          <w:rFonts w:ascii="Times New Roman" w:hAnsi="Times New Roman" w:cs="Times New Roman"/>
        </w:rPr>
        <w:t>Tabela 21 Zgodność LSR z celami programów, z których będzie ona finansowana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_Toc136241409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14:paraId="26BB9447">
      <w:pPr>
        <w:pStyle w:val="24"/>
        <w:tabs>
          <w:tab w:val="right" w:leader="dot" w:pos="10194"/>
        </w:tabs>
        <w:spacing w:line="276" w:lineRule="auto"/>
        <w:jc w:val="both"/>
        <w:rPr>
          <w:rFonts w:ascii="Times New Roman" w:hAnsi="Times New Roman" w:cs="Times New Roman" w:eastAsiaTheme="minorEastAsia"/>
          <w:lang w:eastAsia="pl-PL"/>
        </w:rPr>
      </w:pPr>
      <w:r>
        <w:fldChar w:fldCharType="begin"/>
      </w:r>
      <w:r>
        <w:instrText xml:space="preserve"> HYPERLINK \l "_Toc136241410" </w:instrText>
      </w:r>
      <w:r>
        <w:fldChar w:fldCharType="separate"/>
      </w:r>
      <w:r>
        <w:rPr>
          <w:rStyle w:val="20"/>
          <w:rFonts w:ascii="Times New Roman" w:hAnsi="Times New Roman" w:cs="Times New Roman"/>
        </w:rPr>
        <w:t>Tabela 22 Przedsięwzięcia – powiązanie z analizą potrzeb, charakter, budżet, poziom dofinansowania, maks. i min. kwota, grupa docelowa i sposób realizacji (rozszerzona wersja analogicznej tabeli stanowiącej załącznik nr 1 do LSR)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_Toc136241410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14:paraId="746B8A5D">
      <w:pPr>
        <w:spacing w:line="276" w:lineRule="auto"/>
        <w:jc w:val="both"/>
        <w:rPr>
          <w:rFonts w:ascii="Times New Roman" w:hAnsi="Times New Roman" w:cs="Times New Roman"/>
          <w:b/>
          <w:bCs/>
        </w:rPr>
      </w:pPr>
      <w:r>
        <w:rPr>
          <w:rFonts w:ascii="Times New Roman" w:hAnsi="Times New Roman" w:cs="Times New Roman"/>
        </w:rPr>
        <w:fldChar w:fldCharType="end"/>
      </w:r>
    </w:p>
    <w:p w14:paraId="5CA804A6">
      <w:pPr>
        <w:pStyle w:val="3"/>
        <w:ind w:firstLine="360"/>
        <w:rPr>
          <w:rFonts w:ascii="Times New Roman" w:hAnsi="Times New Roman" w:cs="Times New Roman"/>
          <w:b/>
          <w:bCs/>
          <w:color w:val="000000" w:themeColor="text1"/>
          <w:sz w:val="22"/>
          <w:szCs w:val="22"/>
          <w14:textFill>
            <w14:solidFill>
              <w14:schemeClr w14:val="tx1"/>
            </w14:solidFill>
          </w14:textFill>
        </w:rPr>
      </w:pPr>
      <w:bookmarkStart w:id="170" w:name="_Toc135647318"/>
      <w:bookmarkStart w:id="171" w:name="_Toc135994847"/>
      <w:r>
        <w:rPr>
          <w:rFonts w:ascii="Times New Roman" w:hAnsi="Times New Roman" w:cs="Times New Roman"/>
          <w:b/>
          <w:bCs/>
          <w:color w:val="000000" w:themeColor="text1"/>
          <w:sz w:val="22"/>
          <w:szCs w:val="22"/>
          <w14:textFill>
            <w14:solidFill>
              <w14:schemeClr w14:val="tx1"/>
            </w14:solidFill>
          </w14:textFill>
        </w:rPr>
        <w:t>Wykaz wykorzystanej literatury</w:t>
      </w:r>
      <w:bookmarkEnd w:id="170"/>
      <w:bookmarkEnd w:id="171"/>
      <w:r>
        <w:rPr>
          <w:rFonts w:ascii="Times New Roman" w:hAnsi="Times New Roman" w:cs="Times New Roman"/>
          <w:b/>
          <w:bCs/>
          <w:color w:val="000000" w:themeColor="text1"/>
          <w:sz w:val="22"/>
          <w:szCs w:val="22"/>
          <w14:textFill>
            <w14:solidFill>
              <w14:schemeClr w14:val="tx1"/>
            </w14:solidFill>
          </w14:textFill>
        </w:rPr>
        <w:t xml:space="preserve"> </w:t>
      </w:r>
    </w:p>
    <w:p w14:paraId="34C73FAE">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 xml:space="preserve">Plan Strategiczny dla Wspólnej Polityki Rolnej na lata 2023–2027 </w:t>
      </w:r>
      <w:r>
        <w:rPr>
          <w:rFonts w:ascii="Times New Roman" w:hAnsi="Times New Roman" w:cs="Times New Roman"/>
        </w:rPr>
        <w:t>zatwierdzony przez komisję Europejską w dniu 31.08.2022 r.;</w:t>
      </w:r>
    </w:p>
    <w:p w14:paraId="5AE2B4DA">
      <w:pPr>
        <w:pStyle w:val="28"/>
        <w:numPr>
          <w:ilvl w:val="1"/>
          <w:numId w:val="49"/>
        </w:numPr>
        <w:spacing w:before="240" w:line="276" w:lineRule="auto"/>
        <w:ind w:left="851"/>
        <w:jc w:val="both"/>
        <w:rPr>
          <w:rFonts w:ascii="Times New Roman" w:hAnsi="Times New Roman" w:cs="Times New Roman"/>
          <w:i/>
          <w:iCs/>
        </w:rPr>
      </w:pPr>
      <w:r>
        <w:rPr>
          <w:rFonts w:ascii="Times New Roman" w:hAnsi="Times New Roman" w:cs="Times New Roman"/>
          <w:i/>
          <w:iCs/>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Pr>
          <w:rFonts w:ascii="Times New Roman" w:hAnsi="Times New Roman" w:cs="Times New Roman"/>
        </w:rPr>
        <w:t>;</w:t>
      </w:r>
    </w:p>
    <w:p w14:paraId="4640E357">
      <w:pPr>
        <w:pStyle w:val="28"/>
        <w:numPr>
          <w:ilvl w:val="1"/>
          <w:numId w:val="49"/>
        </w:numPr>
        <w:spacing w:before="240" w:line="276" w:lineRule="auto"/>
        <w:ind w:left="851"/>
        <w:jc w:val="both"/>
        <w:rPr>
          <w:rFonts w:ascii="Times New Roman" w:hAnsi="Times New Roman" w:cs="Times New Roman"/>
          <w:i/>
          <w:iCs/>
        </w:rPr>
      </w:pPr>
      <w:r>
        <w:rPr>
          <w:rFonts w:ascii="Times New Roman" w:hAnsi="Times New Roman" w:cs="Times New Roman"/>
          <w:i/>
          <w:iC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425E59C5">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38A6BA40">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Ustawa z dnia 20 lutego 2015 r. o rozwoju lokalnym z udziałem lokalnej społeczności</w:t>
      </w:r>
      <w:r>
        <w:rPr>
          <w:rFonts w:ascii="Times New Roman" w:hAnsi="Times New Roman" w:cs="Times New Roman"/>
        </w:rPr>
        <w:t xml:space="preserve"> (Dz. U. z 2022 r. poz. 943 z późn. zm.);</w:t>
      </w:r>
    </w:p>
    <w:p w14:paraId="6F44015D">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Ustawa z dnia 7 kwietnia 1989 r. Prawo o stowarzyszeniach</w:t>
      </w:r>
      <w:r>
        <w:rPr>
          <w:rFonts w:ascii="Times New Roman" w:hAnsi="Times New Roman" w:cs="Times New Roman"/>
        </w:rPr>
        <w:t xml:space="preserve"> (Dz. U. z 2020 r. poz. 2261);</w:t>
      </w:r>
    </w:p>
    <w:p w14:paraId="3484657A">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Ustawa z dnia 20 lutego 2015 r. o wspieraniu rozwoju obszarów wiejskich z udziałem środków Europejskiego Funduszu Rolnego na rzecz Rozwoju Obszarów Wiejskich w ramach Programu Rozwoju Obszarów Wiejskich na lata 2014–2020</w:t>
      </w:r>
      <w:r>
        <w:rPr>
          <w:rFonts w:ascii="Times New Roman" w:hAnsi="Times New Roman" w:cs="Times New Roman"/>
        </w:rPr>
        <w:t xml:space="preserve"> (Dz. U. z 2022 r. poz. 2422 z późn. zm.);</w:t>
      </w:r>
    </w:p>
    <w:p w14:paraId="75519E8B">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Ustawa z dnia 13 listopada 2003 r. o dochodach jednostek samorządu terytorialnego</w:t>
      </w:r>
      <w:r>
        <w:rPr>
          <w:rFonts w:ascii="Times New Roman" w:hAnsi="Times New Roman" w:cs="Times New Roman"/>
        </w:rPr>
        <w:t xml:space="preserve"> (Dz.U. z 2022 r. poz. 2267);</w:t>
      </w:r>
    </w:p>
    <w:p w14:paraId="53493941">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Strategia Rozwoju Lokalnego Kierowanego przez Społeczność LGD „Między Dalinem i Gościbią” na lata 2014–2020</w:t>
      </w:r>
      <w:r>
        <w:rPr>
          <w:rFonts w:ascii="Times New Roman" w:hAnsi="Times New Roman" w:cs="Times New Roman"/>
        </w:rPr>
        <w:t>, październik 2022 (aktualizacja);</w:t>
      </w:r>
    </w:p>
    <w:p w14:paraId="1BCC9286">
      <w:pPr>
        <w:pStyle w:val="28"/>
        <w:numPr>
          <w:ilvl w:val="1"/>
          <w:numId w:val="49"/>
        </w:numPr>
        <w:spacing w:before="240" w:line="276" w:lineRule="auto"/>
        <w:ind w:left="851"/>
        <w:jc w:val="both"/>
        <w:rPr>
          <w:rFonts w:ascii="Times New Roman" w:hAnsi="Times New Roman" w:cs="Times New Roman"/>
        </w:rPr>
      </w:pPr>
      <w:r>
        <w:rPr>
          <w:rFonts w:ascii="Times New Roman" w:hAnsi="Times New Roman" w:eastAsia="Calibri" w:cs="Times New Roman"/>
          <w:i/>
          <w:iCs/>
        </w:rPr>
        <w:t>Strategia Rozwoju Powiatu Myślenickiego na lata 2021–2030 –</w:t>
      </w:r>
      <w:r>
        <w:rPr>
          <w:rFonts w:ascii="Times New Roman" w:hAnsi="Times New Roman" w:eastAsia="Calibri" w:cs="Times New Roman"/>
          <w:i/>
          <w:iCs/>
          <w:sz w:val="20"/>
          <w:szCs w:val="20"/>
        </w:rPr>
        <w:t xml:space="preserve"> </w:t>
      </w:r>
      <w:r>
        <w:rPr>
          <w:rFonts w:ascii="Times New Roman" w:hAnsi="Times New Roman" w:cs="Times New Roman"/>
        </w:rPr>
        <w:t>Załącznik nr 1 do Uchwały Nr XXXV.2021 Rady Powiatu Myślenickiego z dnia 24 czerwca 2021 r.</w:t>
      </w:r>
    </w:p>
    <w:p w14:paraId="6670D85C">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 xml:space="preserve">Plan Zagospodarowania Przestrzennego Województwa Małopolskiego </w:t>
      </w:r>
      <w:r>
        <w:rPr>
          <w:rFonts w:ascii="Times New Roman" w:hAnsi="Times New Roman" w:cs="Times New Roman"/>
        </w:rPr>
        <w:t>– Załącznik Nr 1 do Uchwały Nr XLVII/732/18 Sejmiku Województwa Małopolskiego z dnia 26 marca 2018 r.;</w:t>
      </w:r>
    </w:p>
    <w:p w14:paraId="2138D2AD">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Strategia Rozwoju Województwa „Małopolska 2030”</w:t>
      </w:r>
      <w:r>
        <w:rPr>
          <w:rFonts w:ascii="Times New Roman" w:hAnsi="Times New Roman" w:cs="Times New Roman"/>
        </w:rPr>
        <w:t xml:space="preserve"> – Załącznik do uchwały Nr XXXI/422/20 Sejmiku Województwa Małopolskiego z dnia 17 grudnia 2020 r.;</w:t>
      </w:r>
    </w:p>
    <w:p w14:paraId="7F93DB54">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rPr>
        <w:t xml:space="preserve">Urząd Komunikacji Elektronicznej, </w:t>
      </w:r>
      <w:r>
        <w:rPr>
          <w:rFonts w:ascii="Times New Roman" w:hAnsi="Times New Roman" w:cs="Times New Roman"/>
          <w:i/>
          <w:iCs/>
        </w:rPr>
        <w:t>Raport o stanie rynku telekomunikacyjnego w Polsce w 2021 roku</w:t>
      </w:r>
      <w:r>
        <w:rPr>
          <w:rFonts w:ascii="Times New Roman" w:hAnsi="Times New Roman" w:cs="Times New Roman"/>
        </w:rPr>
        <w:t>;</w:t>
      </w:r>
    </w:p>
    <w:p w14:paraId="13B1638F">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i/>
          <w:iCs/>
        </w:rPr>
        <w:t xml:space="preserve">Ewaluacja zewnętrzna małopolskich lokalnych strategii rozwoju Lokalna Grupa Działania „Między Dalinem i Gościbią”, </w:t>
      </w:r>
      <w:r>
        <w:rPr>
          <w:rFonts w:ascii="Times New Roman" w:hAnsi="Times New Roman" w:cs="Times New Roman"/>
        </w:rPr>
        <w:t>SOCJOMETR, Kraków 2021;</w:t>
      </w:r>
    </w:p>
    <w:p w14:paraId="747388E5">
      <w:pPr>
        <w:pStyle w:val="28"/>
        <w:numPr>
          <w:ilvl w:val="1"/>
          <w:numId w:val="49"/>
        </w:numPr>
        <w:spacing w:before="240" w:line="276" w:lineRule="auto"/>
        <w:ind w:left="851"/>
        <w:jc w:val="both"/>
        <w:rPr>
          <w:rFonts w:ascii="Times New Roman" w:hAnsi="Times New Roman" w:cs="Times New Roman"/>
        </w:rPr>
      </w:pPr>
      <w:r>
        <w:rPr>
          <w:rFonts w:ascii="Times New Roman" w:hAnsi="Times New Roman" w:cs="Times New Roman"/>
        </w:rPr>
        <w:t xml:space="preserve">Kondracki J., </w:t>
      </w:r>
      <w:r>
        <w:rPr>
          <w:rFonts w:ascii="Times New Roman" w:hAnsi="Times New Roman" w:cs="Times New Roman"/>
          <w:i/>
          <w:iCs/>
        </w:rPr>
        <w:t>Geografia regionalna Polski</w:t>
      </w:r>
      <w:r>
        <w:rPr>
          <w:rFonts w:ascii="Times New Roman" w:hAnsi="Times New Roman" w:cs="Times New Roman"/>
        </w:rPr>
        <w:t>, PWN, Warszawa 2000.</w:t>
      </w:r>
    </w:p>
    <w:p w14:paraId="0F57A444">
      <w:pPr>
        <w:rPr>
          <w:rFonts w:ascii="Times New Roman" w:hAnsi="Times New Roman" w:cs="Times New Roman"/>
          <w:b/>
          <w:bCs/>
        </w:rPr>
      </w:pPr>
    </w:p>
    <w:p w14:paraId="30458DE9">
      <w:pPr>
        <w:pStyle w:val="3"/>
        <w:ind w:firstLine="360"/>
        <w:rPr>
          <w:rFonts w:ascii="Times New Roman" w:hAnsi="Times New Roman" w:cs="Times New Roman"/>
          <w:b/>
          <w:bCs/>
          <w:color w:val="000000" w:themeColor="text1"/>
          <w:sz w:val="22"/>
          <w:szCs w:val="22"/>
          <w14:textFill>
            <w14:solidFill>
              <w14:schemeClr w14:val="tx1"/>
            </w14:solidFill>
          </w14:textFill>
        </w:rPr>
      </w:pPr>
      <w:bookmarkStart w:id="172" w:name="_Toc135994848"/>
      <w:bookmarkStart w:id="173" w:name="_Toc135647319"/>
      <w:r>
        <w:rPr>
          <w:rFonts w:ascii="Times New Roman" w:hAnsi="Times New Roman" w:cs="Times New Roman"/>
          <w:b/>
          <w:bCs/>
          <w:color w:val="000000" w:themeColor="text1"/>
          <w:sz w:val="22"/>
          <w:szCs w:val="22"/>
          <w14:textFill>
            <w14:solidFill>
              <w14:schemeClr w14:val="tx1"/>
            </w14:solidFill>
          </w14:textFill>
        </w:rPr>
        <w:t>Załączniki do LSR</w:t>
      </w:r>
      <w:bookmarkEnd w:id="172"/>
      <w:bookmarkEnd w:id="173"/>
      <w:r>
        <w:rPr>
          <w:rFonts w:ascii="Times New Roman" w:hAnsi="Times New Roman" w:cs="Times New Roman"/>
          <w:b/>
          <w:bCs/>
          <w:color w:val="000000" w:themeColor="text1"/>
          <w:sz w:val="22"/>
          <w:szCs w:val="22"/>
          <w14:textFill>
            <w14:solidFill>
              <w14:schemeClr w14:val="tx1"/>
            </w14:solidFill>
          </w14:textFill>
        </w:rPr>
        <w:t xml:space="preserve"> </w:t>
      </w:r>
    </w:p>
    <w:p w14:paraId="7761E8E0">
      <w:pPr>
        <w:pStyle w:val="28"/>
        <w:numPr>
          <w:ilvl w:val="0"/>
          <w:numId w:val="59"/>
        </w:numPr>
        <w:spacing w:line="276" w:lineRule="auto"/>
        <w:rPr>
          <w:rFonts w:ascii="Times New Roman" w:hAnsi="Times New Roman" w:cs="Times New Roman"/>
        </w:rPr>
      </w:pPr>
      <w:r>
        <w:rPr>
          <w:rFonts w:ascii="Times New Roman" w:hAnsi="Times New Roman" w:cs="Times New Roman"/>
        </w:rPr>
        <w:t>Cele i przedsięwzięcia</w:t>
      </w:r>
    </w:p>
    <w:p w14:paraId="022FD34A">
      <w:pPr>
        <w:pStyle w:val="28"/>
        <w:numPr>
          <w:ilvl w:val="0"/>
          <w:numId w:val="59"/>
        </w:numPr>
        <w:spacing w:line="276" w:lineRule="auto"/>
        <w:rPr>
          <w:rFonts w:ascii="Times New Roman" w:hAnsi="Times New Roman" w:cs="Times New Roman"/>
        </w:rPr>
      </w:pPr>
      <w:r>
        <w:rPr>
          <w:rFonts w:ascii="Times New Roman" w:hAnsi="Times New Roman" w:cs="Times New Roman"/>
        </w:rPr>
        <w:t xml:space="preserve">Plan działania </w:t>
      </w:r>
    </w:p>
    <w:p w14:paraId="7FC95F5F">
      <w:pPr>
        <w:pStyle w:val="28"/>
        <w:numPr>
          <w:ilvl w:val="0"/>
          <w:numId w:val="59"/>
        </w:numPr>
        <w:spacing w:line="276" w:lineRule="auto"/>
        <w:jc w:val="both"/>
        <w:rPr>
          <w:rFonts w:ascii="Times New Roman" w:hAnsi="Times New Roman" w:cs="Times New Roman"/>
        </w:rPr>
      </w:pPr>
      <w:r>
        <w:rPr>
          <w:rFonts w:ascii="Times New Roman" w:hAnsi="Times New Roman" w:cs="Times New Roman"/>
        </w:rPr>
        <w:t xml:space="preserve">Budżet LSR </w:t>
      </w:r>
    </w:p>
    <w:p w14:paraId="6B5CC722">
      <w:pPr>
        <w:pStyle w:val="28"/>
        <w:numPr>
          <w:ilvl w:val="0"/>
          <w:numId w:val="59"/>
        </w:numPr>
        <w:spacing w:line="276" w:lineRule="auto"/>
        <w:jc w:val="both"/>
        <w:rPr>
          <w:rFonts w:ascii="Times New Roman" w:hAnsi="Times New Roman" w:cs="Times New Roman"/>
        </w:rPr>
      </w:pPr>
      <w:r>
        <w:rPr>
          <w:rFonts w:ascii="Times New Roman" w:hAnsi="Times New Roman" w:cs="Times New Roman"/>
        </w:rPr>
        <w:t>Plan wykorzystania budżetu</w:t>
      </w:r>
    </w:p>
    <w:p w14:paraId="162CFD80">
      <w:pPr>
        <w:sectPr>
          <w:pgSz w:w="11906" w:h="16838"/>
          <w:pgMar w:top="851" w:right="851" w:bottom="851" w:left="851" w:header="709" w:footer="709" w:gutter="0"/>
          <w:cols w:space="708" w:num="1"/>
          <w:titlePg/>
          <w:docGrid w:linePitch="360" w:charSpace="0"/>
        </w:sectPr>
      </w:pPr>
    </w:p>
    <w:p w14:paraId="606A79F9">
      <w:pPr>
        <w:spacing w:after="0"/>
        <w:rPr>
          <w:rFonts w:ascii="Times New Roman" w:hAnsi="Times New Roman" w:cs="Times New Roman"/>
          <w:b/>
          <w:bCs/>
        </w:rPr>
      </w:pPr>
      <w:r>
        <w:rPr>
          <w:rFonts w:ascii="Times New Roman" w:hAnsi="Times New Roman" w:cs="Times New Roman"/>
          <w:b/>
          <w:bCs/>
        </w:rPr>
        <w:t>Załącznik nr 1 Cele i przedsięwzięcia</w:t>
      </w:r>
    </w:p>
    <w:tbl>
      <w:tblPr>
        <w:tblStyle w:val="6"/>
        <w:tblW w:w="5000" w:type="pct"/>
        <w:tblInd w:w="0" w:type="dxa"/>
        <w:tblLayout w:type="autofit"/>
        <w:tblCellMar>
          <w:top w:w="0" w:type="dxa"/>
          <w:left w:w="70" w:type="dxa"/>
          <w:bottom w:w="0" w:type="dxa"/>
          <w:right w:w="70" w:type="dxa"/>
        </w:tblCellMar>
      </w:tblPr>
      <w:tblGrid>
        <w:gridCol w:w="1390"/>
        <w:gridCol w:w="739"/>
        <w:gridCol w:w="6853"/>
        <w:gridCol w:w="2328"/>
        <w:gridCol w:w="3966"/>
      </w:tblGrid>
      <w:tr w14:paraId="1289C3ED">
        <w:tblPrEx>
          <w:tblCellMar>
            <w:top w:w="0" w:type="dxa"/>
            <w:left w:w="70" w:type="dxa"/>
            <w:bottom w:w="0" w:type="dxa"/>
            <w:right w:w="70" w:type="dxa"/>
          </w:tblCellMar>
        </w:tblPrEx>
        <w:trPr>
          <w:trHeight w:val="1214"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6F2780A">
            <w:pPr>
              <w:spacing w:after="0" w:line="240" w:lineRule="auto"/>
              <w:jc w:val="center"/>
              <w:rPr>
                <w:rFonts w:ascii="Times New Roman" w:hAnsi="Times New Roman" w:eastAsia="Times New Roman" w:cs="Times New Roman"/>
                <w:b/>
                <w:bCs/>
                <w:color w:val="000000"/>
                <w:sz w:val="24"/>
                <w:szCs w:val="24"/>
                <w:lang w:eastAsia="pl-PL"/>
              </w:rPr>
            </w:pPr>
            <w:r>
              <w:rPr>
                <w:rFonts w:ascii="Times New Roman" w:hAnsi="Times New Roman" w:eastAsia="Times New Roman" w:cs="Times New Roman"/>
                <w:b/>
                <w:bCs/>
                <w:color w:val="000000"/>
                <w:sz w:val="24"/>
                <w:szCs w:val="24"/>
                <w:lang w:eastAsia="pl-PL"/>
              </w:rPr>
              <w:t xml:space="preserve">Budżet </w:t>
            </w:r>
            <w:r>
              <w:rPr>
                <w:rFonts w:ascii="Times New Roman" w:hAnsi="Times New Roman" w:eastAsia="Times New Roman" w:cs="Times New Roman"/>
                <w:b/>
                <w:bCs/>
                <w:color w:val="000000"/>
                <w:sz w:val="24"/>
                <w:szCs w:val="24"/>
                <w:lang w:eastAsia="pl-PL"/>
              </w:rPr>
              <w:br w:type="textWrapping"/>
            </w:r>
            <w:r>
              <w:rPr>
                <w:rFonts w:ascii="Times New Roman" w:hAnsi="Times New Roman" w:eastAsia="Times New Roman" w:cs="Times New Roman"/>
                <w:b/>
                <w:bCs/>
                <w:color w:val="000000"/>
                <w:sz w:val="24"/>
                <w:szCs w:val="24"/>
                <w:lang w:eastAsia="pl-PL"/>
              </w:rPr>
              <w:t>(w EUR)</w:t>
            </w:r>
          </w:p>
        </w:tc>
        <w:tc>
          <w:tcPr>
            <w:tcW w:w="2485" w:type="pct"/>
            <w:gridSpan w:val="2"/>
            <w:tcBorders>
              <w:top w:val="single" w:color="auto" w:sz="4" w:space="0"/>
              <w:left w:val="nil"/>
              <w:bottom w:val="single" w:color="auto" w:sz="4" w:space="0"/>
              <w:right w:val="single" w:color="auto" w:sz="4" w:space="0"/>
            </w:tcBorders>
            <w:shd w:val="clear" w:color="auto" w:fill="auto"/>
            <w:vAlign w:val="center"/>
          </w:tcPr>
          <w:p w14:paraId="1910B48C">
            <w:pPr>
              <w:spacing w:after="0" w:line="240" w:lineRule="auto"/>
              <w:jc w:val="center"/>
              <w:rPr>
                <w:rFonts w:ascii="Times New Roman" w:hAnsi="Times New Roman" w:eastAsia="Times New Roman" w:cs="Times New Roman"/>
                <w:b/>
                <w:bCs/>
                <w:color w:val="000000"/>
                <w:sz w:val="28"/>
                <w:szCs w:val="28"/>
                <w:lang w:eastAsia="pl-PL"/>
              </w:rPr>
            </w:pPr>
            <w:r>
              <w:rPr>
                <w:rFonts w:ascii="Times New Roman" w:hAnsi="Times New Roman" w:eastAsia="Times New Roman" w:cs="Times New Roman"/>
                <w:b/>
                <w:bCs/>
                <w:color w:val="000000"/>
                <w:sz w:val="28"/>
                <w:szCs w:val="28"/>
                <w:lang w:eastAsia="pl-PL"/>
              </w:rPr>
              <w:t>Przedsięwzięcia w ramach celu LSR</w:t>
            </w:r>
          </w:p>
          <w:p w14:paraId="5EF4009B">
            <w:pPr>
              <w:spacing w:after="0" w:line="240" w:lineRule="auto"/>
              <w:jc w:val="center"/>
              <w:rPr>
                <w:rFonts w:ascii="Times New Roman" w:hAnsi="Times New Roman" w:eastAsia="Times New Roman" w:cs="Times New Roman"/>
                <w:b/>
                <w:bCs/>
                <w:i/>
                <w:iCs/>
                <w:color w:val="000000"/>
                <w:sz w:val="24"/>
                <w:szCs w:val="24"/>
                <w:lang w:eastAsia="pl-PL"/>
              </w:rPr>
            </w:pPr>
            <w:r>
              <w:rPr>
                <w:rFonts w:ascii="Times New Roman" w:hAnsi="Times New Roman" w:eastAsia="Times New Roman" w:cs="Times New Roman"/>
                <w:b/>
                <w:bCs/>
                <w:i/>
                <w:iCs/>
                <w:color w:val="000000"/>
                <w:sz w:val="28"/>
                <w:szCs w:val="28"/>
                <w:lang w:eastAsia="pl-PL"/>
              </w:rPr>
              <w:t>Utworzenie Myślenickiej Strefy Przemysłu Czasu Wolnego</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14:paraId="51C82681">
            <w:pPr>
              <w:spacing w:after="0" w:line="240" w:lineRule="auto"/>
              <w:jc w:val="center"/>
              <w:rPr>
                <w:rFonts w:ascii="Times New Roman" w:hAnsi="Times New Roman" w:eastAsia="Times New Roman" w:cs="Times New Roman"/>
                <w:b/>
                <w:bCs/>
                <w:color w:val="000000"/>
                <w:sz w:val="24"/>
                <w:szCs w:val="24"/>
                <w:lang w:eastAsia="pl-PL"/>
              </w:rPr>
            </w:pPr>
            <w:r>
              <w:rPr>
                <w:rFonts w:ascii="Times New Roman" w:hAnsi="Times New Roman" w:eastAsia="Times New Roman" w:cs="Times New Roman"/>
                <w:b/>
                <w:bCs/>
                <w:color w:val="000000"/>
                <w:sz w:val="24"/>
                <w:szCs w:val="24"/>
                <w:lang w:eastAsia="pl-PL"/>
              </w:rPr>
              <w:t xml:space="preserve">Grupy docelowe </w:t>
            </w:r>
          </w:p>
        </w:tc>
        <w:tc>
          <w:tcPr>
            <w:tcW w:w="1298" w:type="pct"/>
            <w:tcBorders>
              <w:top w:val="single" w:color="auto" w:sz="4" w:space="0"/>
              <w:left w:val="single" w:color="auto" w:sz="4" w:space="0"/>
              <w:bottom w:val="single" w:color="auto" w:sz="4" w:space="0"/>
              <w:right w:val="single" w:color="auto" w:sz="4" w:space="0"/>
            </w:tcBorders>
            <w:shd w:val="clear" w:color="auto" w:fill="auto"/>
            <w:vAlign w:val="center"/>
          </w:tcPr>
          <w:p w14:paraId="067A07CC">
            <w:pPr>
              <w:spacing w:after="0" w:line="240" w:lineRule="auto"/>
              <w:jc w:val="center"/>
              <w:rPr>
                <w:rFonts w:ascii="Times New Roman" w:hAnsi="Times New Roman" w:eastAsia="Times New Roman" w:cs="Times New Roman"/>
                <w:b/>
                <w:bCs/>
                <w:color w:val="000000"/>
                <w:lang w:eastAsia="pl-PL"/>
              </w:rPr>
            </w:pPr>
            <w:r>
              <w:rPr>
                <w:rFonts w:ascii="Times New Roman" w:hAnsi="Times New Roman" w:eastAsia="Times New Roman" w:cs="Times New Roman"/>
                <w:b/>
                <w:bCs/>
                <w:color w:val="000000"/>
                <w:lang w:eastAsia="pl-PL"/>
              </w:rPr>
              <w:t xml:space="preserve">Sposób realizacji </w:t>
            </w:r>
            <w:r>
              <w:rPr>
                <w:rFonts w:ascii="Times New Roman" w:hAnsi="Times New Roman" w:eastAsia="Times New Roman" w:cs="Times New Roman"/>
                <w:b/>
                <w:bCs/>
                <w:color w:val="000000"/>
                <w:lang w:eastAsia="pl-PL"/>
              </w:rPr>
              <w:br w:type="textWrapping"/>
            </w:r>
            <w:r>
              <w:rPr>
                <w:rFonts w:ascii="Times New Roman" w:hAnsi="Times New Roman" w:eastAsia="Times New Roman" w:cs="Times New Roman"/>
                <w:b/>
                <w:bCs/>
                <w:color w:val="000000"/>
                <w:lang w:eastAsia="pl-PL"/>
              </w:rPr>
              <w:t>(konkurs, projekt grantowy, operacja własna, animacja itp.)</w:t>
            </w:r>
          </w:p>
        </w:tc>
      </w:tr>
      <w:tr w14:paraId="48E1AC48">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9FD6CC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€ 490 000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2A436BB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w:t>
            </w:r>
          </w:p>
        </w:tc>
        <w:tc>
          <w:tcPr>
            <w:tcW w:w="2243" w:type="pct"/>
            <w:tcBorders>
              <w:top w:val="single" w:color="auto" w:sz="4" w:space="0"/>
              <w:left w:val="nil"/>
              <w:bottom w:val="single" w:color="auto" w:sz="4" w:space="0"/>
              <w:right w:val="single" w:color="auto" w:sz="4" w:space="0"/>
            </w:tcBorders>
            <w:shd w:val="clear" w:color="auto" w:fill="auto"/>
            <w:vAlign w:val="center"/>
          </w:tcPr>
          <w:p w14:paraId="7787CEE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Rozbudowa oferty infrastruktury publicznej </w:t>
            </w:r>
          </w:p>
        </w:tc>
        <w:tc>
          <w:tcPr>
            <w:tcW w:w="762" w:type="pct"/>
            <w:tcBorders>
              <w:top w:val="single" w:color="auto" w:sz="4" w:space="0"/>
              <w:left w:val="nil"/>
              <w:bottom w:val="single" w:color="auto" w:sz="4" w:space="0"/>
              <w:right w:val="single" w:color="auto" w:sz="4" w:space="0"/>
            </w:tcBorders>
            <w:shd w:val="clear" w:color="auto" w:fill="auto"/>
            <w:vAlign w:val="center"/>
          </w:tcPr>
          <w:p w14:paraId="301A419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7A52786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Wnioskodawca inny niż LGD </w:t>
            </w:r>
          </w:p>
        </w:tc>
      </w:tr>
      <w:tr w14:paraId="05E2FA7E">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49B2E1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€ 490 000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2043B2F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1.2</w:t>
            </w:r>
          </w:p>
        </w:tc>
        <w:tc>
          <w:tcPr>
            <w:tcW w:w="2243" w:type="pct"/>
            <w:tcBorders>
              <w:top w:val="single" w:color="auto" w:sz="4" w:space="0"/>
              <w:left w:val="nil"/>
              <w:bottom w:val="single" w:color="auto" w:sz="4" w:space="0"/>
              <w:right w:val="single" w:color="auto" w:sz="4" w:space="0"/>
            </w:tcBorders>
            <w:shd w:val="clear" w:color="auto" w:fill="auto"/>
            <w:vAlign w:val="center"/>
          </w:tcPr>
          <w:p w14:paraId="6036B28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Rozbudowa oferty infrastruktury publicznej wynikającej z opracowanych Koncepcji Smart Village</w:t>
            </w:r>
          </w:p>
        </w:tc>
        <w:tc>
          <w:tcPr>
            <w:tcW w:w="762" w:type="pct"/>
            <w:tcBorders>
              <w:top w:val="single" w:color="auto" w:sz="4" w:space="0"/>
              <w:left w:val="nil"/>
              <w:bottom w:val="single" w:color="auto" w:sz="4" w:space="0"/>
              <w:right w:val="single" w:color="auto" w:sz="4" w:space="0"/>
            </w:tcBorders>
            <w:shd w:val="clear" w:color="auto" w:fill="auto"/>
            <w:vAlign w:val="center"/>
          </w:tcPr>
          <w:p w14:paraId="2D6BF9B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2257304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Wnioskodawca inny niż LGD </w:t>
            </w:r>
          </w:p>
        </w:tc>
      </w:tr>
      <w:tr w14:paraId="574B27DA">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FB0752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€ 490 000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5F8C7B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1.3</w:t>
            </w:r>
          </w:p>
        </w:tc>
        <w:tc>
          <w:tcPr>
            <w:tcW w:w="2243" w:type="pct"/>
            <w:tcBorders>
              <w:top w:val="single" w:color="auto" w:sz="4" w:space="0"/>
              <w:left w:val="nil"/>
              <w:bottom w:val="single" w:color="auto" w:sz="4" w:space="0"/>
              <w:right w:val="single" w:color="auto" w:sz="4" w:space="0"/>
            </w:tcBorders>
            <w:shd w:val="clear" w:color="auto" w:fill="auto"/>
            <w:vAlign w:val="center"/>
          </w:tcPr>
          <w:p w14:paraId="2B78CDC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Rozbudowa integracyjnej oferty infrastruktury publicznej </w:t>
            </w:r>
          </w:p>
        </w:tc>
        <w:tc>
          <w:tcPr>
            <w:tcW w:w="762" w:type="pct"/>
            <w:tcBorders>
              <w:top w:val="single" w:color="auto" w:sz="4" w:space="0"/>
              <w:left w:val="nil"/>
              <w:bottom w:val="single" w:color="auto" w:sz="4" w:space="0"/>
              <w:right w:val="single" w:color="auto" w:sz="4" w:space="0"/>
            </w:tcBorders>
            <w:shd w:val="clear" w:color="auto" w:fill="auto"/>
            <w:vAlign w:val="center"/>
          </w:tcPr>
          <w:p w14:paraId="547B859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Mieszkańcy, osoby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 xml:space="preserve">z niepełnosprawnościami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i ich opiekunowie</w:t>
            </w:r>
          </w:p>
        </w:tc>
        <w:tc>
          <w:tcPr>
            <w:tcW w:w="1298" w:type="pct"/>
            <w:tcBorders>
              <w:top w:val="single" w:color="auto" w:sz="4" w:space="0"/>
              <w:left w:val="nil"/>
              <w:bottom w:val="single" w:color="auto" w:sz="4" w:space="0"/>
              <w:right w:val="single" w:color="auto" w:sz="4" w:space="0"/>
            </w:tcBorders>
            <w:shd w:val="clear" w:color="auto" w:fill="auto"/>
            <w:vAlign w:val="center"/>
          </w:tcPr>
          <w:p w14:paraId="21BFD49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Wnioskodawca inny niż LGD </w:t>
            </w:r>
          </w:p>
        </w:tc>
      </w:tr>
      <w:tr w14:paraId="7F43B504">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944BA3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5CA9095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1.4</w:t>
            </w:r>
          </w:p>
        </w:tc>
        <w:tc>
          <w:tcPr>
            <w:tcW w:w="2243" w:type="pct"/>
            <w:tcBorders>
              <w:top w:val="single" w:color="auto" w:sz="4" w:space="0"/>
              <w:left w:val="nil"/>
              <w:bottom w:val="single" w:color="auto" w:sz="4" w:space="0"/>
              <w:right w:val="single" w:color="auto" w:sz="4" w:space="0"/>
            </w:tcBorders>
            <w:shd w:val="clear" w:color="auto" w:fill="auto"/>
            <w:vAlign w:val="center"/>
          </w:tcPr>
          <w:p w14:paraId="5BD8AA3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Integracja i wzmacnianie aktywności osób w niekorzystnej sytuacji – osoby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z niepełnosprawnościami i ich opiekunowie</w:t>
            </w:r>
          </w:p>
        </w:tc>
        <w:tc>
          <w:tcPr>
            <w:tcW w:w="762" w:type="pct"/>
            <w:tcBorders>
              <w:top w:val="single" w:color="auto" w:sz="4" w:space="0"/>
              <w:left w:val="nil"/>
              <w:bottom w:val="single" w:color="auto" w:sz="4" w:space="0"/>
              <w:right w:val="single" w:color="auto" w:sz="4" w:space="0"/>
            </w:tcBorders>
            <w:shd w:val="clear" w:color="auto" w:fill="auto"/>
            <w:vAlign w:val="center"/>
          </w:tcPr>
          <w:p w14:paraId="22070F1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Mieszkańcy, osoby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 xml:space="preserve">z niepełnosprawnościami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i ich opiekunowie</w:t>
            </w:r>
          </w:p>
        </w:tc>
        <w:tc>
          <w:tcPr>
            <w:tcW w:w="1298" w:type="pct"/>
            <w:tcBorders>
              <w:top w:val="single" w:color="auto" w:sz="4" w:space="0"/>
              <w:left w:val="nil"/>
              <w:bottom w:val="single" w:color="auto" w:sz="4" w:space="0"/>
              <w:right w:val="single" w:color="auto" w:sz="4" w:space="0"/>
            </w:tcBorders>
            <w:shd w:val="clear" w:color="auto" w:fill="auto"/>
            <w:vAlign w:val="center"/>
          </w:tcPr>
          <w:p w14:paraId="03DAE30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własny LGD</w:t>
            </w:r>
          </w:p>
        </w:tc>
      </w:tr>
      <w:tr w14:paraId="74C8031E">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3844C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6585C89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1.5</w:t>
            </w:r>
          </w:p>
        </w:tc>
        <w:tc>
          <w:tcPr>
            <w:tcW w:w="2243" w:type="pct"/>
            <w:tcBorders>
              <w:top w:val="single" w:color="auto" w:sz="4" w:space="0"/>
              <w:left w:val="nil"/>
              <w:bottom w:val="single" w:color="auto" w:sz="4" w:space="0"/>
              <w:right w:val="single" w:color="auto" w:sz="4" w:space="0"/>
            </w:tcBorders>
            <w:shd w:val="clear" w:color="auto" w:fill="auto"/>
            <w:vAlign w:val="center"/>
          </w:tcPr>
          <w:p w14:paraId="586C86C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Poznanie i zachowanie dziedzictwa kulturowego i naturalnego</w:t>
            </w:r>
          </w:p>
        </w:tc>
        <w:tc>
          <w:tcPr>
            <w:tcW w:w="762" w:type="pct"/>
            <w:tcBorders>
              <w:top w:val="single" w:color="auto" w:sz="4" w:space="0"/>
              <w:left w:val="nil"/>
              <w:bottom w:val="single" w:color="auto" w:sz="4" w:space="0"/>
              <w:right w:val="single" w:color="auto" w:sz="4" w:space="0"/>
            </w:tcBorders>
            <w:shd w:val="clear" w:color="auto" w:fill="auto"/>
            <w:vAlign w:val="center"/>
          </w:tcPr>
          <w:p w14:paraId="567B057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do 25. roku życia</w:t>
            </w:r>
          </w:p>
        </w:tc>
        <w:tc>
          <w:tcPr>
            <w:tcW w:w="1298" w:type="pct"/>
            <w:tcBorders>
              <w:top w:val="single" w:color="auto" w:sz="4" w:space="0"/>
              <w:left w:val="nil"/>
              <w:bottom w:val="single" w:color="auto" w:sz="4" w:space="0"/>
              <w:right w:val="single" w:color="auto" w:sz="4" w:space="0"/>
            </w:tcBorders>
            <w:shd w:val="clear" w:color="auto" w:fill="auto"/>
            <w:vAlign w:val="center"/>
          </w:tcPr>
          <w:p w14:paraId="488D6E2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grantowy</w:t>
            </w:r>
          </w:p>
        </w:tc>
      </w:tr>
      <w:tr w14:paraId="5CB07AFF">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382C892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1F95EBA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1.6</w:t>
            </w:r>
          </w:p>
        </w:tc>
        <w:tc>
          <w:tcPr>
            <w:tcW w:w="2243" w:type="pct"/>
            <w:tcBorders>
              <w:top w:val="single" w:color="auto" w:sz="4" w:space="0"/>
              <w:left w:val="nil"/>
              <w:bottom w:val="single" w:color="auto" w:sz="4" w:space="0"/>
              <w:right w:val="single" w:color="auto" w:sz="4" w:space="0"/>
            </w:tcBorders>
            <w:shd w:val="clear" w:color="auto" w:fill="auto"/>
            <w:vAlign w:val="center"/>
          </w:tcPr>
          <w:p w14:paraId="557DC9F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Włączenia cyfrowe i aktywizacja </w:t>
            </w:r>
          </w:p>
        </w:tc>
        <w:tc>
          <w:tcPr>
            <w:tcW w:w="762" w:type="pct"/>
            <w:tcBorders>
              <w:top w:val="single" w:color="auto" w:sz="4" w:space="0"/>
              <w:left w:val="nil"/>
              <w:bottom w:val="single" w:color="auto" w:sz="4" w:space="0"/>
              <w:right w:val="single" w:color="auto" w:sz="4" w:space="0"/>
            </w:tcBorders>
            <w:shd w:val="clear" w:color="auto" w:fill="auto"/>
            <w:vAlign w:val="center"/>
          </w:tcPr>
          <w:p w14:paraId="55B91AC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powyżej 60. roku życia</w:t>
            </w:r>
          </w:p>
        </w:tc>
        <w:tc>
          <w:tcPr>
            <w:tcW w:w="1298" w:type="pct"/>
            <w:tcBorders>
              <w:top w:val="single" w:color="auto" w:sz="4" w:space="0"/>
              <w:left w:val="nil"/>
              <w:bottom w:val="single" w:color="auto" w:sz="4" w:space="0"/>
              <w:right w:val="single" w:color="auto" w:sz="4" w:space="0"/>
            </w:tcBorders>
            <w:shd w:val="clear" w:color="auto" w:fill="auto"/>
            <w:vAlign w:val="center"/>
          </w:tcPr>
          <w:p w14:paraId="3946657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grantowy</w:t>
            </w:r>
          </w:p>
        </w:tc>
      </w:tr>
      <w:tr w14:paraId="6DBAA16F">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96B7BE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€ 300 000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2B7C282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1.7</w:t>
            </w:r>
          </w:p>
        </w:tc>
        <w:tc>
          <w:tcPr>
            <w:tcW w:w="2243" w:type="pct"/>
            <w:tcBorders>
              <w:top w:val="single" w:color="auto" w:sz="4" w:space="0"/>
              <w:left w:val="nil"/>
              <w:bottom w:val="single" w:color="auto" w:sz="4" w:space="0"/>
              <w:right w:val="single" w:color="auto" w:sz="4" w:space="0"/>
            </w:tcBorders>
            <w:shd w:val="clear" w:color="auto" w:fill="auto"/>
            <w:vAlign w:val="center"/>
          </w:tcPr>
          <w:p w14:paraId="551D29A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Zwiększenie oferty spędzania czasu wolnego wykorzystującej dziedzictwo naturalne i/lub kulturowe wynikających z Koncepcji Smart Village – operacje realizowane w partnerstwie lokalnym</w:t>
            </w:r>
          </w:p>
        </w:tc>
        <w:tc>
          <w:tcPr>
            <w:tcW w:w="762" w:type="pct"/>
            <w:tcBorders>
              <w:top w:val="single" w:color="auto" w:sz="4" w:space="0"/>
              <w:left w:val="nil"/>
              <w:bottom w:val="single" w:color="auto" w:sz="4" w:space="0"/>
              <w:right w:val="single" w:color="auto" w:sz="4" w:space="0"/>
            </w:tcBorders>
            <w:shd w:val="clear" w:color="auto" w:fill="auto"/>
            <w:vAlign w:val="center"/>
          </w:tcPr>
          <w:p w14:paraId="5AD48C9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organizacje pozarządowe</w:t>
            </w:r>
          </w:p>
        </w:tc>
        <w:tc>
          <w:tcPr>
            <w:tcW w:w="1298" w:type="pct"/>
            <w:tcBorders>
              <w:top w:val="single" w:color="auto" w:sz="4" w:space="0"/>
              <w:left w:val="nil"/>
              <w:bottom w:val="single" w:color="auto" w:sz="4" w:space="0"/>
              <w:right w:val="single" w:color="auto" w:sz="4" w:space="0"/>
            </w:tcBorders>
            <w:shd w:val="clear" w:color="auto" w:fill="auto"/>
            <w:vAlign w:val="center"/>
          </w:tcPr>
          <w:p w14:paraId="2722664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Wnioskodawca inny niż LGD </w:t>
            </w:r>
          </w:p>
        </w:tc>
      </w:tr>
      <w:tr w14:paraId="06DF8F63">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2BD011E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684B275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1.8</w:t>
            </w:r>
          </w:p>
        </w:tc>
        <w:tc>
          <w:tcPr>
            <w:tcW w:w="2243" w:type="pct"/>
            <w:tcBorders>
              <w:top w:val="single" w:color="auto" w:sz="4" w:space="0"/>
              <w:left w:val="nil"/>
              <w:bottom w:val="single" w:color="auto" w:sz="4" w:space="0"/>
              <w:right w:val="single" w:color="auto" w:sz="4" w:space="0"/>
            </w:tcBorders>
            <w:shd w:val="clear" w:color="auto" w:fill="auto"/>
            <w:vAlign w:val="center"/>
          </w:tcPr>
          <w:p w14:paraId="263090A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Kojarzenie partnerów i animowanie do realizacji wspólnych projektów, w tym przygotowanie do wdrożenia idei Smart Villages</w:t>
            </w:r>
          </w:p>
        </w:tc>
        <w:tc>
          <w:tcPr>
            <w:tcW w:w="762" w:type="pct"/>
            <w:tcBorders>
              <w:top w:val="single" w:color="auto" w:sz="4" w:space="0"/>
              <w:left w:val="nil"/>
              <w:bottom w:val="single" w:color="auto" w:sz="4" w:space="0"/>
              <w:right w:val="single" w:color="auto" w:sz="4" w:space="0"/>
            </w:tcBorders>
            <w:shd w:val="clear" w:color="auto" w:fill="auto"/>
            <w:vAlign w:val="center"/>
          </w:tcPr>
          <w:p w14:paraId="3029B63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organizacje pozarządowe</w:t>
            </w:r>
          </w:p>
        </w:tc>
        <w:tc>
          <w:tcPr>
            <w:tcW w:w="1298" w:type="pct"/>
            <w:tcBorders>
              <w:top w:val="single" w:color="auto" w:sz="4" w:space="0"/>
              <w:left w:val="nil"/>
              <w:bottom w:val="single" w:color="auto" w:sz="4" w:space="0"/>
              <w:right w:val="single" w:color="auto" w:sz="4" w:space="0"/>
            </w:tcBorders>
            <w:shd w:val="clear" w:color="auto" w:fill="auto"/>
            <w:vAlign w:val="center"/>
          </w:tcPr>
          <w:p w14:paraId="4B408FF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własny LGD</w:t>
            </w:r>
          </w:p>
        </w:tc>
      </w:tr>
      <w:tr w14:paraId="1C7A0021">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98C733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€ 200 000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2C2D3CA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1.9</w:t>
            </w:r>
          </w:p>
        </w:tc>
        <w:tc>
          <w:tcPr>
            <w:tcW w:w="2243" w:type="pct"/>
            <w:tcBorders>
              <w:top w:val="single" w:color="auto" w:sz="4" w:space="0"/>
              <w:left w:val="nil"/>
              <w:bottom w:val="single" w:color="auto" w:sz="4" w:space="0"/>
              <w:right w:val="single" w:color="auto" w:sz="4" w:space="0"/>
            </w:tcBorders>
            <w:shd w:val="clear" w:color="auto" w:fill="auto"/>
            <w:vAlign w:val="center"/>
          </w:tcPr>
          <w:p w14:paraId="5E7BCE0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Wsparcie inicjatyw oddolnych wynikających z Koncepcji Smart Village</w:t>
            </w:r>
          </w:p>
        </w:tc>
        <w:tc>
          <w:tcPr>
            <w:tcW w:w="762" w:type="pct"/>
            <w:tcBorders>
              <w:top w:val="single" w:color="auto" w:sz="4" w:space="0"/>
              <w:left w:val="nil"/>
              <w:bottom w:val="single" w:color="auto" w:sz="4" w:space="0"/>
              <w:right w:val="single" w:color="auto" w:sz="4" w:space="0"/>
            </w:tcBorders>
            <w:shd w:val="clear" w:color="auto" w:fill="auto"/>
            <w:vAlign w:val="center"/>
          </w:tcPr>
          <w:p w14:paraId="4E9C68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organizacje pozarządowe</w:t>
            </w:r>
          </w:p>
        </w:tc>
        <w:tc>
          <w:tcPr>
            <w:tcW w:w="1298" w:type="pct"/>
            <w:tcBorders>
              <w:top w:val="single" w:color="auto" w:sz="4" w:space="0"/>
              <w:left w:val="nil"/>
              <w:bottom w:val="single" w:color="auto" w:sz="4" w:space="0"/>
              <w:right w:val="single" w:color="auto" w:sz="4" w:space="0"/>
            </w:tcBorders>
            <w:shd w:val="clear" w:color="auto" w:fill="auto"/>
            <w:vAlign w:val="center"/>
          </w:tcPr>
          <w:p w14:paraId="616FE39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grantowy</w:t>
            </w:r>
          </w:p>
        </w:tc>
      </w:tr>
      <w:tr w14:paraId="345E3088">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0F63AC4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7DD52C2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1.10</w:t>
            </w:r>
          </w:p>
        </w:tc>
        <w:tc>
          <w:tcPr>
            <w:tcW w:w="2243" w:type="pct"/>
            <w:tcBorders>
              <w:top w:val="single" w:color="auto" w:sz="4" w:space="0"/>
              <w:left w:val="nil"/>
              <w:bottom w:val="single" w:color="auto" w:sz="4" w:space="0"/>
              <w:right w:val="single" w:color="auto" w:sz="4" w:space="0"/>
            </w:tcBorders>
            <w:shd w:val="clear" w:color="auto" w:fill="auto"/>
            <w:vAlign w:val="center"/>
          </w:tcPr>
          <w:p w14:paraId="760AF65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Przygotowanie partnerów lokalnych do realizacji operacji wynikających z idei Smart Village</w:t>
            </w:r>
          </w:p>
        </w:tc>
        <w:tc>
          <w:tcPr>
            <w:tcW w:w="762" w:type="pct"/>
            <w:tcBorders>
              <w:top w:val="single" w:color="auto" w:sz="4" w:space="0"/>
              <w:left w:val="nil"/>
              <w:bottom w:val="single" w:color="auto" w:sz="4" w:space="0"/>
              <w:right w:val="single" w:color="auto" w:sz="4" w:space="0"/>
            </w:tcBorders>
            <w:shd w:val="clear" w:color="auto" w:fill="auto"/>
            <w:vAlign w:val="center"/>
          </w:tcPr>
          <w:p w14:paraId="1D99F16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organizacje pozarządowe</w:t>
            </w:r>
          </w:p>
        </w:tc>
        <w:tc>
          <w:tcPr>
            <w:tcW w:w="1298" w:type="pct"/>
            <w:tcBorders>
              <w:top w:val="single" w:color="auto" w:sz="4" w:space="0"/>
              <w:left w:val="nil"/>
              <w:bottom w:val="single" w:color="auto" w:sz="4" w:space="0"/>
              <w:right w:val="single" w:color="auto" w:sz="4" w:space="0"/>
            </w:tcBorders>
            <w:shd w:val="clear" w:color="auto" w:fill="auto"/>
            <w:vAlign w:val="center"/>
          </w:tcPr>
          <w:p w14:paraId="35CDD48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Projekt własny LGD, partnerski, </w:t>
            </w:r>
            <w:r>
              <w:rPr>
                <w:rFonts w:ascii="Times New Roman" w:hAnsi="Times New Roman" w:eastAsia="Times New Roman" w:cs="Times New Roman"/>
                <w:color w:val="000000"/>
                <w:sz w:val="20"/>
                <w:szCs w:val="20"/>
                <w:lang w:eastAsia="pl-PL"/>
              </w:rPr>
              <w:br w:type="textWrapping"/>
            </w:r>
            <w:r>
              <w:rPr>
                <w:rFonts w:ascii="Times New Roman" w:hAnsi="Times New Roman" w:eastAsia="Times New Roman" w:cs="Times New Roman"/>
                <w:color w:val="000000"/>
                <w:sz w:val="20"/>
                <w:szCs w:val="20"/>
                <w:lang w:eastAsia="pl-PL"/>
              </w:rPr>
              <w:t>krajowy i zagraniczny</w:t>
            </w:r>
          </w:p>
        </w:tc>
      </w:tr>
      <w:tr w14:paraId="28627759">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C7898D1">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598B415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1.11</w:t>
            </w:r>
          </w:p>
        </w:tc>
        <w:tc>
          <w:tcPr>
            <w:tcW w:w="2243" w:type="pct"/>
            <w:tcBorders>
              <w:top w:val="single" w:color="auto" w:sz="4" w:space="0"/>
              <w:left w:val="nil"/>
              <w:bottom w:val="single" w:color="auto" w:sz="4" w:space="0"/>
              <w:right w:val="single" w:color="auto" w:sz="4" w:space="0"/>
            </w:tcBorders>
            <w:shd w:val="clear" w:color="auto" w:fill="auto"/>
            <w:vAlign w:val="center"/>
          </w:tcPr>
          <w:p w14:paraId="4E57C33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Opracowanie Koncepcji Smart Village – inteligentnej wsi </w:t>
            </w:r>
          </w:p>
        </w:tc>
        <w:tc>
          <w:tcPr>
            <w:tcW w:w="762" w:type="pct"/>
            <w:tcBorders>
              <w:top w:val="single" w:color="auto" w:sz="4" w:space="0"/>
              <w:left w:val="nil"/>
              <w:bottom w:val="single" w:color="auto" w:sz="4" w:space="0"/>
              <w:right w:val="single" w:color="auto" w:sz="4" w:space="0"/>
            </w:tcBorders>
            <w:shd w:val="clear" w:color="auto" w:fill="auto"/>
            <w:vAlign w:val="center"/>
          </w:tcPr>
          <w:p w14:paraId="17E9B9F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 organizacje pozarządowe</w:t>
            </w:r>
          </w:p>
        </w:tc>
        <w:tc>
          <w:tcPr>
            <w:tcW w:w="1298" w:type="pct"/>
            <w:tcBorders>
              <w:top w:val="single" w:color="auto" w:sz="4" w:space="0"/>
              <w:left w:val="nil"/>
              <w:bottom w:val="single" w:color="auto" w:sz="4" w:space="0"/>
              <w:right w:val="single" w:color="auto" w:sz="4" w:space="0"/>
            </w:tcBorders>
            <w:shd w:val="clear" w:color="auto" w:fill="auto"/>
            <w:vAlign w:val="center"/>
          </w:tcPr>
          <w:p w14:paraId="7C8F815B">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grantowy</w:t>
            </w:r>
          </w:p>
        </w:tc>
      </w:tr>
      <w:tr w14:paraId="794424B4">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4894B66">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€ 200 000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021E7F7F">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1.12</w:t>
            </w:r>
          </w:p>
        </w:tc>
        <w:tc>
          <w:tcPr>
            <w:tcW w:w="2243" w:type="pct"/>
            <w:tcBorders>
              <w:top w:val="single" w:color="auto" w:sz="4" w:space="0"/>
              <w:left w:val="nil"/>
              <w:bottom w:val="single" w:color="auto" w:sz="4" w:space="0"/>
              <w:right w:val="single" w:color="auto" w:sz="4" w:space="0"/>
            </w:tcBorders>
            <w:shd w:val="clear" w:color="auto" w:fill="auto"/>
            <w:vAlign w:val="center"/>
          </w:tcPr>
          <w:p w14:paraId="670DCCC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Zbudowanie oferty rozwoju, spędzania czasu wolnego i rekreacji dla mieszkańców LGD – podejmowanie działalności gospodarczej</w:t>
            </w:r>
          </w:p>
        </w:tc>
        <w:tc>
          <w:tcPr>
            <w:tcW w:w="762" w:type="pct"/>
            <w:tcBorders>
              <w:top w:val="single" w:color="auto" w:sz="4" w:space="0"/>
              <w:left w:val="nil"/>
              <w:bottom w:val="single" w:color="auto" w:sz="4" w:space="0"/>
              <w:right w:val="single" w:color="auto" w:sz="4" w:space="0"/>
            </w:tcBorders>
            <w:shd w:val="clear" w:color="auto" w:fill="auto"/>
            <w:vAlign w:val="center"/>
          </w:tcPr>
          <w:p w14:paraId="1775DD7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1FBEE42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Projekty wnioskodawców innych niż LGD</w:t>
            </w:r>
          </w:p>
        </w:tc>
      </w:tr>
      <w:tr w14:paraId="65048594">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640FA7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€ 200 000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45D652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1.13</w:t>
            </w:r>
          </w:p>
        </w:tc>
        <w:tc>
          <w:tcPr>
            <w:tcW w:w="2243" w:type="pct"/>
            <w:tcBorders>
              <w:top w:val="single" w:color="auto" w:sz="4" w:space="0"/>
              <w:left w:val="nil"/>
              <w:bottom w:val="single" w:color="auto" w:sz="4" w:space="0"/>
              <w:right w:val="single" w:color="auto" w:sz="4" w:space="0"/>
            </w:tcBorders>
            <w:shd w:val="clear" w:color="auto" w:fill="auto"/>
            <w:vAlign w:val="center"/>
          </w:tcPr>
          <w:p w14:paraId="4A35F71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Zbudowanie oferty rozwoju, spędzania czasu wolnego i rekreacji dla mieszkańców LGD – rozwój działalności gospodarczej</w:t>
            </w:r>
          </w:p>
        </w:tc>
        <w:tc>
          <w:tcPr>
            <w:tcW w:w="762" w:type="pct"/>
            <w:tcBorders>
              <w:top w:val="single" w:color="auto" w:sz="4" w:space="0"/>
              <w:left w:val="nil"/>
              <w:bottom w:val="single" w:color="auto" w:sz="4" w:space="0"/>
              <w:right w:val="single" w:color="auto" w:sz="4" w:space="0"/>
            </w:tcBorders>
            <w:shd w:val="clear" w:color="auto" w:fill="auto"/>
            <w:vAlign w:val="center"/>
          </w:tcPr>
          <w:p w14:paraId="13555BD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4CB208B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Projekty wnioskodawców innych niż LGD</w:t>
            </w:r>
          </w:p>
        </w:tc>
      </w:tr>
      <w:tr w14:paraId="7053229E">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98574B3">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€ 60 000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0FDAF37D">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1.14</w:t>
            </w:r>
          </w:p>
        </w:tc>
        <w:tc>
          <w:tcPr>
            <w:tcW w:w="2243" w:type="pct"/>
            <w:tcBorders>
              <w:top w:val="single" w:color="auto" w:sz="4" w:space="0"/>
              <w:left w:val="nil"/>
              <w:bottom w:val="single" w:color="auto" w:sz="4" w:space="0"/>
              <w:right w:val="single" w:color="auto" w:sz="4" w:space="0"/>
            </w:tcBorders>
            <w:shd w:val="clear" w:color="auto" w:fill="auto"/>
            <w:vAlign w:val="center"/>
          </w:tcPr>
          <w:p w14:paraId="5DBBAAA5">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Utworzenie lub rozwój gospodarstwa agroturystycznego</w:t>
            </w:r>
          </w:p>
        </w:tc>
        <w:tc>
          <w:tcPr>
            <w:tcW w:w="762" w:type="pct"/>
            <w:tcBorders>
              <w:top w:val="single" w:color="auto" w:sz="4" w:space="0"/>
              <w:left w:val="nil"/>
              <w:bottom w:val="single" w:color="auto" w:sz="4" w:space="0"/>
              <w:right w:val="single" w:color="auto" w:sz="4" w:space="0"/>
            </w:tcBorders>
            <w:shd w:val="clear" w:color="auto" w:fill="auto"/>
            <w:vAlign w:val="center"/>
          </w:tcPr>
          <w:p w14:paraId="038E6A8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0999E78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Projekty wnioskodawców innych niż LGD</w:t>
            </w:r>
          </w:p>
        </w:tc>
      </w:tr>
      <w:tr w14:paraId="309CF493">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063F0AC">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€ 60 000 </w:t>
            </w:r>
          </w:p>
        </w:tc>
        <w:tc>
          <w:tcPr>
            <w:tcW w:w="242" w:type="pct"/>
            <w:tcBorders>
              <w:top w:val="single" w:color="auto" w:sz="4" w:space="0"/>
              <w:left w:val="nil"/>
              <w:bottom w:val="single" w:color="auto" w:sz="4" w:space="0"/>
              <w:right w:val="single" w:color="auto" w:sz="4" w:space="0"/>
            </w:tcBorders>
            <w:shd w:val="clear" w:color="auto" w:fill="auto"/>
            <w:vAlign w:val="center"/>
          </w:tcPr>
          <w:p w14:paraId="5514D84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1.15</w:t>
            </w:r>
          </w:p>
        </w:tc>
        <w:tc>
          <w:tcPr>
            <w:tcW w:w="2243" w:type="pct"/>
            <w:tcBorders>
              <w:top w:val="single" w:color="auto" w:sz="4" w:space="0"/>
              <w:left w:val="nil"/>
              <w:bottom w:val="single" w:color="auto" w:sz="4" w:space="0"/>
              <w:right w:val="single" w:color="auto" w:sz="4" w:space="0"/>
            </w:tcBorders>
            <w:shd w:val="clear" w:color="auto" w:fill="auto"/>
            <w:vAlign w:val="center"/>
          </w:tcPr>
          <w:p w14:paraId="1BB9841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Utworzenia lub rozwój zagrody edukacyjnej</w:t>
            </w:r>
          </w:p>
        </w:tc>
        <w:tc>
          <w:tcPr>
            <w:tcW w:w="762" w:type="pct"/>
            <w:tcBorders>
              <w:top w:val="single" w:color="auto" w:sz="4" w:space="0"/>
              <w:left w:val="nil"/>
              <w:bottom w:val="single" w:color="auto" w:sz="4" w:space="0"/>
              <w:right w:val="single" w:color="auto" w:sz="4" w:space="0"/>
            </w:tcBorders>
            <w:shd w:val="clear" w:color="auto" w:fill="auto"/>
            <w:vAlign w:val="center"/>
          </w:tcPr>
          <w:p w14:paraId="370E3D74">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38585AB7">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Projekty wnioskodawców innych niż LGD</w:t>
            </w:r>
          </w:p>
        </w:tc>
      </w:tr>
      <w:tr w14:paraId="45766088">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05F79EE">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€ 1 327 020 </w:t>
            </w:r>
          </w:p>
        </w:tc>
        <w:tc>
          <w:tcPr>
            <w:tcW w:w="242" w:type="pct"/>
            <w:tcBorders>
              <w:top w:val="single" w:color="auto" w:sz="4" w:space="0"/>
              <w:left w:val="nil"/>
              <w:bottom w:val="single" w:color="auto" w:sz="4" w:space="0"/>
              <w:right w:val="single" w:color="auto" w:sz="4" w:space="0"/>
            </w:tcBorders>
            <w:shd w:val="clear" w:color="auto" w:fill="auto"/>
            <w:vAlign w:val="center"/>
          </w:tcPr>
          <w:p w14:paraId="39D560B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1.16</w:t>
            </w:r>
          </w:p>
        </w:tc>
        <w:tc>
          <w:tcPr>
            <w:tcW w:w="2243" w:type="pct"/>
            <w:tcBorders>
              <w:top w:val="single" w:color="auto" w:sz="4" w:space="0"/>
              <w:left w:val="nil"/>
              <w:bottom w:val="single" w:color="auto" w:sz="4" w:space="0"/>
              <w:right w:val="single" w:color="auto" w:sz="4" w:space="0"/>
            </w:tcBorders>
            <w:shd w:val="clear" w:color="auto" w:fill="auto"/>
            <w:vAlign w:val="center"/>
          </w:tcPr>
          <w:p w14:paraId="49EC7B10">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Rozwój kultury, dziedzictwa kulturowego i turystyki (FEM EFRR)</w:t>
            </w:r>
          </w:p>
        </w:tc>
        <w:tc>
          <w:tcPr>
            <w:tcW w:w="762" w:type="pct"/>
            <w:tcBorders>
              <w:top w:val="single" w:color="auto" w:sz="4" w:space="0"/>
              <w:left w:val="nil"/>
              <w:bottom w:val="single" w:color="auto" w:sz="4" w:space="0"/>
              <w:right w:val="single" w:color="auto" w:sz="4" w:space="0"/>
            </w:tcBorders>
            <w:shd w:val="clear" w:color="auto" w:fill="auto"/>
            <w:vAlign w:val="center"/>
          </w:tcPr>
          <w:p w14:paraId="1039F73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1ACCFF99">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grantowy</w:t>
            </w:r>
          </w:p>
        </w:tc>
      </w:tr>
      <w:tr w14:paraId="0E441868">
        <w:tblPrEx>
          <w:tblCellMar>
            <w:top w:w="0" w:type="dxa"/>
            <w:left w:w="70" w:type="dxa"/>
            <w:bottom w:w="0" w:type="dxa"/>
            <w:right w:w="70" w:type="dxa"/>
          </w:tblCellMar>
        </w:tblPrEx>
        <w:trPr>
          <w:trHeight w:val="680" w:hRule="atLeast"/>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96213F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 xml:space="preserve"> € 609 710 </w:t>
            </w:r>
          </w:p>
        </w:tc>
        <w:tc>
          <w:tcPr>
            <w:tcW w:w="242" w:type="pct"/>
            <w:tcBorders>
              <w:top w:val="single" w:color="auto" w:sz="4" w:space="0"/>
              <w:left w:val="nil"/>
              <w:bottom w:val="single" w:color="auto" w:sz="4" w:space="0"/>
              <w:right w:val="single" w:color="auto" w:sz="4" w:space="0"/>
            </w:tcBorders>
            <w:shd w:val="clear" w:color="auto" w:fill="auto"/>
            <w:vAlign w:val="center"/>
          </w:tcPr>
          <w:p w14:paraId="72A53E1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1.17</w:t>
            </w:r>
          </w:p>
        </w:tc>
        <w:tc>
          <w:tcPr>
            <w:tcW w:w="2243" w:type="pct"/>
            <w:tcBorders>
              <w:top w:val="single" w:color="auto" w:sz="4" w:space="0"/>
              <w:left w:val="nil"/>
              <w:bottom w:val="single" w:color="auto" w:sz="4" w:space="0"/>
              <w:right w:val="single" w:color="auto" w:sz="4" w:space="0"/>
            </w:tcBorders>
            <w:shd w:val="clear" w:color="auto" w:fill="auto"/>
            <w:vAlign w:val="center"/>
          </w:tcPr>
          <w:p w14:paraId="484C54F2">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Wspieranie oddolnych inicjatyw na rzecz aktywnego włączenia społecznego (FEM EFS+)</w:t>
            </w:r>
          </w:p>
        </w:tc>
        <w:tc>
          <w:tcPr>
            <w:tcW w:w="762" w:type="pct"/>
            <w:tcBorders>
              <w:top w:val="single" w:color="auto" w:sz="4" w:space="0"/>
              <w:left w:val="nil"/>
              <w:bottom w:val="single" w:color="auto" w:sz="4" w:space="0"/>
              <w:right w:val="single" w:color="auto" w:sz="4" w:space="0"/>
            </w:tcBorders>
            <w:shd w:val="clear" w:color="auto" w:fill="auto"/>
            <w:vAlign w:val="center"/>
          </w:tcPr>
          <w:p w14:paraId="3363982A">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Mieszkańcy</w:t>
            </w:r>
          </w:p>
        </w:tc>
        <w:tc>
          <w:tcPr>
            <w:tcW w:w="1298" w:type="pct"/>
            <w:tcBorders>
              <w:top w:val="single" w:color="auto" w:sz="4" w:space="0"/>
              <w:left w:val="nil"/>
              <w:bottom w:val="single" w:color="auto" w:sz="4" w:space="0"/>
              <w:right w:val="single" w:color="auto" w:sz="4" w:space="0"/>
            </w:tcBorders>
            <w:shd w:val="clear" w:color="auto" w:fill="auto"/>
            <w:vAlign w:val="center"/>
          </w:tcPr>
          <w:p w14:paraId="0ED14B58">
            <w:pPr>
              <w:spacing w:after="0" w:line="240" w:lineRule="auto"/>
              <w:jc w:val="center"/>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Projekt grantowy</w:t>
            </w:r>
          </w:p>
        </w:tc>
      </w:tr>
    </w:tbl>
    <w:p w14:paraId="6FBCB69B">
      <w:pPr>
        <w:jc w:val="center"/>
        <w:rPr>
          <w:rFonts w:ascii="Times New Roman" w:hAnsi="Times New Roman" w:cs="Times New Roman"/>
          <w:i/>
          <w:iCs/>
          <w:sz w:val="20"/>
          <w:szCs w:val="20"/>
        </w:rPr>
        <w:sectPr>
          <w:pgSz w:w="16838" w:h="11906" w:orient="landscape"/>
          <w:pgMar w:top="851" w:right="851" w:bottom="851" w:left="851" w:header="709" w:footer="709" w:gutter="0"/>
          <w:cols w:space="708" w:num="1"/>
          <w:titlePg/>
          <w:docGrid w:linePitch="360" w:charSpace="0"/>
        </w:sectPr>
      </w:pPr>
      <w:r>
        <w:rPr>
          <w:rFonts w:ascii="Times New Roman" w:hAnsi="Times New Roman" w:cs="Times New Roman"/>
          <w:i/>
          <w:iCs/>
          <w:sz w:val="20"/>
          <w:szCs w:val="20"/>
        </w:rPr>
        <w:t>Źródło: opracowanie własne</w:t>
      </w:r>
    </w:p>
    <w:p w14:paraId="03B8D726">
      <w:pPr>
        <w:ind w:left="360" w:hanging="36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Załącznik nr 2 Plan działania</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494"/>
        <w:gridCol w:w="2165"/>
        <w:gridCol w:w="2487"/>
        <w:gridCol w:w="758"/>
        <w:gridCol w:w="758"/>
        <w:gridCol w:w="800"/>
        <w:gridCol w:w="767"/>
        <w:gridCol w:w="758"/>
        <w:gridCol w:w="767"/>
        <w:gridCol w:w="752"/>
        <w:gridCol w:w="767"/>
        <w:gridCol w:w="752"/>
        <w:gridCol w:w="767"/>
        <w:gridCol w:w="752"/>
        <w:gridCol w:w="767"/>
        <w:gridCol w:w="965"/>
      </w:tblGrid>
      <w:tr w14:paraId="77A3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vMerge w:val="restart"/>
            <w:shd w:val="clear" w:color="auto" w:fill="auto"/>
            <w:vAlign w:val="center"/>
          </w:tcPr>
          <w:p w14:paraId="72152FC7">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CEL LSR </w:t>
            </w:r>
            <w:r>
              <w:rPr>
                <w:rFonts w:ascii="Times New Roman" w:hAnsi="Times New Roman" w:eastAsia="Times New Roman" w:cs="Times New Roman"/>
                <w:b/>
                <w:bCs/>
                <w:color w:val="000000"/>
                <w:sz w:val="18"/>
                <w:szCs w:val="18"/>
                <w:lang w:eastAsia="pl-PL"/>
              </w:rPr>
              <w:br w:type="textWrapping"/>
            </w:r>
            <w:r>
              <w:rPr>
                <w:rFonts w:ascii="Times New Roman" w:hAnsi="Times New Roman" w:eastAsia="Times New Roman" w:cs="Times New Roman"/>
                <w:b/>
                <w:bCs/>
                <w:i/>
                <w:iCs/>
                <w:color w:val="000000"/>
                <w:sz w:val="18"/>
                <w:szCs w:val="18"/>
                <w:lang w:eastAsia="pl-PL"/>
              </w:rPr>
              <w:t>Utworzenie Myślenickiej Strefy Przemysłu Czasu Wolnego</w:t>
            </w:r>
          </w:p>
        </w:tc>
        <w:tc>
          <w:tcPr>
            <w:tcW w:w="814" w:type="pct"/>
            <w:shd w:val="clear" w:color="000000" w:fill="FFFFFF"/>
            <w:vAlign w:val="center"/>
          </w:tcPr>
          <w:p w14:paraId="31D6D131">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Lata</w:t>
            </w:r>
          </w:p>
        </w:tc>
        <w:tc>
          <w:tcPr>
            <w:tcW w:w="496" w:type="pct"/>
            <w:gridSpan w:val="2"/>
            <w:shd w:val="clear" w:color="auto" w:fill="auto"/>
            <w:vAlign w:val="center"/>
          </w:tcPr>
          <w:p w14:paraId="19240DDC">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Do 31.12.2024</w:t>
            </w:r>
          </w:p>
        </w:tc>
        <w:tc>
          <w:tcPr>
            <w:tcW w:w="513" w:type="pct"/>
            <w:gridSpan w:val="2"/>
            <w:shd w:val="clear" w:color="auto" w:fill="auto"/>
            <w:vAlign w:val="center"/>
          </w:tcPr>
          <w:p w14:paraId="17346839">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Do 31.12.2025</w:t>
            </w:r>
          </w:p>
        </w:tc>
        <w:tc>
          <w:tcPr>
            <w:tcW w:w="499" w:type="pct"/>
            <w:gridSpan w:val="2"/>
            <w:shd w:val="clear" w:color="auto" w:fill="auto"/>
            <w:vAlign w:val="center"/>
          </w:tcPr>
          <w:p w14:paraId="508F0821">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Do 31.12.2026</w:t>
            </w:r>
          </w:p>
        </w:tc>
        <w:tc>
          <w:tcPr>
            <w:tcW w:w="497" w:type="pct"/>
            <w:gridSpan w:val="2"/>
            <w:shd w:val="clear" w:color="auto" w:fill="auto"/>
            <w:vAlign w:val="center"/>
          </w:tcPr>
          <w:p w14:paraId="1A37C763">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Do 31.12.2027</w:t>
            </w:r>
          </w:p>
        </w:tc>
        <w:tc>
          <w:tcPr>
            <w:tcW w:w="497" w:type="pct"/>
            <w:gridSpan w:val="2"/>
            <w:shd w:val="clear" w:color="auto" w:fill="auto"/>
            <w:vAlign w:val="center"/>
          </w:tcPr>
          <w:p w14:paraId="68E8DBEE">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Do 31.12.2028</w:t>
            </w:r>
          </w:p>
        </w:tc>
        <w:tc>
          <w:tcPr>
            <w:tcW w:w="497" w:type="pct"/>
            <w:gridSpan w:val="2"/>
            <w:shd w:val="clear" w:color="auto" w:fill="auto"/>
            <w:vAlign w:val="center"/>
          </w:tcPr>
          <w:p w14:paraId="484A37CA">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Do 31.12.2029</w:t>
            </w:r>
          </w:p>
        </w:tc>
        <w:tc>
          <w:tcPr>
            <w:tcW w:w="317" w:type="pct"/>
            <w:vMerge w:val="restart"/>
            <w:shd w:val="clear" w:color="auto" w:fill="auto"/>
            <w:textDirection w:val="tbRl"/>
            <w:vAlign w:val="center"/>
          </w:tcPr>
          <w:p w14:paraId="624B23A9">
            <w:pPr>
              <w:spacing w:after="0" w:line="240" w:lineRule="auto"/>
              <w:jc w:val="center"/>
              <w:rPr>
                <w:rFonts w:ascii="Times New Roman" w:hAnsi="Times New Roman" w:eastAsia="Times New Roman" w:cs="Times New Roman"/>
                <w:b/>
                <w:bCs/>
                <w:color w:val="000000"/>
                <w:sz w:val="16"/>
                <w:szCs w:val="16"/>
                <w:lang w:eastAsia="pl-PL"/>
              </w:rPr>
            </w:pPr>
            <w:r>
              <w:rPr>
                <w:rFonts w:ascii="Times New Roman" w:hAnsi="Times New Roman" w:eastAsia="Times New Roman" w:cs="Times New Roman"/>
                <w:b/>
                <w:bCs/>
                <w:color w:val="000000"/>
                <w:sz w:val="16"/>
                <w:szCs w:val="16"/>
                <w:lang w:eastAsia="pl-PL"/>
              </w:rPr>
              <w:t>Program</w:t>
            </w:r>
          </w:p>
        </w:tc>
      </w:tr>
      <w:tr w14:paraId="0E10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417" w:hRule="atLeast"/>
        </w:trPr>
        <w:tc>
          <w:tcPr>
            <w:tcW w:w="871" w:type="pct"/>
            <w:gridSpan w:val="2"/>
            <w:vMerge w:val="continue"/>
            <w:vAlign w:val="center"/>
          </w:tcPr>
          <w:p w14:paraId="695756D9">
            <w:pPr>
              <w:spacing w:after="0" w:line="240" w:lineRule="auto"/>
              <w:rPr>
                <w:rFonts w:ascii="Times New Roman" w:hAnsi="Times New Roman" w:eastAsia="Times New Roman" w:cs="Times New Roman"/>
                <w:b/>
                <w:bCs/>
                <w:color w:val="000000"/>
                <w:sz w:val="18"/>
                <w:szCs w:val="18"/>
                <w:lang w:eastAsia="pl-PL"/>
              </w:rPr>
            </w:pPr>
          </w:p>
        </w:tc>
        <w:tc>
          <w:tcPr>
            <w:tcW w:w="814" w:type="pct"/>
            <w:shd w:val="clear" w:color="000000" w:fill="FFFFFF"/>
            <w:vAlign w:val="center"/>
          </w:tcPr>
          <w:p w14:paraId="56ABC05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Nazwa wskaźnika</w:t>
            </w:r>
          </w:p>
        </w:tc>
        <w:tc>
          <w:tcPr>
            <w:tcW w:w="248" w:type="pct"/>
            <w:shd w:val="clear" w:color="auto" w:fill="auto"/>
            <w:textDirection w:val="btLr"/>
            <w:vAlign w:val="center"/>
          </w:tcPr>
          <w:p w14:paraId="15FE869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Wartość z jednostką miary</w:t>
            </w:r>
          </w:p>
        </w:tc>
        <w:tc>
          <w:tcPr>
            <w:tcW w:w="248" w:type="pct"/>
            <w:shd w:val="clear" w:color="auto" w:fill="auto"/>
            <w:textDirection w:val="btLr"/>
            <w:vAlign w:val="center"/>
          </w:tcPr>
          <w:p w14:paraId="607E6FE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realizacji wskaźnika narastająco</w:t>
            </w:r>
          </w:p>
        </w:tc>
        <w:tc>
          <w:tcPr>
            <w:tcW w:w="262" w:type="pct"/>
            <w:shd w:val="clear" w:color="auto" w:fill="auto"/>
            <w:textDirection w:val="btLr"/>
            <w:vAlign w:val="center"/>
          </w:tcPr>
          <w:p w14:paraId="6D96CB7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Wartość z jednostką miary</w:t>
            </w:r>
          </w:p>
        </w:tc>
        <w:tc>
          <w:tcPr>
            <w:tcW w:w="251" w:type="pct"/>
            <w:shd w:val="clear" w:color="auto" w:fill="auto"/>
            <w:textDirection w:val="btLr"/>
            <w:vAlign w:val="center"/>
          </w:tcPr>
          <w:p w14:paraId="4D08DEC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realizacji wskaźnika narastająco</w:t>
            </w:r>
          </w:p>
        </w:tc>
        <w:tc>
          <w:tcPr>
            <w:tcW w:w="248" w:type="pct"/>
            <w:shd w:val="clear" w:color="auto" w:fill="auto"/>
            <w:textDirection w:val="btLr"/>
            <w:vAlign w:val="center"/>
          </w:tcPr>
          <w:p w14:paraId="6856B7C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Wartość z jednostką miary</w:t>
            </w:r>
          </w:p>
        </w:tc>
        <w:tc>
          <w:tcPr>
            <w:tcW w:w="251" w:type="pct"/>
            <w:shd w:val="clear" w:color="auto" w:fill="auto"/>
            <w:textDirection w:val="btLr"/>
            <w:vAlign w:val="center"/>
          </w:tcPr>
          <w:p w14:paraId="61D53E6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realizacji wskaźnika narastająco</w:t>
            </w:r>
          </w:p>
        </w:tc>
        <w:tc>
          <w:tcPr>
            <w:tcW w:w="246" w:type="pct"/>
            <w:shd w:val="clear" w:color="auto" w:fill="auto"/>
            <w:textDirection w:val="btLr"/>
            <w:vAlign w:val="center"/>
          </w:tcPr>
          <w:p w14:paraId="4CC90CC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Wartość z jednostką miary</w:t>
            </w:r>
          </w:p>
        </w:tc>
        <w:tc>
          <w:tcPr>
            <w:tcW w:w="251" w:type="pct"/>
            <w:shd w:val="clear" w:color="auto" w:fill="auto"/>
            <w:textDirection w:val="btLr"/>
            <w:vAlign w:val="center"/>
          </w:tcPr>
          <w:p w14:paraId="57FD049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realizacji wskaźnika narastająco</w:t>
            </w:r>
          </w:p>
        </w:tc>
        <w:tc>
          <w:tcPr>
            <w:tcW w:w="246" w:type="pct"/>
            <w:shd w:val="clear" w:color="auto" w:fill="auto"/>
            <w:textDirection w:val="btLr"/>
            <w:vAlign w:val="center"/>
          </w:tcPr>
          <w:p w14:paraId="20A4FE5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Wartość z jednostką miary</w:t>
            </w:r>
          </w:p>
        </w:tc>
        <w:tc>
          <w:tcPr>
            <w:tcW w:w="251" w:type="pct"/>
            <w:shd w:val="clear" w:color="auto" w:fill="auto"/>
            <w:textDirection w:val="btLr"/>
            <w:vAlign w:val="center"/>
          </w:tcPr>
          <w:p w14:paraId="74BD933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realizacji wskaźnika narastająco</w:t>
            </w:r>
          </w:p>
        </w:tc>
        <w:tc>
          <w:tcPr>
            <w:tcW w:w="246" w:type="pct"/>
            <w:shd w:val="clear" w:color="auto" w:fill="auto"/>
            <w:textDirection w:val="btLr"/>
            <w:vAlign w:val="center"/>
          </w:tcPr>
          <w:p w14:paraId="27C56F6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Wartość z jednostką miary</w:t>
            </w:r>
          </w:p>
        </w:tc>
        <w:tc>
          <w:tcPr>
            <w:tcW w:w="251" w:type="pct"/>
            <w:shd w:val="clear" w:color="auto" w:fill="auto"/>
            <w:textDirection w:val="btLr"/>
            <w:vAlign w:val="center"/>
          </w:tcPr>
          <w:p w14:paraId="5C4EEAA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realizacji wskaźnika narastająco</w:t>
            </w:r>
          </w:p>
        </w:tc>
        <w:tc>
          <w:tcPr>
            <w:tcW w:w="317" w:type="pct"/>
            <w:vMerge w:val="continue"/>
            <w:vAlign w:val="center"/>
          </w:tcPr>
          <w:p w14:paraId="5A8DD426">
            <w:pPr>
              <w:spacing w:after="0" w:line="240" w:lineRule="auto"/>
              <w:rPr>
                <w:rFonts w:ascii="Times New Roman" w:hAnsi="Times New Roman" w:eastAsia="Times New Roman" w:cs="Times New Roman"/>
                <w:b/>
                <w:bCs/>
                <w:color w:val="000000"/>
                <w:sz w:val="16"/>
                <w:szCs w:val="16"/>
                <w:lang w:eastAsia="pl-PL"/>
              </w:rPr>
            </w:pPr>
          </w:p>
        </w:tc>
      </w:tr>
      <w:tr w14:paraId="2190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2EBDFCA1">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w:t>
            </w:r>
          </w:p>
        </w:tc>
        <w:tc>
          <w:tcPr>
            <w:tcW w:w="708" w:type="pct"/>
            <w:shd w:val="clear" w:color="auto" w:fill="auto"/>
            <w:vAlign w:val="center"/>
          </w:tcPr>
          <w:p w14:paraId="499184A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Rozbudowa oferty infrastruktury publicznej </w:t>
            </w:r>
          </w:p>
        </w:tc>
        <w:tc>
          <w:tcPr>
            <w:tcW w:w="814" w:type="pct"/>
            <w:shd w:val="clear" w:color="000000" w:fill="FFFFFF"/>
            <w:vAlign w:val="center"/>
          </w:tcPr>
          <w:p w14:paraId="6E9BD90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Liczba doposażonych instytucji kultury, zbudowanej lub rozbudowanej infrastruktury publicznej </w:t>
            </w:r>
          </w:p>
        </w:tc>
        <w:tc>
          <w:tcPr>
            <w:tcW w:w="248" w:type="pct"/>
            <w:shd w:val="clear" w:color="auto" w:fill="auto"/>
            <w:vAlign w:val="center"/>
          </w:tcPr>
          <w:p w14:paraId="6BE1EF3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55A396D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7FDF231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w:t>
            </w:r>
          </w:p>
        </w:tc>
        <w:tc>
          <w:tcPr>
            <w:tcW w:w="251" w:type="pct"/>
            <w:shd w:val="clear" w:color="auto" w:fill="auto"/>
            <w:vAlign w:val="center"/>
          </w:tcPr>
          <w:p w14:paraId="2E528A9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2F9B9D4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FEE294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EB34DC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FBADCC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EB474E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BF61EE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C0B90E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2C2CEB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restart"/>
            <w:shd w:val="clear" w:color="auto" w:fill="auto"/>
            <w:vAlign w:val="center"/>
          </w:tcPr>
          <w:p w14:paraId="3681831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PS WPR</w:t>
            </w:r>
          </w:p>
        </w:tc>
      </w:tr>
      <w:tr w14:paraId="335A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2FACB51E">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1.2</w:t>
            </w:r>
          </w:p>
        </w:tc>
        <w:tc>
          <w:tcPr>
            <w:tcW w:w="708" w:type="pct"/>
            <w:shd w:val="clear" w:color="auto" w:fill="auto"/>
            <w:vAlign w:val="center"/>
          </w:tcPr>
          <w:p w14:paraId="0FAD194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Rozbudowa oferty infrastruktury publicznej wynikającej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opracowanych Koncepcji Smart Village</w:t>
            </w:r>
          </w:p>
        </w:tc>
        <w:tc>
          <w:tcPr>
            <w:tcW w:w="814" w:type="pct"/>
            <w:shd w:val="clear" w:color="000000" w:fill="FFFFFF"/>
            <w:vAlign w:val="center"/>
          </w:tcPr>
          <w:p w14:paraId="7EAFFA1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Liczba doposażonych instytucji kultury, zbudowanej lub rozbudowanej infrastruktury publicznej </w:t>
            </w:r>
          </w:p>
        </w:tc>
        <w:tc>
          <w:tcPr>
            <w:tcW w:w="248" w:type="pct"/>
            <w:shd w:val="clear" w:color="auto" w:fill="auto"/>
            <w:vAlign w:val="center"/>
          </w:tcPr>
          <w:p w14:paraId="401ACFE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5FA7832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385F30A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6DA6D6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74A4EAF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w:t>
            </w:r>
          </w:p>
        </w:tc>
        <w:tc>
          <w:tcPr>
            <w:tcW w:w="251" w:type="pct"/>
            <w:shd w:val="clear" w:color="auto" w:fill="auto"/>
            <w:vAlign w:val="center"/>
          </w:tcPr>
          <w:p w14:paraId="75D766B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38D4C7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EBBF33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B6E210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AF4FAA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0340C9F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790AE6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348026BA">
            <w:pPr>
              <w:spacing w:after="0" w:line="240" w:lineRule="auto"/>
              <w:rPr>
                <w:rFonts w:ascii="Times New Roman" w:hAnsi="Times New Roman" w:eastAsia="Times New Roman" w:cs="Times New Roman"/>
                <w:color w:val="000000"/>
                <w:sz w:val="18"/>
                <w:szCs w:val="18"/>
                <w:lang w:eastAsia="pl-PL"/>
              </w:rPr>
            </w:pPr>
          </w:p>
        </w:tc>
      </w:tr>
      <w:tr w14:paraId="1C65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2F5223A0">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1.3</w:t>
            </w:r>
          </w:p>
        </w:tc>
        <w:tc>
          <w:tcPr>
            <w:tcW w:w="708" w:type="pct"/>
            <w:shd w:val="clear" w:color="auto" w:fill="auto"/>
            <w:vAlign w:val="center"/>
          </w:tcPr>
          <w:p w14:paraId="7D2D798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Rozbudowa integracyjnej oferty infrastruktury publicznej </w:t>
            </w:r>
          </w:p>
        </w:tc>
        <w:tc>
          <w:tcPr>
            <w:tcW w:w="814" w:type="pct"/>
            <w:shd w:val="clear" w:color="000000" w:fill="FFFFFF"/>
            <w:vAlign w:val="center"/>
          </w:tcPr>
          <w:p w14:paraId="549B358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Liczba doposażonych instytucji kultury, zbudowanej lub rozbudowanej infrastruktury publicznej </w:t>
            </w:r>
          </w:p>
        </w:tc>
        <w:tc>
          <w:tcPr>
            <w:tcW w:w="248" w:type="pct"/>
            <w:shd w:val="clear" w:color="auto" w:fill="auto"/>
            <w:vAlign w:val="center"/>
          </w:tcPr>
          <w:p w14:paraId="6161A35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79C4CB0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0DAE884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w:t>
            </w:r>
          </w:p>
        </w:tc>
        <w:tc>
          <w:tcPr>
            <w:tcW w:w="251" w:type="pct"/>
            <w:shd w:val="clear" w:color="auto" w:fill="auto"/>
            <w:vAlign w:val="center"/>
          </w:tcPr>
          <w:p w14:paraId="7BAE6AB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6D421D9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C77168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1FA83B0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3EDF47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AC7EFB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34416B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62794F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78B7E1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6D70D341">
            <w:pPr>
              <w:spacing w:after="0" w:line="240" w:lineRule="auto"/>
              <w:rPr>
                <w:rFonts w:ascii="Times New Roman" w:hAnsi="Times New Roman" w:eastAsia="Times New Roman" w:cs="Times New Roman"/>
                <w:color w:val="000000"/>
                <w:sz w:val="18"/>
                <w:szCs w:val="18"/>
                <w:lang w:eastAsia="pl-PL"/>
              </w:rPr>
            </w:pPr>
          </w:p>
        </w:tc>
      </w:tr>
      <w:tr w14:paraId="6491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744D4C1F">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1.4</w:t>
            </w:r>
          </w:p>
        </w:tc>
        <w:tc>
          <w:tcPr>
            <w:tcW w:w="708" w:type="pct"/>
            <w:shd w:val="clear" w:color="auto" w:fill="auto"/>
            <w:vAlign w:val="center"/>
          </w:tcPr>
          <w:p w14:paraId="546E3BF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Integracja i wzmacnianie aktywności osób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w niekorzystnej sytuacji – osoby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z niepełnosprawnościami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ich opiekunowie</w:t>
            </w:r>
          </w:p>
        </w:tc>
        <w:tc>
          <w:tcPr>
            <w:tcW w:w="814" w:type="pct"/>
            <w:shd w:val="clear" w:color="000000" w:fill="FFFFFF"/>
            <w:vAlign w:val="center"/>
          </w:tcPr>
          <w:p w14:paraId="24006D7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3F755C0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14586FE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1FC9D85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D7C8EB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4E7CD76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w:t>
            </w:r>
          </w:p>
        </w:tc>
        <w:tc>
          <w:tcPr>
            <w:tcW w:w="251" w:type="pct"/>
            <w:shd w:val="clear" w:color="auto" w:fill="auto"/>
            <w:vAlign w:val="center"/>
          </w:tcPr>
          <w:p w14:paraId="2660761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D9F2AD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E3C70A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FBB512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024F06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42771D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847177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3A5B8885">
            <w:pPr>
              <w:spacing w:after="0" w:line="240" w:lineRule="auto"/>
              <w:rPr>
                <w:rFonts w:ascii="Times New Roman" w:hAnsi="Times New Roman" w:eastAsia="Times New Roman" w:cs="Times New Roman"/>
                <w:color w:val="000000"/>
                <w:sz w:val="18"/>
                <w:szCs w:val="18"/>
                <w:lang w:eastAsia="pl-PL"/>
              </w:rPr>
            </w:pPr>
          </w:p>
        </w:tc>
      </w:tr>
      <w:tr w14:paraId="20B2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2F64920D">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1.5</w:t>
            </w:r>
          </w:p>
        </w:tc>
        <w:tc>
          <w:tcPr>
            <w:tcW w:w="708" w:type="pct"/>
            <w:shd w:val="clear" w:color="auto" w:fill="auto"/>
            <w:vAlign w:val="center"/>
          </w:tcPr>
          <w:p w14:paraId="4043CF5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Poznanie i zachowanie dziedzictwa kulturowego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naturalnego</w:t>
            </w:r>
          </w:p>
        </w:tc>
        <w:tc>
          <w:tcPr>
            <w:tcW w:w="814" w:type="pct"/>
            <w:shd w:val="clear" w:color="000000" w:fill="FFFFFF"/>
            <w:vAlign w:val="center"/>
          </w:tcPr>
          <w:p w14:paraId="0477306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6B889E6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7332D8F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00B9A6D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w:t>
            </w:r>
          </w:p>
        </w:tc>
        <w:tc>
          <w:tcPr>
            <w:tcW w:w="251" w:type="pct"/>
            <w:shd w:val="clear" w:color="auto" w:fill="auto"/>
            <w:vAlign w:val="center"/>
          </w:tcPr>
          <w:p w14:paraId="6D42415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21D2CD5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F1CD40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FFF04A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56375E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03AE1D8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9AF36A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1CFAAF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6DF5FF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72722999">
            <w:pPr>
              <w:spacing w:after="0" w:line="240" w:lineRule="auto"/>
              <w:rPr>
                <w:rFonts w:ascii="Times New Roman" w:hAnsi="Times New Roman" w:eastAsia="Times New Roman" w:cs="Times New Roman"/>
                <w:color w:val="000000"/>
                <w:sz w:val="18"/>
                <w:szCs w:val="18"/>
                <w:lang w:eastAsia="pl-PL"/>
              </w:rPr>
            </w:pPr>
          </w:p>
        </w:tc>
      </w:tr>
      <w:tr w14:paraId="480B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0810B1FA">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1.6</w:t>
            </w:r>
          </w:p>
        </w:tc>
        <w:tc>
          <w:tcPr>
            <w:tcW w:w="708" w:type="pct"/>
            <w:shd w:val="clear" w:color="auto" w:fill="auto"/>
            <w:vAlign w:val="center"/>
          </w:tcPr>
          <w:p w14:paraId="0388722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Włączenia cyfrowe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aktywizacja </w:t>
            </w:r>
          </w:p>
        </w:tc>
        <w:tc>
          <w:tcPr>
            <w:tcW w:w="814" w:type="pct"/>
            <w:shd w:val="clear" w:color="000000" w:fill="FFFFFF"/>
            <w:vAlign w:val="center"/>
          </w:tcPr>
          <w:p w14:paraId="248F193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20C6C91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051D521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50E33B4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w:t>
            </w:r>
          </w:p>
        </w:tc>
        <w:tc>
          <w:tcPr>
            <w:tcW w:w="251" w:type="pct"/>
            <w:shd w:val="clear" w:color="auto" w:fill="auto"/>
            <w:vAlign w:val="center"/>
          </w:tcPr>
          <w:p w14:paraId="38662DD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42F8A40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7B8CEF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7E7FB2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99B97F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1225F9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EB9CA7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8983FD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3D71A4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3E185F47">
            <w:pPr>
              <w:spacing w:after="0" w:line="240" w:lineRule="auto"/>
              <w:rPr>
                <w:rFonts w:ascii="Times New Roman" w:hAnsi="Times New Roman" w:eastAsia="Times New Roman" w:cs="Times New Roman"/>
                <w:color w:val="000000"/>
                <w:sz w:val="18"/>
                <w:szCs w:val="18"/>
                <w:lang w:eastAsia="pl-PL"/>
              </w:rPr>
            </w:pPr>
          </w:p>
        </w:tc>
      </w:tr>
      <w:tr w14:paraId="41C8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0C3C9E29">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1.7</w:t>
            </w:r>
          </w:p>
        </w:tc>
        <w:tc>
          <w:tcPr>
            <w:tcW w:w="708" w:type="pct"/>
            <w:shd w:val="clear" w:color="auto" w:fill="auto"/>
            <w:vAlign w:val="center"/>
          </w:tcPr>
          <w:p w14:paraId="0C8C47E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Zwiększenie oferty spędzania czasu wolnego wykorzystującej dziedzictwo naturalne i/lub kulturowe wynikających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z Koncepcji Smart Village – operacje realizowane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w partnerstwie lokalnym</w:t>
            </w:r>
          </w:p>
        </w:tc>
        <w:tc>
          <w:tcPr>
            <w:tcW w:w="814" w:type="pct"/>
            <w:shd w:val="clear" w:color="000000" w:fill="FFFFFF"/>
            <w:vAlign w:val="center"/>
          </w:tcPr>
          <w:p w14:paraId="7CAEA3C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52CD309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24CD753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79164B1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74CA81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02D8A33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3</w:t>
            </w:r>
          </w:p>
        </w:tc>
        <w:tc>
          <w:tcPr>
            <w:tcW w:w="251" w:type="pct"/>
            <w:shd w:val="clear" w:color="auto" w:fill="auto"/>
            <w:vAlign w:val="center"/>
          </w:tcPr>
          <w:p w14:paraId="4BFA454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B41906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D4D08A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0F51844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54B4AB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47E228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6004D6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74A6E5BF">
            <w:pPr>
              <w:spacing w:after="0" w:line="240" w:lineRule="auto"/>
              <w:rPr>
                <w:rFonts w:ascii="Times New Roman" w:hAnsi="Times New Roman" w:eastAsia="Times New Roman" w:cs="Times New Roman"/>
                <w:color w:val="000000"/>
                <w:sz w:val="18"/>
                <w:szCs w:val="18"/>
                <w:lang w:eastAsia="pl-PL"/>
              </w:rPr>
            </w:pPr>
          </w:p>
        </w:tc>
      </w:tr>
      <w:tr w14:paraId="7DBF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50B1DA1F">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1.8</w:t>
            </w:r>
          </w:p>
        </w:tc>
        <w:tc>
          <w:tcPr>
            <w:tcW w:w="708" w:type="pct"/>
            <w:shd w:val="clear" w:color="auto" w:fill="auto"/>
            <w:vAlign w:val="center"/>
          </w:tcPr>
          <w:p w14:paraId="5209B15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Kojarzenie partnerów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 xml:space="preserve">i animowanie do realizacji wspólnych projektów,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w tym przygotowanie do wdrożenia idei Smart Villages</w:t>
            </w:r>
          </w:p>
        </w:tc>
        <w:tc>
          <w:tcPr>
            <w:tcW w:w="814" w:type="pct"/>
            <w:shd w:val="clear" w:color="000000" w:fill="FFFFFF"/>
            <w:vAlign w:val="center"/>
          </w:tcPr>
          <w:p w14:paraId="58E4A3B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566A09F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3D0CF1B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34A1E10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142CAC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3A6AB44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w:t>
            </w:r>
          </w:p>
        </w:tc>
        <w:tc>
          <w:tcPr>
            <w:tcW w:w="251" w:type="pct"/>
            <w:shd w:val="clear" w:color="auto" w:fill="auto"/>
            <w:vAlign w:val="center"/>
          </w:tcPr>
          <w:p w14:paraId="2A91C14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4B1C72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332A3C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8C2A78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EA16E1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2081FF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CC05EB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2AFE6D98">
            <w:pPr>
              <w:spacing w:after="0" w:line="240" w:lineRule="auto"/>
              <w:rPr>
                <w:rFonts w:ascii="Times New Roman" w:hAnsi="Times New Roman" w:eastAsia="Times New Roman" w:cs="Times New Roman"/>
                <w:color w:val="000000"/>
                <w:sz w:val="18"/>
                <w:szCs w:val="18"/>
                <w:lang w:eastAsia="pl-PL"/>
              </w:rPr>
            </w:pPr>
          </w:p>
        </w:tc>
      </w:tr>
      <w:tr w14:paraId="1F82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2B6B2B66">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1.9</w:t>
            </w:r>
          </w:p>
        </w:tc>
        <w:tc>
          <w:tcPr>
            <w:tcW w:w="708" w:type="pct"/>
            <w:shd w:val="clear" w:color="auto" w:fill="auto"/>
            <w:vAlign w:val="center"/>
          </w:tcPr>
          <w:p w14:paraId="496CBCC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Wsparcie inicjatyw oddolnych wynikających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Koncepcji Smart Village</w:t>
            </w:r>
          </w:p>
        </w:tc>
        <w:tc>
          <w:tcPr>
            <w:tcW w:w="814" w:type="pct"/>
            <w:shd w:val="clear" w:color="000000" w:fill="FFFFFF"/>
            <w:vAlign w:val="center"/>
          </w:tcPr>
          <w:p w14:paraId="6B93C8A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1F85BA1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68419F5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388B686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732464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3EBE4D4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w:t>
            </w:r>
          </w:p>
        </w:tc>
        <w:tc>
          <w:tcPr>
            <w:tcW w:w="251" w:type="pct"/>
            <w:shd w:val="clear" w:color="auto" w:fill="auto"/>
            <w:vAlign w:val="center"/>
          </w:tcPr>
          <w:p w14:paraId="25A8A8C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260261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DA2695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AAF394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F34D4A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08CFA4B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0EE352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6D7AEA7E">
            <w:pPr>
              <w:spacing w:after="0" w:line="240" w:lineRule="auto"/>
              <w:rPr>
                <w:rFonts w:ascii="Times New Roman" w:hAnsi="Times New Roman" w:eastAsia="Times New Roman" w:cs="Times New Roman"/>
                <w:color w:val="000000"/>
                <w:sz w:val="18"/>
                <w:szCs w:val="18"/>
                <w:lang w:eastAsia="pl-PL"/>
              </w:rPr>
            </w:pPr>
          </w:p>
        </w:tc>
      </w:tr>
      <w:tr w14:paraId="77CA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79FB1060">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1.10</w:t>
            </w:r>
          </w:p>
        </w:tc>
        <w:tc>
          <w:tcPr>
            <w:tcW w:w="708" w:type="pct"/>
            <w:shd w:val="clear" w:color="auto" w:fill="auto"/>
            <w:vAlign w:val="center"/>
          </w:tcPr>
          <w:p w14:paraId="2FB0384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Przygotowanie partnerów lokalnych do realizacji operacji wynikających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z idei Smart Village</w:t>
            </w:r>
          </w:p>
        </w:tc>
        <w:tc>
          <w:tcPr>
            <w:tcW w:w="814" w:type="pct"/>
            <w:shd w:val="clear" w:color="000000" w:fill="FFFFFF"/>
            <w:vAlign w:val="center"/>
          </w:tcPr>
          <w:p w14:paraId="166AAF0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15C8F60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599378F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09951A7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825F71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23840FD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w:t>
            </w:r>
          </w:p>
        </w:tc>
        <w:tc>
          <w:tcPr>
            <w:tcW w:w="251" w:type="pct"/>
            <w:shd w:val="clear" w:color="auto" w:fill="auto"/>
            <w:vAlign w:val="center"/>
          </w:tcPr>
          <w:p w14:paraId="1C6125B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5F1B40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495423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D1B377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82B9C2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C119E4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AF16F5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6B49583C">
            <w:pPr>
              <w:spacing w:after="0" w:line="240" w:lineRule="auto"/>
              <w:rPr>
                <w:rFonts w:ascii="Times New Roman" w:hAnsi="Times New Roman" w:eastAsia="Times New Roman" w:cs="Times New Roman"/>
                <w:color w:val="000000"/>
                <w:sz w:val="18"/>
                <w:szCs w:val="18"/>
                <w:lang w:eastAsia="pl-PL"/>
              </w:rPr>
            </w:pPr>
          </w:p>
        </w:tc>
      </w:tr>
      <w:tr w14:paraId="3CBD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3E9D0325">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1.11</w:t>
            </w:r>
          </w:p>
        </w:tc>
        <w:tc>
          <w:tcPr>
            <w:tcW w:w="708" w:type="pct"/>
            <w:shd w:val="clear" w:color="auto" w:fill="auto"/>
            <w:vAlign w:val="center"/>
          </w:tcPr>
          <w:p w14:paraId="288E873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Opracowanie Koncepcji Smart Village – inteligentnej wsi </w:t>
            </w:r>
          </w:p>
        </w:tc>
        <w:tc>
          <w:tcPr>
            <w:tcW w:w="814" w:type="pct"/>
            <w:shd w:val="clear" w:color="000000" w:fill="FFFFFF"/>
            <w:vAlign w:val="center"/>
          </w:tcPr>
          <w:p w14:paraId="7EE654F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6555AD7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22EBA6B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4566713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w:t>
            </w:r>
          </w:p>
        </w:tc>
        <w:tc>
          <w:tcPr>
            <w:tcW w:w="251" w:type="pct"/>
            <w:shd w:val="clear" w:color="auto" w:fill="auto"/>
            <w:vAlign w:val="center"/>
          </w:tcPr>
          <w:p w14:paraId="061275E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0D41920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78C0D7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2ECFF1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903216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8250C3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05167E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E0ADF6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22A5DB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6E5B399B">
            <w:pPr>
              <w:spacing w:after="0" w:line="240" w:lineRule="auto"/>
              <w:rPr>
                <w:rFonts w:ascii="Times New Roman" w:hAnsi="Times New Roman" w:eastAsia="Times New Roman" w:cs="Times New Roman"/>
                <w:color w:val="000000"/>
                <w:sz w:val="18"/>
                <w:szCs w:val="18"/>
                <w:lang w:eastAsia="pl-PL"/>
              </w:rPr>
            </w:pPr>
          </w:p>
        </w:tc>
      </w:tr>
      <w:tr w14:paraId="3DAE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5D04CD0F">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1.12</w:t>
            </w:r>
          </w:p>
        </w:tc>
        <w:tc>
          <w:tcPr>
            <w:tcW w:w="708" w:type="pct"/>
            <w:shd w:val="clear" w:color="auto" w:fill="auto"/>
            <w:vAlign w:val="center"/>
          </w:tcPr>
          <w:p w14:paraId="1C3BAF4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Zbudowanie oferty rozwoju, spędzania czasu wolnego i rekreacji dla mieszkańców LGD – podejmowanie działalności gospodarczej</w:t>
            </w:r>
          </w:p>
        </w:tc>
        <w:tc>
          <w:tcPr>
            <w:tcW w:w="814" w:type="pct"/>
            <w:shd w:val="clear" w:color="000000" w:fill="FFFFFF"/>
            <w:vAlign w:val="center"/>
          </w:tcPr>
          <w:p w14:paraId="38C06082">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47431EA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74FC258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083816E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w:t>
            </w:r>
          </w:p>
        </w:tc>
        <w:tc>
          <w:tcPr>
            <w:tcW w:w="251" w:type="pct"/>
            <w:shd w:val="clear" w:color="auto" w:fill="auto"/>
            <w:vAlign w:val="center"/>
          </w:tcPr>
          <w:p w14:paraId="6AD3E07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5D56ACF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13740A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1FB7F8D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FD3514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18E33CC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09FB2E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99E1CA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1BD43D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04E0C33D">
            <w:pPr>
              <w:spacing w:after="0" w:line="240" w:lineRule="auto"/>
              <w:rPr>
                <w:rFonts w:ascii="Times New Roman" w:hAnsi="Times New Roman" w:eastAsia="Times New Roman" w:cs="Times New Roman"/>
                <w:color w:val="000000"/>
                <w:sz w:val="18"/>
                <w:szCs w:val="18"/>
                <w:lang w:eastAsia="pl-PL"/>
              </w:rPr>
            </w:pPr>
          </w:p>
        </w:tc>
      </w:tr>
      <w:tr w14:paraId="1E07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6F800B21">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1.13</w:t>
            </w:r>
          </w:p>
        </w:tc>
        <w:tc>
          <w:tcPr>
            <w:tcW w:w="708" w:type="pct"/>
            <w:shd w:val="clear" w:color="auto" w:fill="auto"/>
            <w:vAlign w:val="center"/>
          </w:tcPr>
          <w:p w14:paraId="1E37DCA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Zbudowanie oferty rozwoju, spędzania czasu wolnego i rekreacji dla mieszkańców LGD – rozwój działalności gospodarczej</w:t>
            </w:r>
          </w:p>
        </w:tc>
        <w:tc>
          <w:tcPr>
            <w:tcW w:w="814" w:type="pct"/>
            <w:shd w:val="clear" w:color="000000" w:fill="FFFFFF"/>
            <w:vAlign w:val="center"/>
          </w:tcPr>
          <w:p w14:paraId="601919F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3E06A32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1FAECBE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0FD0BBC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3</w:t>
            </w:r>
          </w:p>
        </w:tc>
        <w:tc>
          <w:tcPr>
            <w:tcW w:w="251" w:type="pct"/>
            <w:shd w:val="clear" w:color="auto" w:fill="auto"/>
            <w:vAlign w:val="center"/>
          </w:tcPr>
          <w:p w14:paraId="55C1765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79E6FE9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DC2C0A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36584A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89E1D0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4CBAD9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4D062B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967B19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A13CC2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548C1B7B">
            <w:pPr>
              <w:spacing w:after="0" w:line="240" w:lineRule="auto"/>
              <w:rPr>
                <w:rFonts w:ascii="Times New Roman" w:hAnsi="Times New Roman" w:eastAsia="Times New Roman" w:cs="Times New Roman"/>
                <w:color w:val="000000"/>
                <w:sz w:val="18"/>
                <w:szCs w:val="18"/>
                <w:lang w:eastAsia="pl-PL"/>
              </w:rPr>
            </w:pPr>
          </w:p>
        </w:tc>
      </w:tr>
      <w:tr w14:paraId="616A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14967965">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1.14</w:t>
            </w:r>
          </w:p>
        </w:tc>
        <w:tc>
          <w:tcPr>
            <w:tcW w:w="708" w:type="pct"/>
            <w:shd w:val="clear" w:color="auto" w:fill="auto"/>
            <w:vAlign w:val="center"/>
          </w:tcPr>
          <w:p w14:paraId="6BBBC34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Utworzenie lub rozwój gospodarstwa agroturystycznego</w:t>
            </w:r>
          </w:p>
        </w:tc>
        <w:tc>
          <w:tcPr>
            <w:tcW w:w="814" w:type="pct"/>
            <w:shd w:val="clear" w:color="000000" w:fill="FFFFFF"/>
            <w:vAlign w:val="center"/>
          </w:tcPr>
          <w:p w14:paraId="1D402FE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4279623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45B8C60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5C918DF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w:t>
            </w:r>
          </w:p>
        </w:tc>
        <w:tc>
          <w:tcPr>
            <w:tcW w:w="251" w:type="pct"/>
            <w:shd w:val="clear" w:color="auto" w:fill="auto"/>
            <w:vAlign w:val="center"/>
          </w:tcPr>
          <w:p w14:paraId="56FF7ED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22B1D69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B8272E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67F51D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D73DFA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158D4C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7E7A37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C770FE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EA90A0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05F34A00">
            <w:pPr>
              <w:spacing w:after="0" w:line="240" w:lineRule="auto"/>
              <w:rPr>
                <w:rFonts w:ascii="Times New Roman" w:hAnsi="Times New Roman" w:eastAsia="Times New Roman" w:cs="Times New Roman"/>
                <w:color w:val="000000"/>
                <w:sz w:val="18"/>
                <w:szCs w:val="18"/>
                <w:lang w:eastAsia="pl-PL"/>
              </w:rPr>
            </w:pPr>
          </w:p>
        </w:tc>
      </w:tr>
      <w:tr w14:paraId="1D37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shd w:val="clear" w:color="auto" w:fill="auto"/>
            <w:noWrap/>
            <w:vAlign w:val="center"/>
          </w:tcPr>
          <w:p w14:paraId="51CCD14B">
            <w:pPr>
              <w:spacing w:after="0" w:line="240" w:lineRule="auto"/>
              <w:jc w:val="right"/>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1.15</w:t>
            </w:r>
          </w:p>
        </w:tc>
        <w:tc>
          <w:tcPr>
            <w:tcW w:w="708" w:type="pct"/>
            <w:shd w:val="clear" w:color="auto" w:fill="auto"/>
            <w:vAlign w:val="center"/>
          </w:tcPr>
          <w:p w14:paraId="3986017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Utworzenia lub rozwój zagrody edukacyjnej</w:t>
            </w:r>
          </w:p>
        </w:tc>
        <w:tc>
          <w:tcPr>
            <w:tcW w:w="814" w:type="pct"/>
            <w:shd w:val="clear" w:color="000000" w:fill="FFFFFF"/>
            <w:vAlign w:val="center"/>
          </w:tcPr>
          <w:p w14:paraId="64F2F63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Liczba inicjatyw</w:t>
            </w:r>
          </w:p>
        </w:tc>
        <w:tc>
          <w:tcPr>
            <w:tcW w:w="248" w:type="pct"/>
            <w:shd w:val="clear" w:color="auto" w:fill="auto"/>
            <w:vAlign w:val="center"/>
          </w:tcPr>
          <w:p w14:paraId="57DB85F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1BAF88E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38250CB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w:t>
            </w:r>
          </w:p>
        </w:tc>
        <w:tc>
          <w:tcPr>
            <w:tcW w:w="251" w:type="pct"/>
            <w:shd w:val="clear" w:color="auto" w:fill="auto"/>
            <w:vAlign w:val="center"/>
          </w:tcPr>
          <w:p w14:paraId="0066BFA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8" w:type="pct"/>
            <w:shd w:val="clear" w:color="auto" w:fill="auto"/>
            <w:vAlign w:val="center"/>
          </w:tcPr>
          <w:p w14:paraId="00D308F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B0CA8E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6FB889B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587D77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1761F40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3DB9DC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B4121C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CB9AF8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0A8EA409">
            <w:pPr>
              <w:spacing w:after="0" w:line="240" w:lineRule="auto"/>
              <w:rPr>
                <w:rFonts w:ascii="Times New Roman" w:hAnsi="Times New Roman" w:eastAsia="Times New Roman" w:cs="Times New Roman"/>
                <w:color w:val="000000"/>
                <w:sz w:val="18"/>
                <w:szCs w:val="18"/>
                <w:lang w:eastAsia="pl-PL"/>
              </w:rPr>
            </w:pPr>
          </w:p>
        </w:tc>
      </w:tr>
      <w:tr w14:paraId="6A9F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vMerge w:val="restart"/>
            <w:shd w:val="clear" w:color="auto" w:fill="auto"/>
            <w:noWrap/>
            <w:vAlign w:val="center"/>
          </w:tcPr>
          <w:p w14:paraId="794CBA7F">
            <w:pPr>
              <w:spacing w:after="0" w:line="240" w:lineRule="auto"/>
              <w:jc w:val="center"/>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1.16</w:t>
            </w:r>
          </w:p>
        </w:tc>
        <w:tc>
          <w:tcPr>
            <w:tcW w:w="708" w:type="pct"/>
            <w:vMerge w:val="restart"/>
            <w:shd w:val="clear" w:color="auto" w:fill="auto"/>
            <w:vAlign w:val="center"/>
          </w:tcPr>
          <w:p w14:paraId="0F9B93D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Rozwój kultury, dziedzictwa kulturowego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turystyki (FEM EFRR)</w:t>
            </w:r>
          </w:p>
        </w:tc>
        <w:tc>
          <w:tcPr>
            <w:tcW w:w="814" w:type="pct"/>
            <w:shd w:val="clear" w:color="auto" w:fill="auto"/>
            <w:vAlign w:val="center"/>
          </w:tcPr>
          <w:p w14:paraId="5E82B88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RCO 77 – liczba obiektów kulturalnych i turystycznych objętych wsparciem</w:t>
            </w:r>
          </w:p>
        </w:tc>
        <w:tc>
          <w:tcPr>
            <w:tcW w:w="248" w:type="pct"/>
            <w:shd w:val="clear" w:color="auto" w:fill="auto"/>
            <w:vAlign w:val="center"/>
          </w:tcPr>
          <w:p w14:paraId="57EDF9B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5F90F5A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572D1F9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922FEA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4E917D4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w:t>
            </w:r>
          </w:p>
        </w:tc>
        <w:tc>
          <w:tcPr>
            <w:tcW w:w="251" w:type="pct"/>
            <w:shd w:val="clear" w:color="auto" w:fill="auto"/>
            <w:vAlign w:val="center"/>
          </w:tcPr>
          <w:p w14:paraId="3E80EB6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2D2E47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F93AF9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7FC38E7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C3D52E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7A35D4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13E97C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restart"/>
            <w:shd w:val="clear" w:color="auto" w:fill="auto"/>
            <w:vAlign w:val="center"/>
          </w:tcPr>
          <w:p w14:paraId="19519A7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FEM</w:t>
            </w:r>
          </w:p>
        </w:tc>
      </w:tr>
      <w:tr w14:paraId="0BDA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vMerge w:val="continue"/>
            <w:vAlign w:val="center"/>
          </w:tcPr>
          <w:p w14:paraId="06F0785D">
            <w:pPr>
              <w:spacing w:after="0" w:line="240" w:lineRule="auto"/>
              <w:rPr>
                <w:rFonts w:ascii="Times New Roman" w:hAnsi="Times New Roman" w:eastAsia="Times New Roman" w:cs="Times New Roman"/>
                <w:color w:val="000000"/>
                <w:sz w:val="16"/>
                <w:szCs w:val="16"/>
                <w:lang w:eastAsia="pl-PL"/>
              </w:rPr>
            </w:pPr>
          </w:p>
        </w:tc>
        <w:tc>
          <w:tcPr>
            <w:tcW w:w="708" w:type="pct"/>
            <w:vMerge w:val="continue"/>
            <w:vAlign w:val="center"/>
          </w:tcPr>
          <w:p w14:paraId="52464394">
            <w:pPr>
              <w:spacing w:after="0" w:line="240" w:lineRule="auto"/>
              <w:rPr>
                <w:rFonts w:ascii="Times New Roman" w:hAnsi="Times New Roman" w:eastAsia="Times New Roman" w:cs="Times New Roman"/>
                <w:color w:val="000000"/>
                <w:sz w:val="18"/>
                <w:szCs w:val="18"/>
                <w:lang w:eastAsia="pl-PL"/>
              </w:rPr>
            </w:pPr>
          </w:p>
        </w:tc>
        <w:tc>
          <w:tcPr>
            <w:tcW w:w="814" w:type="pct"/>
            <w:shd w:val="clear" w:color="auto" w:fill="auto"/>
            <w:vAlign w:val="center"/>
          </w:tcPr>
          <w:p w14:paraId="6C9B5CA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PLRO 135 – długość wspartych szlaków turystycznych</w:t>
            </w:r>
          </w:p>
        </w:tc>
        <w:tc>
          <w:tcPr>
            <w:tcW w:w="248" w:type="pct"/>
            <w:shd w:val="clear" w:color="auto" w:fill="auto"/>
            <w:vAlign w:val="center"/>
          </w:tcPr>
          <w:p w14:paraId="1F3E755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3A28826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3F20075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AC708A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50A392E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1" w:type="pct"/>
            <w:shd w:val="clear" w:color="auto" w:fill="auto"/>
            <w:vAlign w:val="center"/>
          </w:tcPr>
          <w:p w14:paraId="2E48B15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5C9351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307B52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9BDC9F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0FB2F4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1F50A58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3EA3E5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7C66B92A">
            <w:pPr>
              <w:spacing w:after="0" w:line="240" w:lineRule="auto"/>
              <w:rPr>
                <w:rFonts w:ascii="Times New Roman" w:hAnsi="Times New Roman" w:eastAsia="Times New Roman" w:cs="Times New Roman"/>
                <w:color w:val="000000"/>
                <w:sz w:val="18"/>
                <w:szCs w:val="18"/>
                <w:lang w:eastAsia="pl-PL"/>
              </w:rPr>
            </w:pPr>
          </w:p>
        </w:tc>
      </w:tr>
      <w:tr w14:paraId="25FF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vMerge w:val="restart"/>
            <w:shd w:val="clear" w:color="auto" w:fill="auto"/>
            <w:noWrap/>
            <w:vAlign w:val="center"/>
          </w:tcPr>
          <w:p w14:paraId="58CF7CFE">
            <w:pPr>
              <w:spacing w:after="0" w:line="240" w:lineRule="auto"/>
              <w:jc w:val="center"/>
              <w:rPr>
                <w:rFonts w:ascii="Times New Roman" w:hAnsi="Times New Roman" w:eastAsia="Times New Roman" w:cs="Times New Roman"/>
                <w:color w:val="000000"/>
                <w:sz w:val="16"/>
                <w:szCs w:val="16"/>
                <w:lang w:eastAsia="pl-PL"/>
              </w:rPr>
            </w:pPr>
            <w:r>
              <w:rPr>
                <w:rFonts w:ascii="Times New Roman" w:hAnsi="Times New Roman" w:eastAsia="Times New Roman" w:cs="Times New Roman"/>
                <w:color w:val="000000"/>
                <w:sz w:val="16"/>
                <w:szCs w:val="16"/>
                <w:lang w:eastAsia="pl-PL"/>
              </w:rPr>
              <w:t>1.17</w:t>
            </w:r>
          </w:p>
        </w:tc>
        <w:tc>
          <w:tcPr>
            <w:tcW w:w="708" w:type="pct"/>
            <w:vMerge w:val="restart"/>
            <w:shd w:val="clear" w:color="auto" w:fill="auto"/>
            <w:vAlign w:val="center"/>
          </w:tcPr>
          <w:p w14:paraId="2AFAFC5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Wspieranie oddolnych inicjatyw na rzecz aktywnego włączenia społecznego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(FEM EFS+)</w:t>
            </w:r>
          </w:p>
        </w:tc>
        <w:tc>
          <w:tcPr>
            <w:tcW w:w="814" w:type="pct"/>
            <w:shd w:val="clear" w:color="auto" w:fill="auto"/>
            <w:vAlign w:val="center"/>
          </w:tcPr>
          <w:p w14:paraId="79AF1D7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PLKCO02 – liczba osób objętych usługami świadczonymi w społeczności lokalnej w programie</w:t>
            </w:r>
          </w:p>
        </w:tc>
        <w:tc>
          <w:tcPr>
            <w:tcW w:w="248" w:type="pct"/>
            <w:shd w:val="clear" w:color="auto" w:fill="auto"/>
            <w:vAlign w:val="center"/>
          </w:tcPr>
          <w:p w14:paraId="4E0A879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04FFB30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6082BB0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24CCB1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2717EDE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200</w:t>
            </w:r>
          </w:p>
        </w:tc>
        <w:tc>
          <w:tcPr>
            <w:tcW w:w="251" w:type="pct"/>
            <w:shd w:val="clear" w:color="auto" w:fill="auto"/>
            <w:vAlign w:val="center"/>
          </w:tcPr>
          <w:p w14:paraId="5C0E616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EBB85E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6B0C044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70D9F3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0A2D9D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328D43B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06C69B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0A20C3AA">
            <w:pPr>
              <w:spacing w:after="0" w:line="240" w:lineRule="auto"/>
              <w:rPr>
                <w:rFonts w:ascii="Times New Roman" w:hAnsi="Times New Roman" w:eastAsia="Times New Roman" w:cs="Times New Roman"/>
                <w:color w:val="000000"/>
                <w:sz w:val="18"/>
                <w:szCs w:val="18"/>
                <w:lang w:eastAsia="pl-PL"/>
              </w:rPr>
            </w:pPr>
          </w:p>
        </w:tc>
      </w:tr>
      <w:tr w14:paraId="56AB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162" w:type="pct"/>
            <w:vMerge w:val="continue"/>
            <w:vAlign w:val="center"/>
          </w:tcPr>
          <w:p w14:paraId="4301C717">
            <w:pPr>
              <w:spacing w:after="0" w:line="240" w:lineRule="auto"/>
              <w:rPr>
                <w:rFonts w:ascii="Times New Roman" w:hAnsi="Times New Roman" w:eastAsia="Times New Roman" w:cs="Times New Roman"/>
                <w:color w:val="000000"/>
                <w:sz w:val="16"/>
                <w:szCs w:val="16"/>
                <w:lang w:eastAsia="pl-PL"/>
              </w:rPr>
            </w:pPr>
          </w:p>
        </w:tc>
        <w:tc>
          <w:tcPr>
            <w:tcW w:w="708" w:type="pct"/>
            <w:vMerge w:val="continue"/>
            <w:vAlign w:val="center"/>
          </w:tcPr>
          <w:p w14:paraId="363F970C">
            <w:pPr>
              <w:spacing w:after="0" w:line="240" w:lineRule="auto"/>
              <w:rPr>
                <w:rFonts w:ascii="Times New Roman" w:hAnsi="Times New Roman" w:eastAsia="Times New Roman" w:cs="Times New Roman"/>
                <w:color w:val="000000"/>
                <w:sz w:val="16"/>
                <w:szCs w:val="16"/>
                <w:lang w:eastAsia="pl-PL"/>
              </w:rPr>
            </w:pPr>
          </w:p>
        </w:tc>
        <w:tc>
          <w:tcPr>
            <w:tcW w:w="814" w:type="pct"/>
            <w:shd w:val="clear" w:color="auto" w:fill="auto"/>
            <w:vAlign w:val="center"/>
          </w:tcPr>
          <w:p w14:paraId="40926B1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PLKCO03 – liczba opiekunów faktycznych/nieformalnych objętych wsparciem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w programie</w:t>
            </w:r>
          </w:p>
        </w:tc>
        <w:tc>
          <w:tcPr>
            <w:tcW w:w="248" w:type="pct"/>
            <w:shd w:val="clear" w:color="auto" w:fill="auto"/>
            <w:vAlign w:val="center"/>
          </w:tcPr>
          <w:p w14:paraId="4C23595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03279F2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62" w:type="pct"/>
            <w:shd w:val="clear" w:color="auto" w:fill="auto"/>
            <w:vAlign w:val="center"/>
          </w:tcPr>
          <w:p w14:paraId="22122DC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E73207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auto" w:fill="auto"/>
            <w:vAlign w:val="center"/>
          </w:tcPr>
          <w:p w14:paraId="11B202D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w:t>
            </w:r>
          </w:p>
        </w:tc>
        <w:tc>
          <w:tcPr>
            <w:tcW w:w="251" w:type="pct"/>
            <w:shd w:val="clear" w:color="auto" w:fill="auto"/>
            <w:vAlign w:val="center"/>
          </w:tcPr>
          <w:p w14:paraId="752320F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5FB43BB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0636D6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2168589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B1C5D3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46" w:type="pct"/>
            <w:shd w:val="clear" w:color="auto" w:fill="auto"/>
            <w:vAlign w:val="center"/>
          </w:tcPr>
          <w:p w14:paraId="4A31138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57C7B26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231423BD">
            <w:pPr>
              <w:spacing w:after="0" w:line="240" w:lineRule="auto"/>
              <w:rPr>
                <w:rFonts w:ascii="Times New Roman" w:hAnsi="Times New Roman" w:eastAsia="Times New Roman" w:cs="Times New Roman"/>
                <w:color w:val="000000"/>
                <w:sz w:val="18"/>
                <w:szCs w:val="18"/>
                <w:lang w:eastAsia="pl-PL"/>
              </w:rPr>
            </w:pPr>
          </w:p>
        </w:tc>
      </w:tr>
      <w:tr w14:paraId="1CA8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1749E4F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1.1</w:t>
            </w:r>
          </w:p>
        </w:tc>
        <w:tc>
          <w:tcPr>
            <w:tcW w:w="814" w:type="pct"/>
            <w:shd w:val="clear" w:color="000000" w:fill="FFFFFF"/>
            <w:vAlign w:val="center"/>
          </w:tcPr>
          <w:p w14:paraId="08E13F1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R.37 Wzrost gospodarczy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i zatrudnienie na obszarach wiejskich</w:t>
            </w:r>
          </w:p>
        </w:tc>
        <w:tc>
          <w:tcPr>
            <w:tcW w:w="248" w:type="pct"/>
            <w:shd w:val="clear" w:color="auto" w:fill="auto"/>
            <w:vAlign w:val="center"/>
          </w:tcPr>
          <w:p w14:paraId="443DC55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10C7B99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59270DA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w:t>
            </w:r>
          </w:p>
        </w:tc>
        <w:tc>
          <w:tcPr>
            <w:tcW w:w="251" w:type="pct"/>
            <w:shd w:val="clear" w:color="000000" w:fill="D9D9D9"/>
            <w:vAlign w:val="center"/>
          </w:tcPr>
          <w:p w14:paraId="4A42891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7591382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5F23137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5FAFA9F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7117E60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3CE0AC6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1243C49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4CDA8DE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782D31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restart"/>
            <w:shd w:val="clear" w:color="auto" w:fill="auto"/>
            <w:vAlign w:val="center"/>
          </w:tcPr>
          <w:p w14:paraId="70E858E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PS WPR</w:t>
            </w:r>
          </w:p>
        </w:tc>
      </w:tr>
      <w:tr w14:paraId="1105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743FBC5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1.2</w:t>
            </w:r>
          </w:p>
        </w:tc>
        <w:tc>
          <w:tcPr>
            <w:tcW w:w="814" w:type="pct"/>
            <w:shd w:val="clear" w:color="000000" w:fill="FFFFFF"/>
            <w:vAlign w:val="center"/>
          </w:tcPr>
          <w:p w14:paraId="4C28D9F3">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R.41PR Łączenie obszarów wiejskich w Europie</w:t>
            </w:r>
          </w:p>
        </w:tc>
        <w:tc>
          <w:tcPr>
            <w:tcW w:w="248" w:type="pct"/>
            <w:shd w:val="clear" w:color="auto" w:fill="auto"/>
            <w:vAlign w:val="center"/>
          </w:tcPr>
          <w:p w14:paraId="563E2DC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2A6FC1E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1C6D954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8 300</w:t>
            </w:r>
          </w:p>
        </w:tc>
        <w:tc>
          <w:tcPr>
            <w:tcW w:w="251" w:type="pct"/>
            <w:shd w:val="clear" w:color="000000" w:fill="D9D9D9"/>
            <w:vAlign w:val="center"/>
          </w:tcPr>
          <w:p w14:paraId="3303A12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2D4A140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7 000</w:t>
            </w:r>
          </w:p>
        </w:tc>
        <w:tc>
          <w:tcPr>
            <w:tcW w:w="251" w:type="pct"/>
            <w:shd w:val="clear" w:color="000000" w:fill="D9D9D9"/>
            <w:vAlign w:val="center"/>
          </w:tcPr>
          <w:p w14:paraId="0DEF5FF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334106C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60AEEDA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31DFA07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6B1CDB8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4D1F07D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3A7C7A5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546DBD55">
            <w:pPr>
              <w:spacing w:after="0" w:line="240" w:lineRule="auto"/>
              <w:jc w:val="center"/>
              <w:rPr>
                <w:rFonts w:ascii="Times New Roman" w:hAnsi="Times New Roman" w:eastAsia="Times New Roman" w:cs="Times New Roman"/>
                <w:color w:val="000000"/>
                <w:sz w:val="18"/>
                <w:szCs w:val="18"/>
                <w:lang w:eastAsia="pl-PL"/>
              </w:rPr>
            </w:pPr>
          </w:p>
        </w:tc>
      </w:tr>
      <w:tr w14:paraId="5C74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14F69EA7">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1.3</w:t>
            </w:r>
          </w:p>
        </w:tc>
        <w:tc>
          <w:tcPr>
            <w:tcW w:w="814" w:type="pct"/>
            <w:shd w:val="clear" w:color="000000" w:fill="FFFFFF"/>
            <w:vAlign w:val="center"/>
          </w:tcPr>
          <w:p w14:paraId="543121CB">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R.42 Promowanie włączenia społecznego</w:t>
            </w:r>
          </w:p>
        </w:tc>
        <w:tc>
          <w:tcPr>
            <w:tcW w:w="248" w:type="pct"/>
            <w:shd w:val="clear" w:color="auto" w:fill="auto"/>
            <w:vAlign w:val="center"/>
          </w:tcPr>
          <w:p w14:paraId="7BEA3A4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63CA348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5F4DA8D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4153D1E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47A80D1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140</w:t>
            </w:r>
          </w:p>
        </w:tc>
        <w:tc>
          <w:tcPr>
            <w:tcW w:w="251" w:type="pct"/>
            <w:shd w:val="clear" w:color="000000" w:fill="D9D9D9"/>
            <w:vAlign w:val="center"/>
          </w:tcPr>
          <w:p w14:paraId="150B0F7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645CEF1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5C4E362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3F80515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38BDEC1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69164A7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1733FF4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40D592F9">
            <w:pPr>
              <w:spacing w:after="0" w:line="240" w:lineRule="auto"/>
              <w:jc w:val="center"/>
              <w:rPr>
                <w:rFonts w:ascii="Times New Roman" w:hAnsi="Times New Roman" w:eastAsia="Times New Roman" w:cs="Times New Roman"/>
                <w:color w:val="000000"/>
                <w:sz w:val="18"/>
                <w:szCs w:val="18"/>
                <w:lang w:eastAsia="pl-PL"/>
              </w:rPr>
            </w:pPr>
          </w:p>
        </w:tc>
      </w:tr>
      <w:tr w14:paraId="65FB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70DBFB3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1.4</w:t>
            </w:r>
          </w:p>
        </w:tc>
        <w:tc>
          <w:tcPr>
            <w:tcW w:w="814" w:type="pct"/>
            <w:shd w:val="clear" w:color="000000" w:fill="FFFFFF"/>
            <w:vAlign w:val="center"/>
          </w:tcPr>
          <w:p w14:paraId="4241843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R.40 Inteligentna przemiana gospodarki wiejskiej</w:t>
            </w:r>
          </w:p>
        </w:tc>
        <w:tc>
          <w:tcPr>
            <w:tcW w:w="248" w:type="pct"/>
            <w:shd w:val="clear" w:color="auto" w:fill="auto"/>
            <w:vAlign w:val="center"/>
          </w:tcPr>
          <w:p w14:paraId="6678EE3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4856B5F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418F178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w:t>
            </w:r>
          </w:p>
        </w:tc>
        <w:tc>
          <w:tcPr>
            <w:tcW w:w="251" w:type="pct"/>
            <w:shd w:val="clear" w:color="000000" w:fill="D9D9D9"/>
            <w:vAlign w:val="center"/>
          </w:tcPr>
          <w:p w14:paraId="298741C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44F2788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2506D71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127582F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412E04C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1D798E2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5B5005F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28011E8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DFE214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 </w:t>
            </w:r>
          </w:p>
        </w:tc>
        <w:tc>
          <w:tcPr>
            <w:tcW w:w="317" w:type="pct"/>
            <w:vMerge w:val="continue"/>
            <w:shd w:val="clear" w:color="auto" w:fill="auto"/>
            <w:vAlign w:val="center"/>
          </w:tcPr>
          <w:p w14:paraId="294F65A7">
            <w:pPr>
              <w:spacing w:after="0" w:line="240" w:lineRule="auto"/>
              <w:jc w:val="center"/>
              <w:rPr>
                <w:rFonts w:ascii="Times New Roman" w:hAnsi="Times New Roman" w:eastAsia="Times New Roman" w:cs="Times New Roman"/>
                <w:color w:val="000000"/>
                <w:sz w:val="18"/>
                <w:szCs w:val="18"/>
                <w:lang w:eastAsia="pl-PL"/>
              </w:rPr>
            </w:pPr>
          </w:p>
        </w:tc>
      </w:tr>
      <w:tr w14:paraId="632D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7E9F9EA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1.5</w:t>
            </w:r>
          </w:p>
        </w:tc>
        <w:tc>
          <w:tcPr>
            <w:tcW w:w="814" w:type="pct"/>
            <w:shd w:val="clear" w:color="auto" w:fill="auto"/>
            <w:vAlign w:val="center"/>
          </w:tcPr>
          <w:p w14:paraId="4C9777F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RCR 77 – liczba osób odwiedzających obiekty kulturalne i turystyczne objęte wsparciem</w:t>
            </w:r>
          </w:p>
        </w:tc>
        <w:tc>
          <w:tcPr>
            <w:tcW w:w="248" w:type="pct"/>
            <w:shd w:val="clear" w:color="auto" w:fill="auto"/>
            <w:vAlign w:val="center"/>
          </w:tcPr>
          <w:p w14:paraId="69E30BA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4642472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77B176D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6E28183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13363CE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7 000</w:t>
            </w:r>
          </w:p>
        </w:tc>
        <w:tc>
          <w:tcPr>
            <w:tcW w:w="251" w:type="pct"/>
            <w:shd w:val="clear" w:color="000000" w:fill="D9D9D9"/>
            <w:vAlign w:val="center"/>
          </w:tcPr>
          <w:p w14:paraId="22CBC0B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7DADE36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12FAEBD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3F35B0A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09C7D17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51BA817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7B04980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restart"/>
            <w:shd w:val="clear" w:color="auto" w:fill="auto"/>
            <w:vAlign w:val="center"/>
          </w:tcPr>
          <w:p w14:paraId="7A49256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FEM</w:t>
            </w:r>
          </w:p>
        </w:tc>
      </w:tr>
      <w:tr w14:paraId="2DE8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67A7837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1.6</w:t>
            </w:r>
          </w:p>
        </w:tc>
        <w:tc>
          <w:tcPr>
            <w:tcW w:w="814" w:type="pct"/>
            <w:shd w:val="clear" w:color="auto" w:fill="auto"/>
            <w:vAlign w:val="center"/>
          </w:tcPr>
          <w:p w14:paraId="206C205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PLKCR02 – liczba utworzonych miejsc świadczenia usług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w społeczności lokalnej</w:t>
            </w:r>
          </w:p>
        </w:tc>
        <w:tc>
          <w:tcPr>
            <w:tcW w:w="248" w:type="pct"/>
            <w:shd w:val="clear" w:color="auto" w:fill="auto"/>
            <w:vAlign w:val="center"/>
          </w:tcPr>
          <w:p w14:paraId="6F21597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6D72C68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673648C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28922B1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0A8C11C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140</w:t>
            </w:r>
          </w:p>
        </w:tc>
        <w:tc>
          <w:tcPr>
            <w:tcW w:w="251" w:type="pct"/>
            <w:shd w:val="clear" w:color="000000" w:fill="D9D9D9"/>
            <w:vAlign w:val="center"/>
          </w:tcPr>
          <w:p w14:paraId="3A930C3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364926D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2F633C0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0D01B38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1552031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064E2FA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0087C5E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73C028C0">
            <w:pPr>
              <w:spacing w:after="0" w:line="240" w:lineRule="auto"/>
              <w:rPr>
                <w:rFonts w:ascii="Times New Roman" w:hAnsi="Times New Roman" w:eastAsia="Times New Roman" w:cs="Times New Roman"/>
                <w:color w:val="000000"/>
                <w:sz w:val="18"/>
                <w:szCs w:val="18"/>
                <w:lang w:eastAsia="pl-PL"/>
              </w:rPr>
            </w:pPr>
          </w:p>
        </w:tc>
      </w:tr>
      <w:tr w14:paraId="14BE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4043521F">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1.7</w:t>
            </w:r>
          </w:p>
        </w:tc>
        <w:tc>
          <w:tcPr>
            <w:tcW w:w="814" w:type="pct"/>
            <w:shd w:val="clear" w:color="auto" w:fill="auto"/>
            <w:vAlign w:val="center"/>
          </w:tcPr>
          <w:p w14:paraId="71B249E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PLKCR03 – liczba podmiotów, które rozszerzyły ofertę wsparcia lub podniosły jakość oferowanych usług</w:t>
            </w:r>
          </w:p>
        </w:tc>
        <w:tc>
          <w:tcPr>
            <w:tcW w:w="248" w:type="pct"/>
            <w:shd w:val="clear" w:color="auto" w:fill="auto"/>
            <w:vAlign w:val="center"/>
          </w:tcPr>
          <w:p w14:paraId="5FCADAB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0434B12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747D4B3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05BB1DE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7675EA5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w:t>
            </w:r>
          </w:p>
        </w:tc>
        <w:tc>
          <w:tcPr>
            <w:tcW w:w="251" w:type="pct"/>
            <w:shd w:val="clear" w:color="000000" w:fill="D9D9D9"/>
            <w:vAlign w:val="center"/>
          </w:tcPr>
          <w:p w14:paraId="24AB44B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59784DA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77475DA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07E097A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4E2790C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5EE90BD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2D77F4C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6DF61636">
            <w:pPr>
              <w:spacing w:after="0" w:line="240" w:lineRule="auto"/>
              <w:rPr>
                <w:rFonts w:ascii="Times New Roman" w:hAnsi="Times New Roman" w:eastAsia="Times New Roman" w:cs="Times New Roman"/>
                <w:color w:val="000000"/>
                <w:sz w:val="18"/>
                <w:szCs w:val="18"/>
                <w:lang w:eastAsia="pl-PL"/>
              </w:rPr>
            </w:pPr>
          </w:p>
        </w:tc>
      </w:tr>
      <w:tr w14:paraId="51D9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94" w:hRule="atLeast"/>
        </w:trPr>
        <w:tc>
          <w:tcPr>
            <w:tcW w:w="871" w:type="pct"/>
            <w:gridSpan w:val="2"/>
            <w:shd w:val="clear" w:color="auto" w:fill="auto"/>
            <w:vAlign w:val="center"/>
          </w:tcPr>
          <w:p w14:paraId="7E22D42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Wskaźnik rezultatu W 1.8</w:t>
            </w:r>
          </w:p>
        </w:tc>
        <w:tc>
          <w:tcPr>
            <w:tcW w:w="814" w:type="pct"/>
            <w:shd w:val="clear" w:color="auto" w:fill="auto"/>
            <w:vAlign w:val="center"/>
          </w:tcPr>
          <w:p w14:paraId="19320F6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PLKCR04 – liczba osób świadczących usługi </w:t>
            </w:r>
            <w:r>
              <w:rPr>
                <w:rFonts w:ascii="Times New Roman" w:hAnsi="Times New Roman" w:eastAsia="Times New Roman" w:cs="Times New Roman"/>
                <w:color w:val="000000"/>
                <w:sz w:val="18"/>
                <w:szCs w:val="18"/>
                <w:lang w:eastAsia="pl-PL"/>
              </w:rPr>
              <w:br w:type="textWrapping"/>
            </w:r>
            <w:r>
              <w:rPr>
                <w:rFonts w:ascii="Times New Roman" w:hAnsi="Times New Roman" w:eastAsia="Times New Roman" w:cs="Times New Roman"/>
                <w:color w:val="000000"/>
                <w:sz w:val="18"/>
                <w:szCs w:val="18"/>
                <w:lang w:eastAsia="pl-PL"/>
              </w:rPr>
              <w:t>w społeczności lokalnej dzięki wsparciu w programie</w:t>
            </w:r>
          </w:p>
        </w:tc>
        <w:tc>
          <w:tcPr>
            <w:tcW w:w="248" w:type="pct"/>
            <w:shd w:val="clear" w:color="auto" w:fill="auto"/>
            <w:vAlign w:val="center"/>
          </w:tcPr>
          <w:p w14:paraId="3085821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48" w:type="pct"/>
            <w:shd w:val="clear" w:color="000000" w:fill="D9D9D9"/>
            <w:vAlign w:val="center"/>
          </w:tcPr>
          <w:p w14:paraId="0CDD660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62" w:type="pct"/>
            <w:shd w:val="clear" w:color="auto" w:fill="auto"/>
            <w:vAlign w:val="center"/>
          </w:tcPr>
          <w:p w14:paraId="249F1B8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06F05B8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8" w:type="pct"/>
            <w:shd w:val="clear" w:color="auto" w:fill="auto"/>
            <w:vAlign w:val="center"/>
          </w:tcPr>
          <w:p w14:paraId="4DF4B83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w:t>
            </w:r>
          </w:p>
        </w:tc>
        <w:tc>
          <w:tcPr>
            <w:tcW w:w="251" w:type="pct"/>
            <w:shd w:val="clear" w:color="000000" w:fill="D9D9D9"/>
            <w:vAlign w:val="center"/>
          </w:tcPr>
          <w:p w14:paraId="404CE6B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613B92D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457CD07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605746D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000000" w:fill="D9D9D9"/>
            <w:vAlign w:val="center"/>
          </w:tcPr>
          <w:p w14:paraId="0F449FF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246" w:type="pct"/>
            <w:shd w:val="clear" w:color="auto" w:fill="auto"/>
            <w:vAlign w:val="center"/>
          </w:tcPr>
          <w:p w14:paraId="56BA5B2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251" w:type="pct"/>
            <w:shd w:val="clear" w:color="auto" w:fill="auto"/>
            <w:vAlign w:val="center"/>
          </w:tcPr>
          <w:p w14:paraId="464750B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317" w:type="pct"/>
            <w:vMerge w:val="continue"/>
            <w:vAlign w:val="center"/>
          </w:tcPr>
          <w:p w14:paraId="38EF5D42">
            <w:pPr>
              <w:spacing w:after="0" w:line="240" w:lineRule="auto"/>
              <w:rPr>
                <w:rFonts w:ascii="Times New Roman" w:hAnsi="Times New Roman" w:eastAsia="Times New Roman" w:cs="Times New Roman"/>
                <w:color w:val="000000"/>
                <w:sz w:val="18"/>
                <w:szCs w:val="18"/>
                <w:lang w:eastAsia="pl-PL"/>
              </w:rPr>
            </w:pPr>
          </w:p>
        </w:tc>
      </w:tr>
    </w:tbl>
    <w:p w14:paraId="50464962">
      <w:pPr>
        <w:jc w:val="center"/>
        <w:rPr>
          <w:rFonts w:ascii="Times New Roman" w:hAnsi="Times New Roman" w:cs="Times New Roman"/>
          <w:i/>
          <w:iCs/>
          <w:sz w:val="20"/>
          <w:szCs w:val="20"/>
        </w:rPr>
        <w:sectPr>
          <w:pgSz w:w="16838" w:h="11906" w:orient="landscape"/>
          <w:pgMar w:top="851" w:right="851" w:bottom="851" w:left="851" w:header="709" w:footer="709" w:gutter="0"/>
          <w:cols w:space="708" w:num="1"/>
          <w:titlePg/>
          <w:docGrid w:linePitch="360" w:charSpace="0"/>
        </w:sectPr>
      </w:pPr>
      <w:r>
        <w:rPr>
          <w:rFonts w:ascii="Times New Roman" w:hAnsi="Times New Roman" w:cs="Times New Roman"/>
          <w:i/>
          <w:iCs/>
          <w:sz w:val="20"/>
          <w:szCs w:val="20"/>
        </w:rPr>
        <w:t>Źródło: opracowanie własne</w:t>
      </w:r>
    </w:p>
    <w:p w14:paraId="74D3C7D6">
      <w:pPr>
        <w:ind w:left="360" w:hanging="36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Załącznik nr 3 Budżet LSR</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2039"/>
        <w:gridCol w:w="2039"/>
        <w:gridCol w:w="2039"/>
        <w:gridCol w:w="2039"/>
      </w:tblGrid>
      <w:tr w14:paraId="3768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194" w:type="dxa"/>
            <w:gridSpan w:val="5"/>
            <w:shd w:val="clear" w:color="auto" w:fill="auto"/>
            <w:vAlign w:val="center"/>
          </w:tcPr>
          <w:p w14:paraId="7BA65719">
            <w:pPr>
              <w:spacing w:after="0" w:line="240" w:lineRule="auto"/>
              <w:jc w:val="center"/>
            </w:pPr>
            <w:r>
              <w:rPr>
                <w:rFonts w:ascii="Times New Roman" w:hAnsi="Times New Roman" w:cs="Times New Roman"/>
                <w:b/>
                <w:bCs/>
                <w:sz w:val="20"/>
                <w:szCs w:val="20"/>
              </w:rPr>
              <w:t>PLANOWANA WYSOKOŚĆ ŚRODKÓW NA WDRAŻANIE LSR I ZARZĄDZANIE LSR</w:t>
            </w:r>
          </w:p>
        </w:tc>
      </w:tr>
      <w:tr w14:paraId="1BE2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038" w:type="dxa"/>
            <w:vMerge w:val="restart"/>
            <w:shd w:val="clear" w:color="auto" w:fill="auto"/>
            <w:vAlign w:val="center"/>
          </w:tcPr>
          <w:p w14:paraId="372ECD5B">
            <w:pPr>
              <w:spacing w:after="0" w:line="240" w:lineRule="auto"/>
              <w:jc w:val="center"/>
            </w:pPr>
            <w:r>
              <w:rPr>
                <w:rFonts w:ascii="Times New Roman" w:hAnsi="Times New Roman" w:cs="Times New Roman"/>
                <w:b/>
                <w:iCs/>
                <w:sz w:val="20"/>
                <w:szCs w:val="20"/>
              </w:rPr>
              <w:t>Zakres wsparcia</w:t>
            </w:r>
          </w:p>
        </w:tc>
        <w:tc>
          <w:tcPr>
            <w:tcW w:w="6117" w:type="dxa"/>
            <w:gridSpan w:val="3"/>
            <w:shd w:val="clear" w:color="auto" w:fill="auto"/>
            <w:vAlign w:val="center"/>
          </w:tcPr>
          <w:p w14:paraId="1988F646">
            <w:pPr>
              <w:spacing w:after="0" w:line="240" w:lineRule="auto"/>
              <w:jc w:val="center"/>
            </w:pPr>
            <w:r>
              <w:rPr>
                <w:rFonts w:ascii="Times New Roman" w:hAnsi="Times New Roman" w:cs="Times New Roman"/>
                <w:b/>
                <w:bCs/>
                <w:iCs/>
                <w:sz w:val="20"/>
                <w:szCs w:val="20"/>
              </w:rPr>
              <w:t>Program/Fundusz</w:t>
            </w:r>
          </w:p>
        </w:tc>
        <w:tc>
          <w:tcPr>
            <w:tcW w:w="2039" w:type="dxa"/>
            <w:vMerge w:val="restart"/>
            <w:shd w:val="clear" w:color="auto" w:fill="auto"/>
            <w:vAlign w:val="center"/>
          </w:tcPr>
          <w:p w14:paraId="365CA995">
            <w:pPr>
              <w:spacing w:after="0" w:line="240" w:lineRule="auto"/>
              <w:jc w:val="center"/>
            </w:pPr>
            <w:r>
              <w:rPr>
                <w:rFonts w:ascii="Times New Roman" w:hAnsi="Times New Roman" w:cs="Times New Roman"/>
                <w:b/>
                <w:bCs/>
                <w:iCs/>
                <w:sz w:val="20"/>
                <w:szCs w:val="20"/>
              </w:rPr>
              <w:t>Środki ogółem</w:t>
            </w:r>
            <w:r>
              <w:rPr>
                <w:rFonts w:ascii="Times New Roman" w:hAnsi="Times New Roman" w:cs="Times New Roman"/>
                <w:b/>
                <w:bCs/>
                <w:iCs/>
                <w:sz w:val="20"/>
                <w:szCs w:val="20"/>
              </w:rPr>
              <w:br w:type="textWrapping"/>
            </w:r>
            <w:r>
              <w:rPr>
                <w:rFonts w:ascii="Times New Roman" w:hAnsi="Times New Roman" w:cs="Times New Roman"/>
                <w:b/>
                <w:bCs/>
                <w:iCs/>
                <w:sz w:val="20"/>
                <w:szCs w:val="20"/>
              </w:rPr>
              <w:t>(EUR)</w:t>
            </w:r>
          </w:p>
        </w:tc>
      </w:tr>
      <w:tr w14:paraId="4BB4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38" w:type="dxa"/>
            <w:vMerge w:val="continue"/>
            <w:shd w:val="clear" w:color="auto" w:fill="auto"/>
            <w:vAlign w:val="center"/>
          </w:tcPr>
          <w:p w14:paraId="5B054A1B">
            <w:pPr>
              <w:spacing w:after="0" w:line="240" w:lineRule="auto"/>
            </w:pPr>
          </w:p>
        </w:tc>
        <w:tc>
          <w:tcPr>
            <w:tcW w:w="2039" w:type="dxa"/>
            <w:shd w:val="clear" w:color="auto" w:fill="auto"/>
            <w:vAlign w:val="center"/>
          </w:tcPr>
          <w:p w14:paraId="74F8CE50">
            <w:pPr>
              <w:spacing w:after="0" w:line="240" w:lineRule="auto"/>
              <w:jc w:val="center"/>
            </w:pPr>
            <w:r>
              <w:rPr>
                <w:rFonts w:ascii="Times New Roman" w:hAnsi="Times New Roman" w:cs="Times New Roman"/>
                <w:b/>
                <w:bCs/>
                <w:iCs/>
                <w:sz w:val="20"/>
                <w:szCs w:val="20"/>
              </w:rPr>
              <w:t>PS WPR</w:t>
            </w:r>
          </w:p>
        </w:tc>
        <w:tc>
          <w:tcPr>
            <w:tcW w:w="2039" w:type="dxa"/>
            <w:shd w:val="clear" w:color="auto" w:fill="auto"/>
            <w:vAlign w:val="center"/>
          </w:tcPr>
          <w:p w14:paraId="080FD178">
            <w:pPr>
              <w:spacing w:after="0" w:line="240" w:lineRule="auto"/>
              <w:jc w:val="center"/>
            </w:pPr>
            <w:r>
              <w:rPr>
                <w:rFonts w:ascii="Times New Roman" w:hAnsi="Times New Roman" w:cs="Times New Roman"/>
                <w:b/>
                <w:bCs/>
                <w:iCs/>
                <w:sz w:val="20"/>
                <w:szCs w:val="20"/>
              </w:rPr>
              <w:t>EFRR</w:t>
            </w:r>
          </w:p>
        </w:tc>
        <w:tc>
          <w:tcPr>
            <w:tcW w:w="2039" w:type="dxa"/>
            <w:shd w:val="clear" w:color="auto" w:fill="auto"/>
            <w:vAlign w:val="center"/>
          </w:tcPr>
          <w:p w14:paraId="61E3AC8D">
            <w:pPr>
              <w:spacing w:after="0" w:line="240" w:lineRule="auto"/>
              <w:jc w:val="center"/>
            </w:pPr>
            <w:r>
              <w:rPr>
                <w:rFonts w:ascii="Times New Roman" w:hAnsi="Times New Roman" w:cs="Times New Roman"/>
                <w:b/>
                <w:bCs/>
                <w:iCs/>
                <w:sz w:val="20"/>
                <w:szCs w:val="20"/>
              </w:rPr>
              <w:t>EFS+</w:t>
            </w:r>
          </w:p>
        </w:tc>
        <w:tc>
          <w:tcPr>
            <w:tcW w:w="2039" w:type="dxa"/>
            <w:vMerge w:val="continue"/>
            <w:shd w:val="clear" w:color="auto" w:fill="auto"/>
            <w:vAlign w:val="center"/>
          </w:tcPr>
          <w:p w14:paraId="765F93C2">
            <w:pPr>
              <w:spacing w:after="0" w:line="240" w:lineRule="auto"/>
            </w:pPr>
          </w:p>
        </w:tc>
      </w:tr>
      <w:tr w14:paraId="3262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038" w:type="dxa"/>
            <w:shd w:val="clear" w:color="auto" w:fill="auto"/>
            <w:vAlign w:val="center"/>
          </w:tcPr>
          <w:p w14:paraId="61F844A2">
            <w:pPr>
              <w:spacing w:after="0" w:line="240" w:lineRule="auto"/>
            </w:pPr>
            <w:r>
              <w:rPr>
                <w:rFonts w:ascii="Times New Roman" w:hAnsi="Times New Roman" w:cs="Times New Roman"/>
                <w:b/>
                <w:bCs/>
                <w:sz w:val="20"/>
                <w:szCs w:val="20"/>
              </w:rPr>
              <w:t>Wdrażanie LSR</w:t>
            </w:r>
            <w:r>
              <w:rPr>
                <w:rFonts w:ascii="Times New Roman" w:hAnsi="Times New Roman" w:cs="Times New Roman"/>
                <w:sz w:val="20"/>
                <w:szCs w:val="20"/>
              </w:rPr>
              <w:br w:type="textWrapping"/>
            </w:r>
            <w:r>
              <w:rPr>
                <w:rFonts w:ascii="Times New Roman" w:hAnsi="Times New Roman" w:cs="Times New Roman"/>
                <w:sz w:val="20"/>
                <w:szCs w:val="20"/>
              </w:rPr>
              <w:t>(art. 34 ust. 1 lit. b rozporządzenia nr 2021/1060)</w:t>
            </w:r>
          </w:p>
        </w:tc>
        <w:tc>
          <w:tcPr>
            <w:tcW w:w="2039" w:type="dxa"/>
            <w:tcBorders>
              <w:top w:val="single" w:color="auto" w:sz="4" w:space="0"/>
              <w:left w:val="single" w:color="auto" w:sz="4" w:space="0"/>
              <w:bottom w:val="single" w:color="auto" w:sz="4" w:space="0"/>
              <w:right w:val="single" w:color="auto" w:sz="4" w:space="0"/>
            </w:tcBorders>
            <w:shd w:val="clear" w:color="auto" w:fill="auto"/>
            <w:vAlign w:val="center"/>
          </w:tcPr>
          <w:p w14:paraId="0C6DEC72">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 xml:space="preserve">3 000 000 </w:t>
            </w:r>
          </w:p>
        </w:tc>
        <w:tc>
          <w:tcPr>
            <w:tcW w:w="2039" w:type="dxa"/>
            <w:tcBorders>
              <w:top w:val="single" w:color="auto" w:sz="4" w:space="0"/>
              <w:left w:val="nil"/>
              <w:bottom w:val="single" w:color="auto" w:sz="4" w:space="0"/>
              <w:right w:val="single" w:color="auto" w:sz="4" w:space="0"/>
            </w:tcBorders>
            <w:shd w:val="clear" w:color="auto" w:fill="auto"/>
            <w:vAlign w:val="center"/>
          </w:tcPr>
          <w:p w14:paraId="701492F9">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 xml:space="preserve">1 327 020 </w:t>
            </w:r>
          </w:p>
        </w:tc>
        <w:tc>
          <w:tcPr>
            <w:tcW w:w="2039" w:type="dxa"/>
            <w:tcBorders>
              <w:top w:val="single" w:color="auto" w:sz="4" w:space="0"/>
              <w:left w:val="nil"/>
              <w:bottom w:val="single" w:color="auto" w:sz="4" w:space="0"/>
              <w:right w:val="single" w:color="auto" w:sz="4" w:space="0"/>
            </w:tcBorders>
            <w:shd w:val="clear" w:color="auto" w:fill="auto"/>
            <w:vAlign w:val="center"/>
          </w:tcPr>
          <w:p w14:paraId="6057582F">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 xml:space="preserve">609 710 </w:t>
            </w:r>
          </w:p>
        </w:tc>
        <w:tc>
          <w:tcPr>
            <w:tcW w:w="2039" w:type="dxa"/>
            <w:tcBorders>
              <w:top w:val="single" w:color="auto" w:sz="4" w:space="0"/>
              <w:left w:val="nil"/>
              <w:bottom w:val="single" w:color="auto" w:sz="4" w:space="0"/>
              <w:right w:val="single" w:color="auto" w:sz="4" w:space="0"/>
            </w:tcBorders>
            <w:shd w:val="clear" w:color="auto" w:fill="auto"/>
            <w:vAlign w:val="center"/>
          </w:tcPr>
          <w:p w14:paraId="11DEFB7D">
            <w:pPr>
              <w:spacing w:after="0" w:line="240" w:lineRule="auto"/>
              <w:jc w:val="right"/>
              <w:rPr>
                <w:rFonts w:ascii="Times New Roman" w:hAnsi="Times New Roman" w:cs="Times New Roman"/>
                <w:b/>
                <w:bCs/>
                <w:sz w:val="20"/>
                <w:szCs w:val="20"/>
              </w:rPr>
            </w:pPr>
            <w:r>
              <w:rPr>
                <w:rFonts w:ascii="Times New Roman" w:hAnsi="Times New Roman" w:cs="Times New Roman"/>
                <w:color w:val="000000"/>
                <w:sz w:val="20"/>
                <w:szCs w:val="20"/>
              </w:rPr>
              <w:t xml:space="preserve">4 936 730 </w:t>
            </w:r>
          </w:p>
        </w:tc>
      </w:tr>
      <w:tr w14:paraId="2765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038" w:type="dxa"/>
            <w:shd w:val="clear" w:color="auto" w:fill="auto"/>
            <w:vAlign w:val="center"/>
          </w:tcPr>
          <w:p w14:paraId="0BB785FF">
            <w:pPr>
              <w:spacing w:after="0" w:line="240" w:lineRule="auto"/>
            </w:pPr>
            <w:r>
              <w:rPr>
                <w:rFonts w:ascii="Times New Roman" w:hAnsi="Times New Roman" w:cs="Times New Roman"/>
                <w:b/>
                <w:bCs/>
                <w:sz w:val="20"/>
                <w:szCs w:val="20"/>
              </w:rPr>
              <w:t>Zarządzanie LSR</w:t>
            </w:r>
            <w:r>
              <w:rPr>
                <w:rFonts w:ascii="Times New Roman" w:hAnsi="Times New Roman" w:cs="Times New Roman"/>
                <w:sz w:val="20"/>
                <w:szCs w:val="20"/>
              </w:rPr>
              <w:br w:type="textWrapping"/>
            </w:r>
            <w:r>
              <w:rPr>
                <w:rFonts w:ascii="Times New Roman" w:hAnsi="Times New Roman" w:cs="Times New Roman"/>
                <w:sz w:val="20"/>
                <w:szCs w:val="20"/>
              </w:rPr>
              <w:t>(art. 34 ust. 1 lit. c rozporządzenia nr 2021/1060)</w:t>
            </w:r>
          </w:p>
        </w:tc>
        <w:tc>
          <w:tcPr>
            <w:tcW w:w="2039" w:type="dxa"/>
            <w:tcBorders>
              <w:top w:val="nil"/>
              <w:left w:val="single" w:color="auto" w:sz="4" w:space="0"/>
              <w:bottom w:val="single" w:color="auto" w:sz="4" w:space="0"/>
              <w:right w:val="single" w:color="auto" w:sz="4" w:space="0"/>
            </w:tcBorders>
            <w:shd w:val="clear" w:color="auto" w:fill="auto"/>
            <w:vAlign w:val="center"/>
          </w:tcPr>
          <w:p w14:paraId="1A9C2EE7">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 xml:space="preserve">662 500 </w:t>
            </w:r>
          </w:p>
        </w:tc>
        <w:tc>
          <w:tcPr>
            <w:tcW w:w="2039" w:type="dxa"/>
            <w:tcBorders>
              <w:top w:val="nil"/>
              <w:left w:val="nil"/>
              <w:bottom w:val="single" w:color="auto" w:sz="4" w:space="0"/>
              <w:right w:val="single" w:color="auto" w:sz="4" w:space="0"/>
            </w:tcBorders>
            <w:shd w:val="clear" w:color="auto" w:fill="auto"/>
            <w:vAlign w:val="center"/>
          </w:tcPr>
          <w:p w14:paraId="74C00E49">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 xml:space="preserve">107 594 </w:t>
            </w:r>
          </w:p>
        </w:tc>
        <w:tc>
          <w:tcPr>
            <w:tcW w:w="2039" w:type="dxa"/>
            <w:tcBorders>
              <w:top w:val="nil"/>
              <w:left w:val="nil"/>
              <w:bottom w:val="single" w:color="auto" w:sz="4" w:space="0"/>
              <w:right w:val="single" w:color="auto" w:sz="4" w:space="0"/>
            </w:tcBorders>
            <w:shd w:val="clear" w:color="auto" w:fill="auto"/>
            <w:vAlign w:val="center"/>
          </w:tcPr>
          <w:p w14:paraId="06F0F378">
            <w:pPr>
              <w:spacing w:after="0" w:line="240" w:lineRule="auto"/>
              <w:jc w:val="right"/>
              <w:rPr>
                <w:rFonts w:ascii="Times New Roman" w:hAnsi="Times New Roman" w:cs="Times New Roman"/>
                <w:sz w:val="20"/>
                <w:szCs w:val="20"/>
              </w:rPr>
            </w:pPr>
            <w:r>
              <w:rPr>
                <w:rFonts w:ascii="Times New Roman" w:hAnsi="Times New Roman" w:cs="Times New Roman"/>
                <w:color w:val="000000"/>
                <w:sz w:val="20"/>
                <w:szCs w:val="20"/>
              </w:rPr>
              <w:t xml:space="preserve">107 594 </w:t>
            </w:r>
          </w:p>
        </w:tc>
        <w:tc>
          <w:tcPr>
            <w:tcW w:w="2039" w:type="dxa"/>
            <w:tcBorders>
              <w:top w:val="nil"/>
              <w:left w:val="nil"/>
              <w:bottom w:val="single" w:color="auto" w:sz="4" w:space="0"/>
              <w:right w:val="single" w:color="auto" w:sz="4" w:space="0"/>
            </w:tcBorders>
            <w:shd w:val="clear" w:color="auto" w:fill="auto"/>
            <w:vAlign w:val="center"/>
          </w:tcPr>
          <w:p w14:paraId="64B8FA43">
            <w:pPr>
              <w:spacing w:after="0" w:line="240" w:lineRule="auto"/>
              <w:jc w:val="right"/>
              <w:rPr>
                <w:rFonts w:ascii="Times New Roman" w:hAnsi="Times New Roman" w:cs="Times New Roman"/>
                <w:b/>
                <w:bCs/>
                <w:sz w:val="20"/>
                <w:szCs w:val="20"/>
              </w:rPr>
            </w:pPr>
            <w:r>
              <w:rPr>
                <w:rFonts w:ascii="Times New Roman" w:hAnsi="Times New Roman" w:cs="Times New Roman"/>
                <w:color w:val="000000"/>
                <w:sz w:val="20"/>
                <w:szCs w:val="20"/>
              </w:rPr>
              <w:t xml:space="preserve"> 877 688 </w:t>
            </w:r>
          </w:p>
        </w:tc>
      </w:tr>
      <w:tr w14:paraId="0779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038" w:type="dxa"/>
            <w:shd w:val="clear" w:color="auto" w:fill="auto"/>
            <w:vAlign w:val="center"/>
          </w:tcPr>
          <w:p w14:paraId="098E34E3">
            <w:pPr>
              <w:spacing w:after="0" w:line="240" w:lineRule="auto"/>
              <w:rPr>
                <w:rFonts w:ascii="Times New Roman" w:hAnsi="Times New Roman" w:cs="Times New Roman"/>
                <w:b/>
                <w:bCs/>
                <w:sz w:val="20"/>
                <w:szCs w:val="20"/>
              </w:rPr>
            </w:pPr>
            <w:r>
              <w:rPr>
                <w:rFonts w:ascii="Times New Roman" w:hAnsi="Times New Roman" w:cs="Times New Roman"/>
                <w:b/>
                <w:bCs/>
                <w:iCs/>
                <w:sz w:val="20"/>
                <w:szCs w:val="20"/>
              </w:rPr>
              <w:t>Razem</w:t>
            </w:r>
          </w:p>
        </w:tc>
        <w:tc>
          <w:tcPr>
            <w:tcW w:w="2039" w:type="dxa"/>
            <w:tcBorders>
              <w:top w:val="nil"/>
              <w:left w:val="single" w:color="auto" w:sz="4" w:space="0"/>
              <w:bottom w:val="single" w:color="auto" w:sz="4" w:space="0"/>
              <w:right w:val="single" w:color="auto" w:sz="4" w:space="0"/>
            </w:tcBorders>
            <w:shd w:val="clear" w:color="auto" w:fill="auto"/>
            <w:vAlign w:val="center"/>
          </w:tcPr>
          <w:p w14:paraId="2F8FA54F">
            <w:pPr>
              <w:spacing w:after="0" w:line="240" w:lineRule="auto"/>
              <w:jc w:val="right"/>
              <w:rPr>
                <w:rFonts w:ascii="Times New Roman" w:hAnsi="Times New Roman" w:cs="Times New Roman"/>
                <w:sz w:val="20"/>
                <w:szCs w:val="20"/>
              </w:rPr>
            </w:pPr>
            <w:r>
              <w:rPr>
                <w:rFonts w:ascii="Times New Roman" w:hAnsi="Times New Roman" w:cs="Times New Roman"/>
                <w:b/>
                <w:bCs/>
                <w:color w:val="000000"/>
                <w:sz w:val="20"/>
                <w:szCs w:val="20"/>
              </w:rPr>
              <w:t xml:space="preserve">3 662 500 </w:t>
            </w:r>
          </w:p>
        </w:tc>
        <w:tc>
          <w:tcPr>
            <w:tcW w:w="2039" w:type="dxa"/>
            <w:tcBorders>
              <w:top w:val="nil"/>
              <w:left w:val="nil"/>
              <w:bottom w:val="single" w:color="auto" w:sz="4" w:space="0"/>
              <w:right w:val="single" w:color="auto" w:sz="4" w:space="0"/>
            </w:tcBorders>
            <w:shd w:val="clear" w:color="auto" w:fill="auto"/>
            <w:vAlign w:val="center"/>
          </w:tcPr>
          <w:p w14:paraId="34C58E0F">
            <w:pPr>
              <w:spacing w:after="0" w:line="240" w:lineRule="auto"/>
              <w:jc w:val="right"/>
              <w:rPr>
                <w:rFonts w:ascii="Times New Roman" w:hAnsi="Times New Roman" w:cs="Times New Roman"/>
                <w:sz w:val="20"/>
                <w:szCs w:val="20"/>
              </w:rPr>
            </w:pPr>
            <w:r>
              <w:rPr>
                <w:rFonts w:ascii="Times New Roman" w:hAnsi="Times New Roman" w:cs="Times New Roman"/>
                <w:b/>
                <w:bCs/>
                <w:color w:val="000000"/>
                <w:sz w:val="20"/>
                <w:szCs w:val="20"/>
              </w:rPr>
              <w:t xml:space="preserve">1 434 614 </w:t>
            </w:r>
          </w:p>
        </w:tc>
        <w:tc>
          <w:tcPr>
            <w:tcW w:w="2039" w:type="dxa"/>
            <w:tcBorders>
              <w:top w:val="nil"/>
              <w:left w:val="nil"/>
              <w:bottom w:val="single" w:color="auto" w:sz="4" w:space="0"/>
              <w:right w:val="single" w:color="auto" w:sz="4" w:space="0"/>
            </w:tcBorders>
            <w:shd w:val="clear" w:color="auto" w:fill="auto"/>
            <w:vAlign w:val="center"/>
          </w:tcPr>
          <w:p w14:paraId="19E79E6F">
            <w:pPr>
              <w:spacing w:after="0" w:line="240" w:lineRule="auto"/>
              <w:jc w:val="right"/>
              <w:rPr>
                <w:rFonts w:ascii="Times New Roman" w:hAnsi="Times New Roman" w:cs="Times New Roman"/>
                <w:sz w:val="20"/>
                <w:szCs w:val="20"/>
              </w:rPr>
            </w:pPr>
            <w:r>
              <w:rPr>
                <w:rFonts w:ascii="Times New Roman" w:hAnsi="Times New Roman" w:cs="Times New Roman"/>
                <w:b/>
                <w:bCs/>
                <w:color w:val="000000"/>
                <w:sz w:val="20"/>
                <w:szCs w:val="20"/>
              </w:rPr>
              <w:t xml:space="preserve">717 304 </w:t>
            </w:r>
          </w:p>
        </w:tc>
        <w:tc>
          <w:tcPr>
            <w:tcW w:w="2039" w:type="dxa"/>
            <w:tcBorders>
              <w:top w:val="nil"/>
              <w:left w:val="nil"/>
              <w:bottom w:val="single" w:color="auto" w:sz="4" w:space="0"/>
              <w:right w:val="single" w:color="auto" w:sz="4" w:space="0"/>
            </w:tcBorders>
            <w:shd w:val="clear" w:color="auto" w:fill="auto"/>
            <w:vAlign w:val="center"/>
          </w:tcPr>
          <w:p w14:paraId="65B5B8A7">
            <w:pPr>
              <w:spacing w:after="0" w:line="240" w:lineRule="auto"/>
              <w:jc w:val="right"/>
              <w:rPr>
                <w:rFonts w:ascii="Times New Roman" w:hAnsi="Times New Roman" w:cs="Times New Roman"/>
                <w:b/>
                <w:bCs/>
                <w:sz w:val="20"/>
                <w:szCs w:val="20"/>
              </w:rPr>
            </w:pPr>
            <w:r>
              <w:rPr>
                <w:rFonts w:ascii="Times New Roman" w:hAnsi="Times New Roman" w:cs="Times New Roman"/>
                <w:b/>
                <w:bCs/>
                <w:color w:val="000000"/>
                <w:sz w:val="20"/>
                <w:szCs w:val="20"/>
              </w:rPr>
              <w:t xml:space="preserve">5 814 418 </w:t>
            </w:r>
          </w:p>
        </w:tc>
      </w:tr>
    </w:tbl>
    <w:p w14:paraId="6490FA6C">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w:t>
      </w:r>
    </w:p>
    <w:p w14:paraId="3AD96CBC">
      <w:pPr>
        <w:jc w:val="center"/>
        <w:rPr>
          <w:rFonts w:ascii="Times New Roman" w:hAnsi="Times New Roman" w:cs="Times New Roman"/>
          <w:i/>
          <w:iCs/>
          <w:sz w:val="20"/>
          <w:szCs w:val="20"/>
        </w:rPr>
        <w:sectPr>
          <w:pgSz w:w="11906" w:h="16838"/>
          <w:pgMar w:top="851" w:right="851" w:bottom="851" w:left="851" w:header="709" w:footer="709" w:gutter="0"/>
          <w:cols w:space="708" w:num="1"/>
          <w:titlePg/>
          <w:docGrid w:linePitch="360" w:charSpace="0"/>
        </w:sectPr>
      </w:pPr>
    </w:p>
    <w:p w14:paraId="49FEC690">
      <w:pPr>
        <w:spacing w:line="276" w:lineRule="auto"/>
        <w:ind w:left="360"/>
        <w:jc w:val="both"/>
        <w:rPr>
          <w:rFonts w:ascii="Times New Roman" w:hAnsi="Times New Roman" w:cs="Times New Roman"/>
          <w:b/>
          <w:bCs/>
        </w:rPr>
      </w:pPr>
      <w:r>
        <w:rPr>
          <w:rFonts w:ascii="Times New Roman" w:hAnsi="Times New Roman" w:cs="Times New Roman"/>
          <w:b/>
          <w:bCs/>
        </w:rPr>
        <w:t>Załącznik nr 4 Plan wykorzystania budżetu</w:t>
      </w:r>
    </w:p>
    <w:tbl>
      <w:tblPr>
        <w:tblStyle w:val="6"/>
        <w:tblW w:w="5000" w:type="pct"/>
        <w:tblInd w:w="0" w:type="dxa"/>
        <w:tblLayout w:type="fixed"/>
        <w:tblCellMar>
          <w:top w:w="0" w:type="dxa"/>
          <w:left w:w="70" w:type="dxa"/>
          <w:bottom w:w="0" w:type="dxa"/>
          <w:right w:w="70" w:type="dxa"/>
        </w:tblCellMar>
      </w:tblPr>
      <w:tblGrid>
        <w:gridCol w:w="897"/>
        <w:gridCol w:w="788"/>
        <w:gridCol w:w="1216"/>
        <w:gridCol w:w="1103"/>
        <w:gridCol w:w="1249"/>
        <w:gridCol w:w="1042"/>
        <w:gridCol w:w="962"/>
        <w:gridCol w:w="1039"/>
        <w:gridCol w:w="965"/>
        <w:gridCol w:w="789"/>
        <w:gridCol w:w="1216"/>
        <w:gridCol w:w="789"/>
        <w:gridCol w:w="1216"/>
        <w:gridCol w:w="789"/>
        <w:gridCol w:w="1216"/>
      </w:tblGrid>
      <w:tr w14:paraId="2A9DAF57">
        <w:tblPrEx>
          <w:tblCellMar>
            <w:top w:w="0" w:type="dxa"/>
            <w:left w:w="70" w:type="dxa"/>
            <w:bottom w:w="0" w:type="dxa"/>
            <w:right w:w="70" w:type="dxa"/>
          </w:tblCellMar>
        </w:tblPrEx>
        <w:trPr>
          <w:trHeight w:val="443" w:hRule="atLeast"/>
        </w:trPr>
        <w:tc>
          <w:tcPr>
            <w:tcW w:w="294"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2C2FA1A">
            <w:pPr>
              <w:spacing w:after="0" w:line="240" w:lineRule="auto"/>
              <w:jc w:val="center"/>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fundusz</w:t>
            </w:r>
          </w:p>
        </w:tc>
        <w:tc>
          <w:tcPr>
            <w:tcW w:w="4706" w:type="pct"/>
            <w:gridSpan w:val="14"/>
            <w:tcBorders>
              <w:top w:val="single" w:color="auto" w:sz="4" w:space="0"/>
              <w:left w:val="nil"/>
              <w:bottom w:val="single" w:color="auto" w:sz="4" w:space="0"/>
              <w:right w:val="single" w:color="auto" w:sz="4" w:space="0"/>
            </w:tcBorders>
            <w:shd w:val="clear" w:color="000000" w:fill="FFFFFF"/>
            <w:vAlign w:val="center"/>
          </w:tcPr>
          <w:p w14:paraId="2D016C1F">
            <w:pPr>
              <w:spacing w:after="0" w:line="240" w:lineRule="auto"/>
              <w:jc w:val="center"/>
              <w:rPr>
                <w:rFonts w:ascii="Times New Roman" w:hAnsi="Times New Roman" w:eastAsia="Times New Roman" w:cs="Times New Roman"/>
                <w:b/>
                <w:bCs/>
                <w:color w:val="000000"/>
                <w:lang w:eastAsia="pl-PL"/>
              </w:rPr>
            </w:pPr>
            <w:r>
              <w:rPr>
                <w:rFonts w:ascii="Times New Roman" w:hAnsi="Times New Roman" w:eastAsia="Times New Roman" w:cs="Times New Roman"/>
                <w:b/>
                <w:bCs/>
                <w:color w:val="000000"/>
                <w:lang w:eastAsia="pl-PL"/>
              </w:rPr>
              <w:t>Środki zakontraktowane w Euro do:</w:t>
            </w:r>
          </w:p>
        </w:tc>
      </w:tr>
      <w:tr w14:paraId="4E0E999A">
        <w:tblPrEx>
          <w:tblCellMar>
            <w:top w:w="0" w:type="dxa"/>
            <w:left w:w="70" w:type="dxa"/>
            <w:bottom w:w="0" w:type="dxa"/>
            <w:right w:w="70" w:type="dxa"/>
          </w:tblCellMar>
        </w:tblPrEx>
        <w:trPr>
          <w:trHeight w:val="443" w:hRule="atLeast"/>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7E5C5A6B">
            <w:pPr>
              <w:spacing w:after="0" w:line="240" w:lineRule="auto"/>
              <w:rPr>
                <w:rFonts w:ascii="Times New Roman" w:hAnsi="Times New Roman" w:eastAsia="Times New Roman" w:cs="Times New Roman"/>
                <w:b/>
                <w:bCs/>
                <w:color w:val="000000"/>
                <w:sz w:val="18"/>
                <w:szCs w:val="18"/>
                <w:lang w:eastAsia="pl-PL"/>
              </w:rPr>
            </w:pPr>
          </w:p>
        </w:tc>
        <w:tc>
          <w:tcPr>
            <w:tcW w:w="656" w:type="pct"/>
            <w:gridSpan w:val="2"/>
            <w:tcBorders>
              <w:top w:val="single" w:color="auto" w:sz="4" w:space="0"/>
              <w:left w:val="nil"/>
              <w:bottom w:val="single" w:color="auto" w:sz="4" w:space="0"/>
              <w:right w:val="single" w:color="auto" w:sz="4" w:space="0"/>
            </w:tcBorders>
            <w:shd w:val="clear" w:color="000000" w:fill="FFFFFF"/>
            <w:vAlign w:val="center"/>
          </w:tcPr>
          <w:p w14:paraId="3805B57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2024-12-31</w:t>
            </w:r>
          </w:p>
        </w:tc>
        <w:tc>
          <w:tcPr>
            <w:tcW w:w="770" w:type="pct"/>
            <w:gridSpan w:val="2"/>
            <w:tcBorders>
              <w:top w:val="single" w:color="auto" w:sz="4" w:space="0"/>
              <w:left w:val="nil"/>
              <w:bottom w:val="single" w:color="auto" w:sz="4" w:space="0"/>
              <w:right w:val="single" w:color="auto" w:sz="4" w:space="0"/>
            </w:tcBorders>
            <w:shd w:val="clear" w:color="000000" w:fill="FFFFFF"/>
            <w:vAlign w:val="center"/>
          </w:tcPr>
          <w:p w14:paraId="4E0F034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2025-12-31</w:t>
            </w:r>
          </w:p>
        </w:tc>
        <w:tc>
          <w:tcPr>
            <w:tcW w:w="656" w:type="pct"/>
            <w:gridSpan w:val="2"/>
            <w:tcBorders>
              <w:top w:val="single" w:color="auto" w:sz="4" w:space="0"/>
              <w:left w:val="nil"/>
              <w:bottom w:val="single" w:color="auto" w:sz="4" w:space="0"/>
              <w:right w:val="single" w:color="auto" w:sz="4" w:space="0"/>
            </w:tcBorders>
            <w:shd w:val="clear" w:color="000000" w:fill="FFFFFF"/>
            <w:vAlign w:val="center"/>
          </w:tcPr>
          <w:p w14:paraId="30FD6FFE">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2026-06-30</w:t>
            </w:r>
          </w:p>
        </w:tc>
        <w:tc>
          <w:tcPr>
            <w:tcW w:w="656" w:type="pct"/>
            <w:gridSpan w:val="2"/>
            <w:tcBorders>
              <w:top w:val="single" w:color="auto" w:sz="4" w:space="0"/>
              <w:left w:val="nil"/>
              <w:bottom w:val="single" w:color="auto" w:sz="4" w:space="0"/>
              <w:right w:val="single" w:color="auto" w:sz="4" w:space="0"/>
            </w:tcBorders>
            <w:shd w:val="clear" w:color="000000" w:fill="FFFFFF"/>
            <w:vAlign w:val="center"/>
          </w:tcPr>
          <w:p w14:paraId="05BE3BC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2026-12-31</w:t>
            </w:r>
          </w:p>
        </w:tc>
        <w:tc>
          <w:tcPr>
            <w:tcW w:w="656" w:type="pct"/>
            <w:gridSpan w:val="2"/>
            <w:tcBorders>
              <w:top w:val="single" w:color="auto" w:sz="4" w:space="0"/>
              <w:left w:val="nil"/>
              <w:bottom w:val="single" w:color="auto" w:sz="4" w:space="0"/>
              <w:right w:val="single" w:color="auto" w:sz="4" w:space="0"/>
            </w:tcBorders>
            <w:shd w:val="clear" w:color="000000" w:fill="FFFFFF"/>
            <w:vAlign w:val="center"/>
          </w:tcPr>
          <w:p w14:paraId="6E07958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2027-12-31</w:t>
            </w:r>
          </w:p>
        </w:tc>
        <w:tc>
          <w:tcPr>
            <w:tcW w:w="656" w:type="pct"/>
            <w:gridSpan w:val="2"/>
            <w:tcBorders>
              <w:top w:val="single" w:color="auto" w:sz="4" w:space="0"/>
              <w:left w:val="nil"/>
              <w:bottom w:val="single" w:color="auto" w:sz="4" w:space="0"/>
              <w:right w:val="single" w:color="auto" w:sz="4" w:space="0"/>
            </w:tcBorders>
            <w:shd w:val="clear" w:color="000000" w:fill="FFFFFF"/>
            <w:vAlign w:val="center"/>
          </w:tcPr>
          <w:p w14:paraId="34007F9D">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2028-12-31</w:t>
            </w:r>
          </w:p>
        </w:tc>
        <w:tc>
          <w:tcPr>
            <w:tcW w:w="656" w:type="pct"/>
            <w:gridSpan w:val="2"/>
            <w:tcBorders>
              <w:top w:val="single" w:color="auto" w:sz="4" w:space="0"/>
              <w:left w:val="nil"/>
              <w:bottom w:val="single" w:color="auto" w:sz="4" w:space="0"/>
              <w:right w:val="single" w:color="auto" w:sz="4" w:space="0"/>
            </w:tcBorders>
            <w:shd w:val="clear" w:color="000000" w:fill="FFFFFF"/>
            <w:vAlign w:val="center"/>
          </w:tcPr>
          <w:p w14:paraId="122C7198">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2029-12-31</w:t>
            </w:r>
          </w:p>
        </w:tc>
      </w:tr>
      <w:tr w14:paraId="7D7413FA">
        <w:tblPrEx>
          <w:tblCellMar>
            <w:top w:w="0" w:type="dxa"/>
            <w:left w:w="70" w:type="dxa"/>
            <w:bottom w:w="0" w:type="dxa"/>
            <w:right w:w="70" w:type="dxa"/>
          </w:tblCellMar>
        </w:tblPrEx>
        <w:trPr>
          <w:trHeight w:val="1238" w:hRule="atLeast"/>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21278A6E">
            <w:pPr>
              <w:spacing w:after="0" w:line="240" w:lineRule="auto"/>
              <w:rPr>
                <w:rFonts w:ascii="Times New Roman" w:hAnsi="Times New Roman" w:eastAsia="Times New Roman" w:cs="Times New Roman"/>
                <w:b/>
                <w:bCs/>
                <w:color w:val="000000"/>
                <w:sz w:val="18"/>
                <w:szCs w:val="18"/>
                <w:lang w:eastAsia="pl-PL"/>
              </w:rPr>
            </w:pPr>
          </w:p>
        </w:tc>
        <w:tc>
          <w:tcPr>
            <w:tcW w:w="258" w:type="pct"/>
            <w:tcBorders>
              <w:top w:val="nil"/>
              <w:left w:val="nil"/>
              <w:bottom w:val="single" w:color="auto" w:sz="4" w:space="0"/>
              <w:right w:val="single" w:color="auto" w:sz="4" w:space="0"/>
            </w:tcBorders>
            <w:shd w:val="clear" w:color="auto" w:fill="auto"/>
            <w:vAlign w:val="center"/>
          </w:tcPr>
          <w:p w14:paraId="04F65D8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398" w:type="pct"/>
            <w:tcBorders>
              <w:top w:val="nil"/>
              <w:left w:val="nil"/>
              <w:bottom w:val="single" w:color="auto" w:sz="4" w:space="0"/>
              <w:right w:val="single" w:color="auto" w:sz="4" w:space="0"/>
            </w:tcBorders>
            <w:shd w:val="clear" w:color="auto" w:fill="auto"/>
            <w:vAlign w:val="center"/>
          </w:tcPr>
          <w:p w14:paraId="7A6DD28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c>
          <w:tcPr>
            <w:tcW w:w="361" w:type="pct"/>
            <w:tcBorders>
              <w:top w:val="nil"/>
              <w:left w:val="nil"/>
              <w:bottom w:val="single" w:color="auto" w:sz="4" w:space="0"/>
              <w:right w:val="single" w:color="auto" w:sz="4" w:space="0"/>
            </w:tcBorders>
            <w:shd w:val="clear" w:color="auto" w:fill="auto"/>
            <w:vAlign w:val="center"/>
          </w:tcPr>
          <w:p w14:paraId="6232C63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409" w:type="pct"/>
            <w:tcBorders>
              <w:top w:val="nil"/>
              <w:left w:val="nil"/>
              <w:bottom w:val="single" w:color="auto" w:sz="4" w:space="0"/>
              <w:right w:val="single" w:color="auto" w:sz="4" w:space="0"/>
            </w:tcBorders>
            <w:shd w:val="clear" w:color="auto" w:fill="auto"/>
            <w:vAlign w:val="center"/>
          </w:tcPr>
          <w:p w14:paraId="50EAC39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c>
          <w:tcPr>
            <w:tcW w:w="341" w:type="pct"/>
            <w:tcBorders>
              <w:top w:val="nil"/>
              <w:left w:val="nil"/>
              <w:bottom w:val="single" w:color="auto" w:sz="4" w:space="0"/>
              <w:right w:val="single" w:color="auto" w:sz="4" w:space="0"/>
            </w:tcBorders>
            <w:shd w:val="clear" w:color="auto" w:fill="auto"/>
            <w:vAlign w:val="center"/>
          </w:tcPr>
          <w:p w14:paraId="595E0D49">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315" w:type="pct"/>
            <w:tcBorders>
              <w:top w:val="nil"/>
              <w:left w:val="nil"/>
              <w:bottom w:val="single" w:color="auto" w:sz="4" w:space="0"/>
              <w:right w:val="single" w:color="auto" w:sz="4" w:space="0"/>
            </w:tcBorders>
            <w:shd w:val="clear" w:color="auto" w:fill="auto"/>
            <w:vAlign w:val="center"/>
          </w:tcPr>
          <w:p w14:paraId="0830816A">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c>
          <w:tcPr>
            <w:tcW w:w="340" w:type="pct"/>
            <w:tcBorders>
              <w:top w:val="nil"/>
              <w:left w:val="nil"/>
              <w:bottom w:val="single" w:color="auto" w:sz="4" w:space="0"/>
              <w:right w:val="single" w:color="auto" w:sz="4" w:space="0"/>
            </w:tcBorders>
            <w:shd w:val="clear" w:color="auto" w:fill="auto"/>
            <w:vAlign w:val="center"/>
          </w:tcPr>
          <w:p w14:paraId="47E17575">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316" w:type="pct"/>
            <w:tcBorders>
              <w:top w:val="nil"/>
              <w:left w:val="nil"/>
              <w:bottom w:val="single" w:color="auto" w:sz="4" w:space="0"/>
              <w:right w:val="single" w:color="auto" w:sz="4" w:space="0"/>
            </w:tcBorders>
            <w:shd w:val="clear" w:color="auto" w:fill="auto"/>
            <w:vAlign w:val="center"/>
          </w:tcPr>
          <w:p w14:paraId="2F63DAF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c>
          <w:tcPr>
            <w:tcW w:w="258" w:type="pct"/>
            <w:tcBorders>
              <w:top w:val="nil"/>
              <w:left w:val="nil"/>
              <w:bottom w:val="single" w:color="auto" w:sz="4" w:space="0"/>
              <w:right w:val="single" w:color="auto" w:sz="4" w:space="0"/>
            </w:tcBorders>
            <w:shd w:val="clear" w:color="auto" w:fill="auto"/>
            <w:vAlign w:val="center"/>
          </w:tcPr>
          <w:p w14:paraId="24D38721">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398" w:type="pct"/>
            <w:tcBorders>
              <w:top w:val="nil"/>
              <w:left w:val="nil"/>
              <w:bottom w:val="single" w:color="auto" w:sz="4" w:space="0"/>
              <w:right w:val="single" w:color="auto" w:sz="4" w:space="0"/>
            </w:tcBorders>
            <w:shd w:val="clear" w:color="auto" w:fill="auto"/>
            <w:vAlign w:val="center"/>
          </w:tcPr>
          <w:p w14:paraId="61F3B13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c>
          <w:tcPr>
            <w:tcW w:w="258" w:type="pct"/>
            <w:tcBorders>
              <w:top w:val="nil"/>
              <w:left w:val="nil"/>
              <w:bottom w:val="single" w:color="auto" w:sz="4" w:space="0"/>
              <w:right w:val="single" w:color="auto" w:sz="4" w:space="0"/>
            </w:tcBorders>
            <w:shd w:val="clear" w:color="auto" w:fill="auto"/>
            <w:vAlign w:val="center"/>
          </w:tcPr>
          <w:p w14:paraId="5CE2559C">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398" w:type="pct"/>
            <w:tcBorders>
              <w:top w:val="nil"/>
              <w:left w:val="nil"/>
              <w:bottom w:val="single" w:color="auto" w:sz="4" w:space="0"/>
              <w:right w:val="single" w:color="auto" w:sz="4" w:space="0"/>
            </w:tcBorders>
            <w:shd w:val="clear" w:color="auto" w:fill="auto"/>
            <w:vAlign w:val="center"/>
          </w:tcPr>
          <w:p w14:paraId="71FB1836">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c>
          <w:tcPr>
            <w:tcW w:w="258" w:type="pct"/>
            <w:tcBorders>
              <w:top w:val="nil"/>
              <w:left w:val="nil"/>
              <w:bottom w:val="single" w:color="auto" w:sz="4" w:space="0"/>
              <w:right w:val="single" w:color="auto" w:sz="4" w:space="0"/>
            </w:tcBorders>
            <w:shd w:val="clear" w:color="auto" w:fill="auto"/>
            <w:vAlign w:val="center"/>
          </w:tcPr>
          <w:p w14:paraId="48DCC7F4">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Kwota ogółem (UE+ krajowe)</w:t>
            </w:r>
          </w:p>
        </w:tc>
        <w:tc>
          <w:tcPr>
            <w:tcW w:w="398" w:type="pct"/>
            <w:tcBorders>
              <w:top w:val="nil"/>
              <w:left w:val="nil"/>
              <w:bottom w:val="single" w:color="auto" w:sz="4" w:space="0"/>
              <w:right w:val="single" w:color="auto" w:sz="4" w:space="0"/>
            </w:tcBorders>
            <w:shd w:val="clear" w:color="auto" w:fill="auto"/>
            <w:vAlign w:val="center"/>
          </w:tcPr>
          <w:p w14:paraId="58EFAAB0">
            <w:pPr>
              <w:spacing w:after="0" w:line="240" w:lineRule="auto"/>
              <w:jc w:val="center"/>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wykorzystania budżetu LSR</w:t>
            </w:r>
          </w:p>
        </w:tc>
      </w:tr>
      <w:tr w14:paraId="60F1E9A1">
        <w:tblPrEx>
          <w:tblCellMar>
            <w:top w:w="0" w:type="dxa"/>
            <w:left w:w="70" w:type="dxa"/>
            <w:bottom w:w="0" w:type="dxa"/>
            <w:right w:w="70" w:type="dxa"/>
          </w:tblCellMar>
        </w:tblPrEx>
        <w:trPr>
          <w:trHeight w:val="720" w:hRule="atLeast"/>
        </w:trPr>
        <w:tc>
          <w:tcPr>
            <w:tcW w:w="294" w:type="pct"/>
            <w:tcBorders>
              <w:top w:val="nil"/>
              <w:left w:val="single" w:color="auto" w:sz="4" w:space="0"/>
              <w:bottom w:val="single" w:color="auto" w:sz="4" w:space="0"/>
              <w:right w:val="single" w:color="auto" w:sz="4" w:space="0"/>
            </w:tcBorders>
            <w:shd w:val="clear" w:color="000000" w:fill="FFFFFF"/>
            <w:vAlign w:val="center"/>
          </w:tcPr>
          <w:p w14:paraId="692F4931">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EFROW</w:t>
            </w:r>
          </w:p>
        </w:tc>
        <w:tc>
          <w:tcPr>
            <w:tcW w:w="258" w:type="pct"/>
            <w:tcBorders>
              <w:top w:val="nil"/>
              <w:left w:val="nil"/>
              <w:bottom w:val="single" w:color="auto" w:sz="4" w:space="0"/>
              <w:right w:val="single" w:color="auto" w:sz="4" w:space="0"/>
            </w:tcBorders>
            <w:shd w:val="clear" w:color="auto" w:fill="auto"/>
            <w:vAlign w:val="center"/>
          </w:tcPr>
          <w:p w14:paraId="5617C1E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6875AFD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61" w:type="pct"/>
            <w:tcBorders>
              <w:top w:val="nil"/>
              <w:left w:val="nil"/>
              <w:bottom w:val="single" w:color="auto" w:sz="4" w:space="0"/>
              <w:right w:val="single" w:color="auto" w:sz="4" w:space="0"/>
            </w:tcBorders>
            <w:shd w:val="clear" w:color="auto" w:fill="auto"/>
            <w:vAlign w:val="center"/>
          </w:tcPr>
          <w:p w14:paraId="05E8133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1 710 000   </w:t>
            </w:r>
          </w:p>
        </w:tc>
        <w:tc>
          <w:tcPr>
            <w:tcW w:w="409" w:type="pct"/>
            <w:tcBorders>
              <w:top w:val="nil"/>
              <w:left w:val="nil"/>
              <w:bottom w:val="single" w:color="auto" w:sz="4" w:space="0"/>
              <w:right w:val="single" w:color="auto" w:sz="4" w:space="0"/>
            </w:tcBorders>
            <w:shd w:val="clear" w:color="auto" w:fill="auto"/>
            <w:vAlign w:val="center"/>
          </w:tcPr>
          <w:p w14:paraId="3336EB3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57%</w:t>
            </w:r>
          </w:p>
        </w:tc>
        <w:tc>
          <w:tcPr>
            <w:tcW w:w="341" w:type="pct"/>
            <w:tcBorders>
              <w:top w:val="nil"/>
              <w:left w:val="nil"/>
              <w:bottom w:val="single" w:color="auto" w:sz="4" w:space="0"/>
              <w:right w:val="single" w:color="auto" w:sz="4" w:space="0"/>
            </w:tcBorders>
            <w:shd w:val="clear" w:color="auto" w:fill="auto"/>
            <w:vAlign w:val="center"/>
          </w:tcPr>
          <w:p w14:paraId="5CEA97F0">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1 710 000   </w:t>
            </w:r>
          </w:p>
        </w:tc>
        <w:tc>
          <w:tcPr>
            <w:tcW w:w="315" w:type="pct"/>
            <w:tcBorders>
              <w:top w:val="nil"/>
              <w:left w:val="nil"/>
              <w:bottom w:val="single" w:color="auto" w:sz="4" w:space="0"/>
              <w:right w:val="single" w:color="auto" w:sz="4" w:space="0"/>
            </w:tcBorders>
            <w:shd w:val="clear" w:color="auto" w:fill="auto"/>
            <w:vAlign w:val="center"/>
          </w:tcPr>
          <w:p w14:paraId="2ED3AEC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57%</w:t>
            </w:r>
          </w:p>
        </w:tc>
        <w:tc>
          <w:tcPr>
            <w:tcW w:w="340" w:type="pct"/>
            <w:tcBorders>
              <w:top w:val="nil"/>
              <w:left w:val="nil"/>
              <w:bottom w:val="single" w:color="auto" w:sz="4" w:space="0"/>
              <w:right w:val="single" w:color="auto" w:sz="4" w:space="0"/>
            </w:tcBorders>
            <w:shd w:val="clear" w:color="auto" w:fill="auto"/>
            <w:vAlign w:val="center"/>
          </w:tcPr>
          <w:p w14:paraId="09E5B56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1 290 000   </w:t>
            </w:r>
          </w:p>
        </w:tc>
        <w:tc>
          <w:tcPr>
            <w:tcW w:w="316" w:type="pct"/>
            <w:tcBorders>
              <w:top w:val="nil"/>
              <w:left w:val="nil"/>
              <w:bottom w:val="single" w:color="auto" w:sz="4" w:space="0"/>
              <w:right w:val="single" w:color="auto" w:sz="4" w:space="0"/>
            </w:tcBorders>
            <w:shd w:val="clear" w:color="auto" w:fill="auto"/>
            <w:vAlign w:val="center"/>
          </w:tcPr>
          <w:p w14:paraId="4C6E175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3681A73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26F9B21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5431070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77E74AA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7F27712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272C136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r>
      <w:tr w14:paraId="1D503127">
        <w:tblPrEx>
          <w:tblCellMar>
            <w:top w:w="0" w:type="dxa"/>
            <w:left w:w="70" w:type="dxa"/>
            <w:bottom w:w="0" w:type="dxa"/>
            <w:right w:w="70" w:type="dxa"/>
          </w:tblCellMar>
        </w:tblPrEx>
        <w:trPr>
          <w:trHeight w:val="720" w:hRule="atLeast"/>
        </w:trPr>
        <w:tc>
          <w:tcPr>
            <w:tcW w:w="294" w:type="pct"/>
            <w:tcBorders>
              <w:top w:val="nil"/>
              <w:left w:val="single" w:color="auto" w:sz="4" w:space="0"/>
              <w:bottom w:val="single" w:color="auto" w:sz="4" w:space="0"/>
              <w:right w:val="single" w:color="auto" w:sz="4" w:space="0"/>
            </w:tcBorders>
            <w:shd w:val="clear" w:color="000000" w:fill="FFFFFF"/>
            <w:vAlign w:val="center"/>
          </w:tcPr>
          <w:p w14:paraId="3B9CA5B2">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EFS+</w:t>
            </w:r>
          </w:p>
        </w:tc>
        <w:tc>
          <w:tcPr>
            <w:tcW w:w="258" w:type="pct"/>
            <w:tcBorders>
              <w:top w:val="nil"/>
              <w:left w:val="nil"/>
              <w:bottom w:val="single" w:color="auto" w:sz="4" w:space="0"/>
              <w:right w:val="single" w:color="auto" w:sz="4" w:space="0"/>
            </w:tcBorders>
            <w:shd w:val="clear" w:color="auto" w:fill="auto"/>
            <w:vAlign w:val="center"/>
          </w:tcPr>
          <w:p w14:paraId="038D803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667BD28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61" w:type="pct"/>
            <w:tcBorders>
              <w:top w:val="nil"/>
              <w:left w:val="nil"/>
              <w:bottom w:val="single" w:color="auto" w:sz="4" w:space="0"/>
              <w:right w:val="single" w:color="auto" w:sz="4" w:space="0"/>
            </w:tcBorders>
            <w:shd w:val="clear" w:color="auto" w:fill="auto"/>
            <w:vAlign w:val="center"/>
          </w:tcPr>
          <w:p w14:paraId="3748997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0   </w:t>
            </w:r>
          </w:p>
        </w:tc>
        <w:tc>
          <w:tcPr>
            <w:tcW w:w="409" w:type="pct"/>
            <w:tcBorders>
              <w:top w:val="nil"/>
              <w:left w:val="nil"/>
              <w:bottom w:val="single" w:color="auto" w:sz="4" w:space="0"/>
              <w:right w:val="single" w:color="auto" w:sz="4" w:space="0"/>
            </w:tcBorders>
            <w:shd w:val="clear" w:color="auto" w:fill="auto"/>
            <w:vAlign w:val="center"/>
          </w:tcPr>
          <w:p w14:paraId="7734B0A3">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41" w:type="pct"/>
            <w:tcBorders>
              <w:top w:val="nil"/>
              <w:left w:val="nil"/>
              <w:bottom w:val="single" w:color="auto" w:sz="4" w:space="0"/>
              <w:right w:val="single" w:color="auto" w:sz="4" w:space="0"/>
            </w:tcBorders>
            <w:shd w:val="clear" w:color="000000" w:fill="D9D9D9"/>
            <w:vAlign w:val="center"/>
          </w:tcPr>
          <w:p w14:paraId="3B695CD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315" w:type="pct"/>
            <w:tcBorders>
              <w:top w:val="nil"/>
              <w:left w:val="nil"/>
              <w:bottom w:val="single" w:color="auto" w:sz="4" w:space="0"/>
              <w:right w:val="single" w:color="auto" w:sz="4" w:space="0"/>
            </w:tcBorders>
            <w:shd w:val="clear" w:color="000000" w:fill="D9D9D9"/>
            <w:vAlign w:val="center"/>
          </w:tcPr>
          <w:p w14:paraId="541AA4A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340" w:type="pct"/>
            <w:tcBorders>
              <w:top w:val="nil"/>
              <w:left w:val="nil"/>
              <w:bottom w:val="single" w:color="auto" w:sz="4" w:space="0"/>
              <w:right w:val="single" w:color="auto" w:sz="4" w:space="0"/>
            </w:tcBorders>
            <w:shd w:val="clear" w:color="auto" w:fill="auto"/>
            <w:vAlign w:val="center"/>
          </w:tcPr>
          <w:p w14:paraId="1D2B75A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609 710   </w:t>
            </w:r>
          </w:p>
        </w:tc>
        <w:tc>
          <w:tcPr>
            <w:tcW w:w="316" w:type="pct"/>
            <w:tcBorders>
              <w:top w:val="nil"/>
              <w:left w:val="nil"/>
              <w:bottom w:val="single" w:color="auto" w:sz="4" w:space="0"/>
              <w:right w:val="single" w:color="auto" w:sz="4" w:space="0"/>
            </w:tcBorders>
            <w:shd w:val="clear" w:color="auto" w:fill="auto"/>
            <w:vAlign w:val="center"/>
          </w:tcPr>
          <w:p w14:paraId="274C8EF6">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3F15354E">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2BAAC52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515B595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388034F4">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297C4B4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205FFBE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r>
      <w:tr w14:paraId="128C463C">
        <w:tblPrEx>
          <w:tblCellMar>
            <w:top w:w="0" w:type="dxa"/>
            <w:left w:w="70" w:type="dxa"/>
            <w:bottom w:w="0" w:type="dxa"/>
            <w:right w:w="70" w:type="dxa"/>
          </w:tblCellMar>
        </w:tblPrEx>
        <w:trPr>
          <w:trHeight w:val="720" w:hRule="atLeast"/>
        </w:trPr>
        <w:tc>
          <w:tcPr>
            <w:tcW w:w="294" w:type="pct"/>
            <w:tcBorders>
              <w:top w:val="nil"/>
              <w:left w:val="single" w:color="auto" w:sz="4" w:space="0"/>
              <w:bottom w:val="single" w:color="auto" w:sz="4" w:space="0"/>
              <w:right w:val="single" w:color="auto" w:sz="4" w:space="0"/>
            </w:tcBorders>
            <w:shd w:val="clear" w:color="000000" w:fill="FFFFFF"/>
            <w:vAlign w:val="center"/>
          </w:tcPr>
          <w:p w14:paraId="287A6349">
            <w:pPr>
              <w:spacing w:after="0" w:line="240" w:lineRule="auto"/>
              <w:rPr>
                <w:rFonts w:ascii="Times New Roman" w:hAnsi="Times New Roman" w:eastAsia="Times New Roman" w:cs="Times New Roman"/>
                <w:color w:val="000000"/>
                <w:sz w:val="20"/>
                <w:szCs w:val="20"/>
                <w:lang w:eastAsia="pl-PL"/>
              </w:rPr>
            </w:pPr>
            <w:r>
              <w:rPr>
                <w:rFonts w:ascii="Times New Roman" w:hAnsi="Times New Roman" w:eastAsia="Times New Roman" w:cs="Times New Roman"/>
                <w:color w:val="000000"/>
                <w:sz w:val="20"/>
                <w:szCs w:val="20"/>
                <w:lang w:eastAsia="pl-PL"/>
              </w:rPr>
              <w:t>EFRR</w:t>
            </w:r>
          </w:p>
        </w:tc>
        <w:tc>
          <w:tcPr>
            <w:tcW w:w="258" w:type="pct"/>
            <w:tcBorders>
              <w:top w:val="nil"/>
              <w:left w:val="nil"/>
              <w:bottom w:val="single" w:color="auto" w:sz="4" w:space="0"/>
              <w:right w:val="single" w:color="auto" w:sz="4" w:space="0"/>
            </w:tcBorders>
            <w:shd w:val="clear" w:color="auto" w:fill="auto"/>
            <w:vAlign w:val="center"/>
          </w:tcPr>
          <w:p w14:paraId="7A3FB13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787FB3E5">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61" w:type="pct"/>
            <w:tcBorders>
              <w:top w:val="nil"/>
              <w:left w:val="nil"/>
              <w:bottom w:val="single" w:color="auto" w:sz="4" w:space="0"/>
              <w:right w:val="single" w:color="auto" w:sz="4" w:space="0"/>
            </w:tcBorders>
            <w:shd w:val="clear" w:color="auto" w:fill="auto"/>
            <w:vAlign w:val="center"/>
          </w:tcPr>
          <w:p w14:paraId="56255BB1">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0   </w:t>
            </w:r>
          </w:p>
        </w:tc>
        <w:tc>
          <w:tcPr>
            <w:tcW w:w="409" w:type="pct"/>
            <w:tcBorders>
              <w:top w:val="nil"/>
              <w:left w:val="nil"/>
              <w:bottom w:val="single" w:color="auto" w:sz="4" w:space="0"/>
              <w:right w:val="single" w:color="auto" w:sz="4" w:space="0"/>
            </w:tcBorders>
            <w:shd w:val="clear" w:color="auto" w:fill="auto"/>
            <w:vAlign w:val="center"/>
          </w:tcPr>
          <w:p w14:paraId="723B66B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41" w:type="pct"/>
            <w:tcBorders>
              <w:top w:val="nil"/>
              <w:left w:val="nil"/>
              <w:bottom w:val="single" w:color="auto" w:sz="4" w:space="0"/>
              <w:right w:val="single" w:color="auto" w:sz="4" w:space="0"/>
            </w:tcBorders>
            <w:shd w:val="clear" w:color="000000" w:fill="D9D9D9"/>
            <w:vAlign w:val="center"/>
          </w:tcPr>
          <w:p w14:paraId="6BE1983B">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315" w:type="pct"/>
            <w:tcBorders>
              <w:top w:val="nil"/>
              <w:left w:val="nil"/>
              <w:bottom w:val="single" w:color="auto" w:sz="4" w:space="0"/>
              <w:right w:val="single" w:color="auto" w:sz="4" w:space="0"/>
            </w:tcBorders>
            <w:shd w:val="clear" w:color="000000" w:fill="D9D9D9"/>
            <w:vAlign w:val="center"/>
          </w:tcPr>
          <w:p w14:paraId="489A108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w:t>
            </w:r>
          </w:p>
        </w:tc>
        <w:tc>
          <w:tcPr>
            <w:tcW w:w="340" w:type="pct"/>
            <w:tcBorders>
              <w:top w:val="nil"/>
              <w:left w:val="nil"/>
              <w:bottom w:val="single" w:color="auto" w:sz="4" w:space="0"/>
              <w:right w:val="single" w:color="auto" w:sz="4" w:space="0"/>
            </w:tcBorders>
            <w:shd w:val="clear" w:color="auto" w:fill="auto"/>
            <w:vAlign w:val="center"/>
          </w:tcPr>
          <w:p w14:paraId="59793069">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 xml:space="preserve">1 327 020   </w:t>
            </w:r>
          </w:p>
        </w:tc>
        <w:tc>
          <w:tcPr>
            <w:tcW w:w="316" w:type="pct"/>
            <w:tcBorders>
              <w:top w:val="nil"/>
              <w:left w:val="nil"/>
              <w:bottom w:val="single" w:color="auto" w:sz="4" w:space="0"/>
              <w:right w:val="single" w:color="auto" w:sz="4" w:space="0"/>
            </w:tcBorders>
            <w:shd w:val="clear" w:color="auto" w:fill="auto"/>
            <w:vAlign w:val="center"/>
          </w:tcPr>
          <w:p w14:paraId="1943016A">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3A9A0E1C">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431C1067">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26AE1D28">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00A143ED">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c>
          <w:tcPr>
            <w:tcW w:w="258" w:type="pct"/>
            <w:tcBorders>
              <w:top w:val="nil"/>
              <w:left w:val="nil"/>
              <w:bottom w:val="single" w:color="auto" w:sz="4" w:space="0"/>
              <w:right w:val="single" w:color="auto" w:sz="4" w:space="0"/>
            </w:tcBorders>
            <w:shd w:val="clear" w:color="auto" w:fill="auto"/>
            <w:vAlign w:val="center"/>
          </w:tcPr>
          <w:p w14:paraId="45B79E02">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0</w:t>
            </w:r>
          </w:p>
        </w:tc>
        <w:tc>
          <w:tcPr>
            <w:tcW w:w="398" w:type="pct"/>
            <w:tcBorders>
              <w:top w:val="nil"/>
              <w:left w:val="nil"/>
              <w:bottom w:val="single" w:color="auto" w:sz="4" w:space="0"/>
              <w:right w:val="single" w:color="auto" w:sz="4" w:space="0"/>
            </w:tcBorders>
            <w:shd w:val="clear" w:color="auto" w:fill="auto"/>
            <w:vAlign w:val="center"/>
          </w:tcPr>
          <w:p w14:paraId="3035946F">
            <w:pPr>
              <w:spacing w:after="0" w:line="240" w:lineRule="auto"/>
              <w:jc w:val="right"/>
              <w:rPr>
                <w:rFonts w:ascii="Times New Roman" w:hAnsi="Times New Roman" w:eastAsia="Times New Roman" w:cs="Times New Roman"/>
                <w:color w:val="000000"/>
                <w:sz w:val="18"/>
                <w:szCs w:val="18"/>
                <w:lang w:eastAsia="pl-PL"/>
              </w:rPr>
            </w:pPr>
            <w:r>
              <w:rPr>
                <w:rFonts w:ascii="Times New Roman" w:hAnsi="Times New Roman" w:eastAsia="Times New Roman" w:cs="Times New Roman"/>
                <w:color w:val="000000"/>
                <w:sz w:val="18"/>
                <w:szCs w:val="18"/>
                <w:lang w:eastAsia="pl-PL"/>
              </w:rPr>
              <w:t>100%</w:t>
            </w:r>
          </w:p>
        </w:tc>
      </w:tr>
      <w:tr w14:paraId="643285C4">
        <w:tblPrEx>
          <w:tblCellMar>
            <w:top w:w="0" w:type="dxa"/>
            <w:left w:w="70" w:type="dxa"/>
            <w:bottom w:w="0" w:type="dxa"/>
            <w:right w:w="70" w:type="dxa"/>
          </w:tblCellMar>
        </w:tblPrEx>
        <w:trPr>
          <w:trHeight w:val="720" w:hRule="atLeast"/>
        </w:trPr>
        <w:tc>
          <w:tcPr>
            <w:tcW w:w="294" w:type="pct"/>
            <w:tcBorders>
              <w:top w:val="nil"/>
              <w:left w:val="single" w:color="auto" w:sz="4" w:space="0"/>
              <w:bottom w:val="single" w:color="auto" w:sz="4" w:space="0"/>
              <w:right w:val="single" w:color="auto" w:sz="4" w:space="0"/>
            </w:tcBorders>
            <w:shd w:val="clear" w:color="000000" w:fill="FFFFFF"/>
            <w:vAlign w:val="center"/>
          </w:tcPr>
          <w:p w14:paraId="2A6F3275">
            <w:pPr>
              <w:spacing w:after="0" w:line="240" w:lineRule="auto"/>
              <w:rPr>
                <w:rFonts w:ascii="Times New Roman" w:hAnsi="Times New Roman" w:eastAsia="Times New Roman" w:cs="Times New Roman"/>
                <w:b/>
                <w:bCs/>
                <w:color w:val="000000"/>
                <w:sz w:val="20"/>
                <w:szCs w:val="20"/>
                <w:lang w:eastAsia="pl-PL"/>
              </w:rPr>
            </w:pPr>
            <w:r>
              <w:rPr>
                <w:rFonts w:ascii="Times New Roman" w:hAnsi="Times New Roman" w:eastAsia="Times New Roman" w:cs="Times New Roman"/>
                <w:b/>
                <w:bCs/>
                <w:color w:val="000000"/>
                <w:sz w:val="20"/>
                <w:szCs w:val="20"/>
                <w:lang w:eastAsia="pl-PL"/>
              </w:rPr>
              <w:t>RAZEM</w:t>
            </w:r>
          </w:p>
        </w:tc>
        <w:tc>
          <w:tcPr>
            <w:tcW w:w="258" w:type="pct"/>
            <w:tcBorders>
              <w:top w:val="nil"/>
              <w:left w:val="nil"/>
              <w:bottom w:val="single" w:color="auto" w:sz="4" w:space="0"/>
              <w:right w:val="single" w:color="auto" w:sz="4" w:space="0"/>
            </w:tcBorders>
            <w:shd w:val="clear" w:color="auto" w:fill="auto"/>
            <w:vAlign w:val="center"/>
          </w:tcPr>
          <w:p w14:paraId="06EF70FF">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2ACEACD9">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0,00%</w:t>
            </w:r>
          </w:p>
        </w:tc>
        <w:tc>
          <w:tcPr>
            <w:tcW w:w="361" w:type="pct"/>
            <w:tcBorders>
              <w:top w:val="nil"/>
              <w:left w:val="nil"/>
              <w:bottom w:val="single" w:color="auto" w:sz="4" w:space="0"/>
              <w:right w:val="single" w:color="auto" w:sz="4" w:space="0"/>
            </w:tcBorders>
            <w:shd w:val="clear" w:color="auto" w:fill="auto"/>
            <w:vAlign w:val="center"/>
          </w:tcPr>
          <w:p w14:paraId="55C9BBE0">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1 710 000   </w:t>
            </w:r>
          </w:p>
        </w:tc>
        <w:tc>
          <w:tcPr>
            <w:tcW w:w="409" w:type="pct"/>
            <w:tcBorders>
              <w:top w:val="nil"/>
              <w:left w:val="nil"/>
              <w:bottom w:val="single" w:color="auto" w:sz="4" w:space="0"/>
              <w:right w:val="single" w:color="auto" w:sz="4" w:space="0"/>
            </w:tcBorders>
            <w:shd w:val="clear" w:color="auto" w:fill="auto"/>
            <w:vAlign w:val="center"/>
          </w:tcPr>
          <w:p w14:paraId="37395F4F">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34,64%</w:t>
            </w:r>
          </w:p>
        </w:tc>
        <w:tc>
          <w:tcPr>
            <w:tcW w:w="341" w:type="pct"/>
            <w:tcBorders>
              <w:top w:val="nil"/>
              <w:left w:val="nil"/>
              <w:bottom w:val="single" w:color="auto" w:sz="4" w:space="0"/>
              <w:right w:val="single" w:color="auto" w:sz="4" w:space="0"/>
            </w:tcBorders>
            <w:shd w:val="clear" w:color="000000" w:fill="D9D9D9"/>
            <w:vAlign w:val="center"/>
          </w:tcPr>
          <w:p w14:paraId="2F0A38DC">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w:t>
            </w:r>
          </w:p>
        </w:tc>
        <w:tc>
          <w:tcPr>
            <w:tcW w:w="315" w:type="pct"/>
            <w:tcBorders>
              <w:top w:val="nil"/>
              <w:left w:val="nil"/>
              <w:bottom w:val="single" w:color="auto" w:sz="4" w:space="0"/>
              <w:right w:val="single" w:color="auto" w:sz="4" w:space="0"/>
            </w:tcBorders>
            <w:shd w:val="clear" w:color="000000" w:fill="D9D9D9"/>
            <w:vAlign w:val="center"/>
          </w:tcPr>
          <w:p w14:paraId="36341DA0">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w:t>
            </w:r>
          </w:p>
        </w:tc>
        <w:tc>
          <w:tcPr>
            <w:tcW w:w="340" w:type="pct"/>
            <w:tcBorders>
              <w:top w:val="nil"/>
              <w:left w:val="nil"/>
              <w:bottom w:val="single" w:color="auto" w:sz="4" w:space="0"/>
              <w:right w:val="single" w:color="auto" w:sz="4" w:space="0"/>
            </w:tcBorders>
            <w:shd w:val="clear" w:color="auto" w:fill="auto"/>
            <w:vAlign w:val="center"/>
          </w:tcPr>
          <w:p w14:paraId="08614477">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3 226 730   </w:t>
            </w:r>
          </w:p>
        </w:tc>
        <w:tc>
          <w:tcPr>
            <w:tcW w:w="316" w:type="pct"/>
            <w:tcBorders>
              <w:top w:val="nil"/>
              <w:left w:val="nil"/>
              <w:bottom w:val="single" w:color="auto" w:sz="4" w:space="0"/>
              <w:right w:val="single" w:color="auto" w:sz="4" w:space="0"/>
            </w:tcBorders>
            <w:shd w:val="clear" w:color="auto" w:fill="auto"/>
            <w:vAlign w:val="center"/>
          </w:tcPr>
          <w:p w14:paraId="168C4BB2">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100,00%</w:t>
            </w:r>
          </w:p>
        </w:tc>
        <w:tc>
          <w:tcPr>
            <w:tcW w:w="258" w:type="pct"/>
            <w:tcBorders>
              <w:top w:val="nil"/>
              <w:left w:val="nil"/>
              <w:bottom w:val="single" w:color="auto" w:sz="4" w:space="0"/>
              <w:right w:val="single" w:color="auto" w:sz="4" w:space="0"/>
            </w:tcBorders>
            <w:shd w:val="clear" w:color="auto" w:fill="auto"/>
            <w:vAlign w:val="center"/>
          </w:tcPr>
          <w:p w14:paraId="1F40A390">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0DCF9220">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100,00%</w:t>
            </w:r>
          </w:p>
        </w:tc>
        <w:tc>
          <w:tcPr>
            <w:tcW w:w="258" w:type="pct"/>
            <w:tcBorders>
              <w:top w:val="nil"/>
              <w:left w:val="nil"/>
              <w:bottom w:val="single" w:color="auto" w:sz="4" w:space="0"/>
              <w:right w:val="single" w:color="auto" w:sz="4" w:space="0"/>
            </w:tcBorders>
            <w:shd w:val="clear" w:color="auto" w:fill="auto"/>
            <w:vAlign w:val="center"/>
          </w:tcPr>
          <w:p w14:paraId="6F257BB0">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0C06F345">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100,00%</w:t>
            </w:r>
          </w:p>
        </w:tc>
        <w:tc>
          <w:tcPr>
            <w:tcW w:w="258" w:type="pct"/>
            <w:tcBorders>
              <w:top w:val="nil"/>
              <w:left w:val="nil"/>
              <w:bottom w:val="single" w:color="auto" w:sz="4" w:space="0"/>
              <w:right w:val="single" w:color="auto" w:sz="4" w:space="0"/>
            </w:tcBorders>
            <w:shd w:val="clear" w:color="auto" w:fill="auto"/>
            <w:vAlign w:val="center"/>
          </w:tcPr>
          <w:p w14:paraId="01AF59F0">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 xml:space="preserve">0   </w:t>
            </w:r>
          </w:p>
        </w:tc>
        <w:tc>
          <w:tcPr>
            <w:tcW w:w="398" w:type="pct"/>
            <w:tcBorders>
              <w:top w:val="nil"/>
              <w:left w:val="nil"/>
              <w:bottom w:val="single" w:color="auto" w:sz="4" w:space="0"/>
              <w:right w:val="single" w:color="auto" w:sz="4" w:space="0"/>
            </w:tcBorders>
            <w:shd w:val="clear" w:color="auto" w:fill="auto"/>
            <w:vAlign w:val="center"/>
          </w:tcPr>
          <w:p w14:paraId="3F1A04AF">
            <w:pPr>
              <w:spacing w:after="0" w:line="240" w:lineRule="auto"/>
              <w:jc w:val="right"/>
              <w:rPr>
                <w:rFonts w:ascii="Times New Roman" w:hAnsi="Times New Roman" w:eastAsia="Times New Roman" w:cs="Times New Roman"/>
                <w:b/>
                <w:bCs/>
                <w:color w:val="000000"/>
                <w:sz w:val="18"/>
                <w:szCs w:val="18"/>
                <w:lang w:eastAsia="pl-PL"/>
              </w:rPr>
            </w:pPr>
            <w:r>
              <w:rPr>
                <w:rFonts w:ascii="Times New Roman" w:hAnsi="Times New Roman" w:eastAsia="Times New Roman" w:cs="Times New Roman"/>
                <w:b/>
                <w:bCs/>
                <w:color w:val="000000"/>
                <w:sz w:val="18"/>
                <w:szCs w:val="18"/>
                <w:lang w:eastAsia="pl-PL"/>
              </w:rPr>
              <w:t>100,00%</w:t>
            </w:r>
          </w:p>
        </w:tc>
      </w:tr>
    </w:tbl>
    <w:p w14:paraId="09B22327">
      <w:pPr>
        <w:jc w:val="center"/>
        <w:rPr>
          <w:rFonts w:ascii="Times New Roman" w:hAnsi="Times New Roman" w:cs="Times New Roman"/>
          <w:i/>
          <w:iCs/>
          <w:sz w:val="20"/>
          <w:szCs w:val="20"/>
        </w:rPr>
      </w:pPr>
      <w:r>
        <w:rPr>
          <w:rFonts w:ascii="Times New Roman" w:hAnsi="Times New Roman" w:cs="Times New Roman"/>
          <w:i/>
          <w:iCs/>
          <w:sz w:val="20"/>
          <w:szCs w:val="20"/>
        </w:rPr>
        <w:t>Źródło: opracowanie własne</w:t>
      </w:r>
    </w:p>
    <w:p w14:paraId="11FB56F4">
      <w:pPr>
        <w:ind w:left="360" w:hanging="360"/>
        <w:jc w:val="both"/>
        <w:rPr>
          <w:rFonts w:ascii="Times New Roman" w:hAnsi="Times New Roman" w:cs="Times New Roman"/>
          <w:b/>
          <w:bCs/>
          <w:color w:val="000000" w:themeColor="text1"/>
          <w14:textFill>
            <w14:solidFill>
              <w14:schemeClr w14:val="tx1"/>
            </w14:solidFill>
          </w14:textFill>
        </w:rPr>
      </w:pPr>
    </w:p>
    <w:p w14:paraId="72438290">
      <w:pPr>
        <w:jc w:val="center"/>
        <w:rPr>
          <w:rFonts w:ascii="Times New Roman" w:hAnsi="Times New Roman" w:cs="Times New Roman"/>
          <w:i/>
          <w:iCs/>
          <w:sz w:val="20"/>
          <w:szCs w:val="20"/>
        </w:rPr>
      </w:pPr>
    </w:p>
    <w:p w14:paraId="2F43885A">
      <w:pPr>
        <w:spacing w:before="240" w:line="276" w:lineRule="auto"/>
        <w:ind w:firstLine="708"/>
        <w:jc w:val="both"/>
        <w:rPr>
          <w:rFonts w:ascii="Times New Roman" w:hAnsi="Times New Roman" w:cs="Times New Roman"/>
        </w:rPr>
      </w:pPr>
    </w:p>
    <w:p w14:paraId="4C5FF9E1">
      <w:pPr>
        <w:spacing w:before="240" w:line="276" w:lineRule="auto"/>
        <w:ind w:firstLine="708"/>
        <w:jc w:val="both"/>
        <w:rPr>
          <w:rFonts w:ascii="Times New Roman" w:hAnsi="Times New Roman" w:cs="Times New Roman"/>
          <w:color w:val="000000" w:themeColor="text1"/>
          <w14:textFill>
            <w14:solidFill>
              <w14:schemeClr w14:val="tx1"/>
            </w14:solidFill>
          </w14:textFill>
        </w:rPr>
      </w:pPr>
    </w:p>
    <w:sectPr>
      <w:pgSz w:w="16838" w:h="11906" w:orient="landscape"/>
      <w:pgMar w:top="851" w:right="851" w:bottom="851"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EE"/>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Arial">
    <w:panose1 w:val="020B0604020202020204"/>
    <w:charset w:val="EE"/>
    <w:family w:val="swiss"/>
    <w:pitch w:val="default"/>
    <w:sig w:usb0="E0002EFF" w:usb1="C000785B" w:usb2="00000009" w:usb3="00000000" w:csb0="400001FF" w:csb1="FFFF0000"/>
  </w:font>
  <w:font w:name="Lucida Sans Unicode">
    <w:panose1 w:val="020B0602030504020204"/>
    <w:charset w:val="EE"/>
    <w:family w:val="swiss"/>
    <w:pitch w:val="default"/>
    <w:sig w:usb0="80001AFF" w:usb1="0000396B" w:usb2="00000000" w:usb3="00000000" w:csb0="200000BF" w:csb1="D7F70000"/>
  </w:font>
  <w:font w:name="Mangal">
    <w:altName w:val="Segoe Print"/>
    <w:panose1 w:val="02040503050203030202"/>
    <w:charset w:val="00"/>
    <w:family w:val="roman"/>
    <w:pitch w:val="default"/>
    <w:sig w:usb0="00000000" w:usb1="00000000" w:usb2="00000000" w:usb3="00000000" w:csb0="00000001" w:csb1="00000000"/>
  </w:font>
  <w:font w:name="Segoe UI">
    <w:panose1 w:val="020B0502040204020203"/>
    <w:charset w:val="EE"/>
    <w:family w:val="swiss"/>
    <w:pitch w:val="default"/>
    <w:sig w:usb0="E4002EFF" w:usb1="C000E47F"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EE"/>
    <w:family w:val="modern"/>
    <w:pitch w:val="default"/>
    <w:sig w:usb0="E0002EFF" w:usb1="C0007843" w:usb2="00000009" w:usb3="00000000" w:csb0="400001FF" w:csb1="FFFF0000"/>
  </w:font>
  <w:font w:name="Cambria Math">
    <w:panose1 w:val="02040503050406030204"/>
    <w:charset w:val="EE"/>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351429"/>
      <w:docPartObj>
        <w:docPartGallery w:val="AutoText"/>
      </w:docPartObj>
    </w:sdtPr>
    <w:sdtEndPr>
      <w:rPr>
        <w:rFonts w:ascii="Times New Roman" w:hAnsi="Times New Roman" w:cs="Times New Roman"/>
        <w:sz w:val="20"/>
        <w:szCs w:val="20"/>
      </w:rPr>
    </w:sdtEndPr>
    <w:sdtContent>
      <w:p w14:paraId="161C642A">
        <w:pPr>
          <w:pStyle w:val="16"/>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12</w:t>
        </w:r>
        <w:r>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847392"/>
      <w:docPartObj>
        <w:docPartGallery w:val="AutoText"/>
      </w:docPartObj>
    </w:sdtPr>
    <w:sdtContent>
      <w:p w14:paraId="3D04F244">
        <w:pPr>
          <w:pStyle w:val="16"/>
          <w:jc w:val="right"/>
        </w:pPr>
      </w:p>
    </w:sdtContent>
  </w:sdt>
  <w:p w14:paraId="5F2EED0E">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6420882"/>
      <w:docPartObj>
        <w:docPartGallery w:val="AutoText"/>
      </w:docPartObj>
    </w:sdtPr>
    <w:sdtEndPr>
      <w:rPr>
        <w:rFonts w:ascii="Times New Roman" w:hAnsi="Times New Roman" w:cs="Times New Roman"/>
      </w:rPr>
    </w:sdtEndPr>
    <w:sdtContent>
      <w:p w14:paraId="3354AF17">
        <w:pPr>
          <w:pStyle w:val="16"/>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87</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8">
    <w:p>
      <w:pPr>
        <w:spacing w:before="0" w:after="0" w:line="259" w:lineRule="auto"/>
      </w:pPr>
      <w:r>
        <w:separator/>
      </w:r>
    </w:p>
  </w:footnote>
  <w:footnote w:type="continuationSeparator" w:id="89">
    <w:p>
      <w:pPr>
        <w:spacing w:before="0" w:after="0" w:line="259" w:lineRule="auto"/>
      </w:pPr>
      <w:r>
        <w:continuationSeparator/>
      </w:r>
    </w:p>
  </w:footnote>
  <w:footnote w:id="0">
    <w:p w14:paraId="16DFC1E8">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Stan na 31.05.2021 r.</w:t>
      </w:r>
    </w:p>
  </w:footnote>
  <w:footnote w:id="1">
    <w:p w14:paraId="6A07226F">
      <w:pPr>
        <w:pStyle w:val="18"/>
      </w:pPr>
      <w:r>
        <w:rPr>
          <w:rStyle w:val="17"/>
          <w:rFonts w:ascii="Times New Roman" w:hAnsi="Times New Roman" w:cs="Times New Roman"/>
        </w:rPr>
        <w:footnoteRef/>
      </w:r>
      <w:r>
        <w:rPr>
          <w:rFonts w:ascii="Times New Roman" w:hAnsi="Times New Roman" w:cs="Times New Roman"/>
        </w:rPr>
        <w:t xml:space="preserve"> Strona internetowa Małopolskiej Federacji LGD, federacjalgdmalopolska.org.pl</w:t>
      </w:r>
    </w:p>
  </w:footnote>
  <w:footnote w:id="2">
    <w:p w14:paraId="5C8564CC">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Stan na dzień 29.05.2023 r. </w:t>
      </w:r>
    </w:p>
  </w:footnote>
  <w:footnote w:id="3">
    <w:p w14:paraId="146E7953">
      <w:pPr>
        <w:pStyle w:val="18"/>
      </w:pPr>
      <w:r>
        <w:rPr>
          <w:rStyle w:val="17"/>
        </w:rPr>
        <w:footnoteRef/>
      </w:r>
      <w:r>
        <w:t xml:space="preserve"> </w:t>
      </w:r>
      <w:r>
        <w:rPr>
          <w:rFonts w:ascii="Times New Roman" w:hAnsi="Times New Roman" w:cs="Times New Roman"/>
        </w:rPr>
        <w:t>Dane GUS, stan na dzień 31 lipca 2021 r.</w:t>
      </w:r>
    </w:p>
  </w:footnote>
  <w:footnote w:id="4">
    <w:p w14:paraId="481FB0CA">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Projekt Smart Village</w:t>
      </w:r>
      <w:r>
        <w:rPr>
          <w:rFonts w:ascii="Times New Roman" w:hAnsi="Times New Roman" w:cs="Times New Roman"/>
        </w:rPr>
        <w:t xml:space="preserve">, strona internetowa </w:t>
      </w:r>
      <w:r>
        <w:rPr>
          <w:rStyle w:val="22"/>
          <w:rFonts w:ascii="Times New Roman" w:hAnsi="Times New Roman" w:cs="Times New Roman"/>
          <w:b w:val="0"/>
          <w:bCs w:val="0"/>
        </w:rPr>
        <w:t>Departamentu Cyfryzacji, Geodezji i Kartografii</w:t>
      </w:r>
      <w:r>
        <w:rPr>
          <w:rFonts w:ascii="Times New Roman" w:hAnsi="Times New Roman" w:cs="Times New Roman"/>
        </w:rPr>
        <w:t xml:space="preserve"> Urzędu Marszałkowskiego Województwa Mazowieckiego w Warszawie, geodezja.mazovia.pl</w:t>
      </w:r>
    </w:p>
  </w:footnote>
  <w:footnote w:id="5">
    <w:p w14:paraId="2D65412E">
      <w:pPr>
        <w:spacing w:after="0" w:line="240" w:lineRule="auto"/>
        <w:rPr>
          <w:rFonts w:ascii="Times New Roman" w:hAnsi="Times New Roman" w:cs="Times New Roman"/>
          <w:i/>
          <w:iCs/>
          <w:sz w:val="20"/>
          <w:szCs w:val="20"/>
        </w:rPr>
      </w:pPr>
      <w:r>
        <w:rPr>
          <w:rStyle w:val="17"/>
        </w:rPr>
        <w:footnoteRef/>
      </w:r>
      <w:r>
        <w:t xml:space="preserve"> </w:t>
      </w:r>
      <w:r>
        <w:rPr>
          <w:rFonts w:ascii="Times New Roman" w:hAnsi="Times New Roman" w:cs="Times New Roman"/>
          <w:i/>
          <w:iCs/>
          <w:sz w:val="20"/>
          <w:szCs w:val="20"/>
        </w:rPr>
        <w:t>Plan Strategiczny dla Wspólnej Polityki Rolnej na lata 2023–2027.</w:t>
      </w:r>
    </w:p>
  </w:footnote>
  <w:footnote w:id="6">
    <w:p w14:paraId="20825329">
      <w:pPr>
        <w:pStyle w:val="18"/>
        <w:jc w:val="both"/>
      </w:pPr>
      <w:r>
        <w:rPr>
          <w:rStyle w:val="17"/>
        </w:rPr>
        <w:footnoteRef/>
      </w:r>
      <w:r>
        <w:t xml:space="preserve"> </w:t>
      </w:r>
      <w:r>
        <w:rPr>
          <w:rFonts w:ascii="Times New Roman" w:hAnsi="Times New Roman" w:cs="Times New Roman"/>
          <w:i/>
          <w:iCs/>
        </w:rPr>
        <w:t xml:space="preserve">Ewaluacja zewnętrzna małopolskich lokalnych strategii rozwoju Lokalna Grupa Działania „Między Dalinem i Gościbią”, </w:t>
      </w:r>
      <w:r>
        <w:rPr>
          <w:rFonts w:ascii="Times New Roman" w:hAnsi="Times New Roman" w:cs="Times New Roman"/>
        </w:rPr>
        <w:t>SOCJOMETR, Kraków 2021, str. 4.</w:t>
      </w:r>
    </w:p>
  </w:footnote>
  <w:footnote w:id="7">
    <w:p w14:paraId="42BD1061">
      <w:pPr>
        <w:pStyle w:val="18"/>
        <w:jc w:val="both"/>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jw. str. 62.</w:t>
      </w:r>
    </w:p>
  </w:footnote>
  <w:footnote w:id="8">
    <w:p w14:paraId="1C5DD9BC">
      <w:pPr>
        <w:pStyle w:val="18"/>
        <w:rPr>
          <w:rFonts w:ascii="Times New Roman" w:hAnsi="Times New Roman" w:cs="Times New Roman"/>
        </w:rPr>
      </w:pPr>
      <w:r>
        <w:rPr>
          <w:rStyle w:val="17"/>
        </w:rPr>
        <w:footnoteRef/>
      </w:r>
      <w:r>
        <w:t xml:space="preserve"> </w:t>
      </w:r>
      <w:r>
        <w:rPr>
          <w:rFonts w:ascii="Times New Roman" w:hAnsi="Times New Roman" w:cs="Times New Roman"/>
        </w:rPr>
        <w:t>Dane GUS, stan na dzień 31 lipca 2021 r.</w:t>
      </w:r>
    </w:p>
  </w:footnote>
  <w:footnote w:id="9">
    <w:p w14:paraId="4B61D137">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Dane GUS za 2021 r.</w:t>
      </w:r>
    </w:p>
  </w:footnote>
  <w:footnote w:id="10">
    <w:p w14:paraId="3D853BC1">
      <w:pPr>
        <w:pStyle w:val="18"/>
      </w:pPr>
      <w:r>
        <w:rPr>
          <w:rStyle w:val="17"/>
        </w:rPr>
        <w:footnoteRef/>
      </w:r>
      <w:r>
        <w:t xml:space="preserve"> </w:t>
      </w:r>
      <w:r>
        <w:rPr>
          <w:rFonts w:ascii="Times New Roman" w:hAnsi="Times New Roman" w:cs="Times New Roman"/>
        </w:rPr>
        <w:t>Dane Powiatowego Zespołu do Spraw Orzekania o Niepełnosprawności w Myślenicach.</w:t>
      </w:r>
    </w:p>
  </w:footnote>
  <w:footnote w:id="11">
    <w:p w14:paraId="77B202A8">
      <w:pPr>
        <w:pStyle w:val="18"/>
        <w:rPr>
          <w:rFonts w:ascii="Times New Roman" w:hAnsi="Times New Roman" w:cs="Times New Roman"/>
          <w:i/>
          <w:iCs/>
        </w:rPr>
      </w:pPr>
      <w:r>
        <w:rPr>
          <w:rStyle w:val="17"/>
          <w:rFonts w:ascii="Times New Roman" w:hAnsi="Times New Roman" w:cs="Times New Roman"/>
        </w:rPr>
        <w:footnoteRef/>
      </w:r>
      <w:r>
        <w:rPr>
          <w:rFonts w:ascii="Times New Roman" w:hAnsi="Times New Roman" w:cs="Times New Roman"/>
        </w:rPr>
        <w:t xml:space="preserve"> </w:t>
      </w:r>
      <w:bookmarkStart w:id="174" w:name="_Hlk133484349"/>
      <w:r>
        <w:rPr>
          <w:rFonts w:ascii="Times New Roman" w:hAnsi="Times New Roman" w:cs="Times New Roman"/>
          <w:i/>
          <w:iCs/>
        </w:rPr>
        <w:t xml:space="preserve">Ustawa z dnia 13 listopada 2003 r. o dochodach jednostek samorządu terytorialnego </w:t>
      </w:r>
      <w:r>
        <w:rPr>
          <w:rFonts w:ascii="Times New Roman" w:hAnsi="Times New Roman" w:cs="Times New Roman"/>
        </w:rPr>
        <w:t>(Dz.U. z 2022 r. poz. 2267).</w:t>
      </w:r>
    </w:p>
    <w:bookmarkEnd w:id="174"/>
  </w:footnote>
  <w:footnote w:id="12">
    <w:p w14:paraId="031CE570">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Dane GUS.</w:t>
      </w:r>
    </w:p>
  </w:footnote>
  <w:footnote w:id="13">
    <w:p w14:paraId="069ABDA7">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jw. </w:t>
      </w:r>
    </w:p>
  </w:footnote>
  <w:footnote w:id="14">
    <w:p w14:paraId="597F1514">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Kondracki J., </w:t>
      </w:r>
      <w:r>
        <w:rPr>
          <w:rFonts w:ascii="Times New Roman" w:hAnsi="Times New Roman" w:cs="Times New Roman"/>
          <w:i/>
        </w:rPr>
        <w:t>Geografia regionalna Polski</w:t>
      </w:r>
      <w:r>
        <w:rPr>
          <w:rFonts w:ascii="Times New Roman" w:hAnsi="Times New Roman" w:cs="Times New Roman"/>
        </w:rPr>
        <w:t>, PWN, Warszawa 2000.</w:t>
      </w:r>
    </w:p>
  </w:footnote>
  <w:footnote w:id="15">
    <w:p w14:paraId="7B587CCC">
      <w:pPr>
        <w:pStyle w:val="18"/>
      </w:pPr>
      <w:r>
        <w:rPr>
          <w:rStyle w:val="17"/>
          <w:rFonts w:ascii="Times New Roman" w:hAnsi="Times New Roman" w:cs="Times New Roman"/>
        </w:rPr>
        <w:footnoteRef/>
      </w:r>
      <w:r>
        <w:rPr>
          <w:rFonts w:ascii="Times New Roman" w:hAnsi="Times New Roman" w:cs="Times New Roman"/>
        </w:rPr>
        <w:t xml:space="preserve"> Strona internetowa Powiatu Myślenickiego, myślenicki.pl</w:t>
      </w:r>
    </w:p>
  </w:footnote>
  <w:footnote w:id="16">
    <w:p w14:paraId="0CB8AAD4">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Strona internetowa Gminy Tokarnia, tokarnia.pl </w:t>
      </w:r>
    </w:p>
  </w:footnote>
  <w:footnote w:id="17">
    <w:p w14:paraId="237E3F4A">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w:t>
      </w:r>
      <w:bookmarkStart w:id="175" w:name="_Hlk113830770"/>
      <w:r>
        <w:rPr>
          <w:rFonts w:ascii="Times New Roman" w:hAnsi="Times New Roman" w:cs="Times New Roman"/>
        </w:rPr>
        <w:t>Centralny Rejestr Form Ochrony Przyrody, Generalna Dyrekcja Ochrony Środowiska, crfop.gdos.gov.pl/CRFOP</w:t>
      </w:r>
      <w:bookmarkEnd w:id="175"/>
    </w:p>
  </w:footnote>
  <w:footnote w:id="18">
    <w:p w14:paraId="6CE6C3D1">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Dane GUS za 2021 r. </w:t>
      </w:r>
    </w:p>
  </w:footnote>
  <w:footnote w:id="19">
    <w:p w14:paraId="49E34121">
      <w:pPr>
        <w:pStyle w:val="18"/>
        <w:jc w:val="both"/>
      </w:pPr>
      <w:r>
        <w:rPr>
          <w:rStyle w:val="17"/>
          <w:rFonts w:ascii="Times New Roman" w:hAnsi="Times New Roman" w:cs="Times New Roman"/>
        </w:rPr>
        <w:footnoteRef/>
      </w:r>
      <w:r>
        <w:rPr>
          <w:rFonts w:ascii="Times New Roman" w:hAnsi="Times New Roman" w:cs="Times New Roman"/>
        </w:rPr>
        <w:t xml:space="preserve"> Zgodnie z załącznikiem nr 5 do Regulaminu konkursu na wybór LSR </w:t>
      </w:r>
      <w:r>
        <w:rPr>
          <w:rFonts w:ascii="Times New Roman" w:hAnsi="Times New Roman" w:cs="Times New Roman"/>
          <w:i/>
          <w:iCs/>
        </w:rPr>
        <w:t>Kryteria wyboru LSR</w:t>
      </w:r>
      <w:r>
        <w:rPr>
          <w:rFonts w:ascii="Times New Roman" w:hAnsi="Times New Roman" w:cs="Times New Roman"/>
        </w:rPr>
        <w:t>, kryterium 5.8.</w:t>
      </w:r>
    </w:p>
  </w:footnote>
  <w:footnote w:id="20">
    <w:p w14:paraId="1BC87003">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Dane GUS za lata 2016–2021.</w:t>
      </w:r>
    </w:p>
  </w:footnote>
  <w:footnote w:id="21">
    <w:p w14:paraId="202706B8">
      <w:pPr>
        <w:pStyle w:val="18"/>
        <w:rPr>
          <w:rFonts w:cs="Times New Roman"/>
        </w:rPr>
      </w:pPr>
      <w:r>
        <w:rPr>
          <w:rStyle w:val="17"/>
          <w:rFonts w:ascii="Times New Roman" w:hAnsi="Times New Roman" w:cs="Times New Roman"/>
        </w:rPr>
        <w:footnoteRef/>
      </w:r>
      <w:r>
        <w:rPr>
          <w:rFonts w:ascii="Times New Roman" w:hAnsi="Times New Roman" w:cs="Times New Roman"/>
        </w:rPr>
        <w:t xml:space="preserve"> Dane GUS za 2021 r.</w:t>
      </w:r>
    </w:p>
  </w:footnote>
  <w:footnote w:id="22">
    <w:p w14:paraId="24105796">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Dane GUS, stan na dzień 31 grudnia 2021 r.</w:t>
      </w:r>
    </w:p>
  </w:footnote>
  <w:footnote w:id="23">
    <w:p w14:paraId="461E11EF">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Dane GUS za 2021 r.</w:t>
      </w:r>
    </w:p>
  </w:footnote>
  <w:footnote w:id="24">
    <w:p w14:paraId="33F56EB1">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Sadowski P., </w:t>
      </w:r>
      <w:r>
        <w:rPr>
          <w:rFonts w:ascii="Times New Roman" w:hAnsi="Times New Roman" w:cs="Times New Roman"/>
          <w:i/>
          <w:iCs/>
        </w:rPr>
        <w:t>Monografia geograficzno-historyczna. Gmina Pcim</w:t>
      </w:r>
      <w:r>
        <w:rPr>
          <w:rFonts w:ascii="Times New Roman" w:hAnsi="Times New Roman" w:cs="Times New Roman"/>
        </w:rPr>
        <w:t>, 2003.</w:t>
      </w:r>
    </w:p>
  </w:footnote>
  <w:footnote w:id="25">
    <w:p w14:paraId="69A43A7D">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Strona internetowa Powiatu Myślenickiego, myślenicki.pl</w:t>
      </w:r>
    </w:p>
  </w:footnote>
  <w:footnote w:id="26">
    <w:p w14:paraId="5C64C478">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Strony internetowe gmin wchodzących w skład obszaru LGD, myslenice.pl, sulkowice.pl, gminapcim.pl, lubien.pl, tokarnia.pl, wisniowa.pl, raciechowice.pl</w:t>
      </w:r>
    </w:p>
  </w:footnote>
  <w:footnote w:id="27">
    <w:p w14:paraId="20D2217D">
      <w:pPr>
        <w:pStyle w:val="18"/>
      </w:pPr>
      <w:r>
        <w:rPr>
          <w:rStyle w:val="17"/>
          <w:rFonts w:ascii="Times New Roman" w:hAnsi="Times New Roman" w:cs="Times New Roman"/>
        </w:rPr>
        <w:footnoteRef/>
      </w:r>
      <w:r>
        <w:rPr>
          <w:rFonts w:ascii="Times New Roman" w:hAnsi="Times New Roman" w:cs="Times New Roman"/>
        </w:rPr>
        <w:t xml:space="preserve"> jw.</w:t>
      </w:r>
      <w:r>
        <w:t xml:space="preserve"> </w:t>
      </w:r>
    </w:p>
  </w:footnote>
  <w:footnote w:id="28">
    <w:p w14:paraId="385B6F7C">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Narodowy Instytut Dziedzictwa, nid.pl/zasoby/rejestr-zabytkow-zasoby, stan na dzień 30 września 2022 r.</w:t>
      </w:r>
    </w:p>
  </w:footnote>
  <w:footnote w:id="29">
    <w:p w14:paraId="0769116A">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Strona internetowa Urzędu Miasta i Gminy Sułkowice, urzad.sulkowice.pl</w:t>
      </w:r>
    </w:p>
  </w:footnote>
  <w:footnote w:id="30">
    <w:p w14:paraId="64CDBA11">
      <w:pPr>
        <w:pStyle w:val="18"/>
      </w:pPr>
      <w:r>
        <w:rPr>
          <w:rStyle w:val="17"/>
          <w:rFonts w:ascii="Times New Roman" w:hAnsi="Times New Roman" w:cs="Times New Roman"/>
        </w:rPr>
        <w:footnoteRef/>
      </w:r>
      <w:r>
        <w:rPr>
          <w:rFonts w:ascii="Times New Roman" w:hAnsi="Times New Roman" w:cs="Times New Roman"/>
        </w:rPr>
        <w:t xml:space="preserve"> Strona internetowa Urzędu Miasta i Gminy Myślenice, myslenice.pl</w:t>
      </w:r>
    </w:p>
  </w:footnote>
  <w:footnote w:id="31">
    <w:p w14:paraId="572510C7">
      <w:pPr>
        <w:pStyle w:val="18"/>
        <w:rPr>
          <w:rFonts w:cs="Times New Roman"/>
        </w:rPr>
      </w:pPr>
      <w:r>
        <w:rPr>
          <w:rStyle w:val="17"/>
        </w:rPr>
        <w:footnoteRef/>
      </w:r>
      <w:r>
        <w:rPr>
          <w:rFonts w:cs="Times New Roman"/>
        </w:rPr>
        <w:t xml:space="preserve"> </w:t>
      </w:r>
      <w:r>
        <w:rPr>
          <w:rFonts w:ascii="Times New Roman" w:hAnsi="Times New Roman" w:cs="Times New Roman"/>
        </w:rPr>
        <w:t>Strona internetowa Instytutu Rozwoju Wsi i Rolnictwa Polskiej Akademii Nauk, irwirpan.waw.pl/index.php/offer/show/538/badania/monitoring-rozwoju-obszarow-wiejskich/badania/monitoring-rozwoju-obszarow-wiejskich</w:t>
      </w:r>
    </w:p>
  </w:footnote>
  <w:footnote w:id="32">
    <w:p w14:paraId="55C18341">
      <w:pPr>
        <w:pStyle w:val="18"/>
        <w:jc w:val="both"/>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w:t>
      </w:r>
      <w:bookmarkStart w:id="176" w:name="_Hlk133484273"/>
      <w:r>
        <w:rPr>
          <w:rFonts w:ascii="Times New Roman" w:hAnsi="Times New Roman" w:cs="Times New Roman"/>
        </w:rPr>
        <w:t>Strona internetowa Ministerstwa Rolnictwa i Rozwoju Wsi, Lista produktów tradycyjnych, gov.pl/web/rolnictwo/woj-malopolskie, stan na dzień 09.05.2023 r</w:t>
      </w:r>
      <w:bookmarkEnd w:id="176"/>
      <w:r>
        <w:rPr>
          <w:rFonts w:ascii="Times New Roman" w:hAnsi="Times New Roman" w:cs="Times New Roman"/>
        </w:rPr>
        <w:t>.</w:t>
      </w:r>
    </w:p>
  </w:footnote>
  <w:footnote w:id="33">
    <w:p w14:paraId="60BDEA44">
      <w:pPr>
        <w:pStyle w:val="18"/>
      </w:pPr>
      <w:r>
        <w:rPr>
          <w:rStyle w:val="17"/>
        </w:rPr>
        <w:footnoteRef/>
      </w:r>
      <w:r>
        <w:t xml:space="preserve"> </w:t>
      </w:r>
      <w:r>
        <w:rPr>
          <w:rFonts w:ascii="Times New Roman" w:hAnsi="Times New Roman" w:cs="Times New Roman"/>
        </w:rPr>
        <w:t>Rejestr Szkół i Palcówek Oświatowych, System Informacji Oświatowej, strona internetowa Ministerstwa Edukacji i Nauki, rspo.gov.pl</w:t>
      </w:r>
    </w:p>
  </w:footnote>
  <w:footnote w:id="34">
    <w:p w14:paraId="7461F717">
      <w:pPr>
        <w:pStyle w:val="18"/>
        <w:rPr>
          <w:rFonts w:ascii="Times New Roman" w:hAnsi="Times New Roman" w:cs="Times New Roman"/>
        </w:rPr>
      </w:pPr>
      <w:r>
        <w:rPr>
          <w:rStyle w:val="17"/>
        </w:rPr>
        <w:footnoteRef/>
      </w:r>
      <w:r>
        <w:t xml:space="preserve"> </w:t>
      </w:r>
      <w:r>
        <w:rPr>
          <w:rFonts w:ascii="Times New Roman" w:hAnsi="Times New Roman" w:cs="Times New Roman"/>
        </w:rPr>
        <w:t>Dane dla kraju dostępne w wartościach zaokrąglonych do liczb całkowitych.</w:t>
      </w:r>
    </w:p>
  </w:footnote>
  <w:footnote w:id="35">
    <w:p w14:paraId="1EE7E73E">
      <w:pPr>
        <w:pStyle w:val="18"/>
      </w:pPr>
      <w:r>
        <w:rPr>
          <w:rStyle w:val="17"/>
          <w:rFonts w:ascii="Times New Roman" w:hAnsi="Times New Roman" w:cs="Times New Roman"/>
        </w:rPr>
        <w:footnoteRef/>
      </w:r>
      <w:r>
        <w:rPr>
          <w:rFonts w:ascii="Times New Roman" w:hAnsi="Times New Roman" w:cs="Times New Roman"/>
        </w:rPr>
        <w:t xml:space="preserve"> Rejestr Szkół i Palcówek Oświatowych, System Informacji Oświatowej, strona internetowa Ministerstwa Edukacji i Nauki, rspo.gov.pl</w:t>
      </w:r>
    </w:p>
  </w:footnote>
  <w:footnote w:id="36">
    <w:p w14:paraId="2A9B3DFD">
      <w:pPr>
        <w:pStyle w:val="18"/>
        <w:jc w:val="both"/>
        <w:rPr>
          <w:rFonts w:ascii="Times New Roman" w:hAnsi="Times New Roman" w:cs="Times New Roman"/>
        </w:rPr>
      </w:pPr>
      <w:r>
        <w:rPr>
          <w:rStyle w:val="17"/>
        </w:rPr>
        <w:footnoteRef/>
      </w:r>
      <w:r>
        <w:rPr>
          <w:rFonts w:cs="Times New Roman"/>
        </w:rPr>
        <w:t xml:space="preserve"> </w:t>
      </w:r>
      <w:r>
        <w:rPr>
          <w:rFonts w:ascii="Times New Roman" w:hAnsi="Times New Roman" w:cs="Times New Roman"/>
        </w:rPr>
        <w:t>Inf. z dn. 31.08.2022 r.</w:t>
      </w:r>
    </w:p>
  </w:footnote>
  <w:footnote w:id="37">
    <w:p w14:paraId="20A5E110">
      <w:pPr>
        <w:pStyle w:val="18"/>
        <w:jc w:val="both"/>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Penetracja lokalowa – stosunek liczby wszystkich lokali mieszkalnych w budynkach w zasięgu sieci min. 100 Mb/s (budynek, w którym operatorzy deklarują możliwość świadczenia danych usług) do ogólnej liczby lokali mieszkalnych na analizowanym obszarze. Należy wyjaśnić, że na potrzeby monitorowania postępów realizacji celów Europejskiej Agendy Cyfrowej gospodarstwo domowe utożsamiane jest z lokalem mieszkalnym.</w:t>
      </w:r>
    </w:p>
  </w:footnote>
  <w:footnote w:id="38">
    <w:p w14:paraId="3466848C">
      <w:pPr>
        <w:pStyle w:val="18"/>
        <w:jc w:val="both"/>
      </w:pPr>
      <w:r>
        <w:rPr>
          <w:rStyle w:val="17"/>
          <w:rFonts w:ascii="Times New Roman" w:hAnsi="Times New Roman" w:cs="Times New Roman"/>
        </w:rPr>
        <w:footnoteRef/>
      </w:r>
      <w:r>
        <w:rPr>
          <w:rFonts w:ascii="Times New Roman" w:hAnsi="Times New Roman" w:cs="Times New Roman"/>
        </w:rPr>
        <w:t xml:space="preserve"> Urząd Komunikacji Elektronicznej</w:t>
      </w:r>
      <w:r>
        <w:rPr>
          <w:rFonts w:ascii="Times New Roman" w:hAnsi="Times New Roman" w:cs="Times New Roman"/>
          <w:i/>
          <w:iCs/>
        </w:rPr>
        <w:t xml:space="preserve">, Atlas szerokopasmowego dostępu do Internetu, </w:t>
      </w:r>
      <w:r>
        <w:rPr>
          <w:rFonts w:ascii="Times New Roman" w:hAnsi="Times New Roman" w:cs="Times New Roman"/>
        </w:rPr>
        <w:t>mapbook.uke.gov.pl/areas</w:t>
      </w:r>
    </w:p>
  </w:footnote>
  <w:footnote w:id="39">
    <w:p w14:paraId="5BF7B18B">
      <w:pPr>
        <w:pStyle w:val="18"/>
      </w:pPr>
      <w:r>
        <w:rPr>
          <w:rStyle w:val="17"/>
        </w:rPr>
        <w:footnoteRef/>
      </w:r>
      <w:r>
        <w:t xml:space="preserve"> </w:t>
      </w:r>
      <w:r>
        <w:rPr>
          <w:rFonts w:ascii="Times New Roman" w:hAnsi="Times New Roman" w:cs="Times New Roman"/>
        </w:rPr>
        <w:t xml:space="preserve">Zgodnie z załącznikiem nr 5 do Regulaminu konkursu na wybór LSR </w:t>
      </w:r>
      <w:r>
        <w:rPr>
          <w:rFonts w:ascii="Times New Roman" w:hAnsi="Times New Roman" w:cs="Times New Roman"/>
          <w:i/>
          <w:iCs/>
        </w:rPr>
        <w:t>Kryteria wyboru LSR</w:t>
      </w:r>
      <w:r>
        <w:rPr>
          <w:rFonts w:ascii="Times New Roman" w:hAnsi="Times New Roman" w:cs="Times New Roman"/>
        </w:rPr>
        <w:t>, kryterium 5.1.</w:t>
      </w:r>
    </w:p>
  </w:footnote>
  <w:footnote w:id="40">
    <w:p w14:paraId="486314A9">
      <w:pPr>
        <w:pStyle w:val="18"/>
        <w:rPr>
          <w:rFonts w:ascii="Times New Roman" w:hAnsi="Times New Roman" w:cs="Times New Roman"/>
        </w:rPr>
      </w:pPr>
      <w:r>
        <w:rPr>
          <w:rStyle w:val="17"/>
          <w:rFonts w:ascii="Times New Roman" w:hAnsi="Times New Roman" w:cs="Times New Roman"/>
        </w:rPr>
        <w:footnoteRef/>
      </w:r>
      <w:r>
        <w:t xml:space="preserve"> </w:t>
      </w:r>
      <w:r>
        <w:rPr>
          <w:rFonts w:ascii="Times New Roman" w:hAnsi="Times New Roman" w:cs="Times New Roman"/>
        </w:rPr>
        <w:t>Z</w:t>
      </w:r>
      <w:r>
        <w:rPr>
          <w:rStyle w:val="44"/>
          <w:rFonts w:ascii="Times New Roman" w:hAnsi="Times New Roman" w:cs="Times New Roman"/>
        </w:rPr>
        <w:t>ałącznik Nr 1 do Uchwały Nr XLVII/732/18 Sejmiku Województwa Małopolskiego z dnia 26 marca 2018 r.</w:t>
      </w:r>
    </w:p>
  </w:footnote>
  <w:footnote w:id="41">
    <w:p w14:paraId="61ADE0D9">
      <w:pPr>
        <w:pStyle w:val="18"/>
        <w:rPr>
          <w:rFonts w:ascii="Times New Roman" w:hAnsi="Times New Roman" w:cs="Times New Roman"/>
        </w:rPr>
      </w:pPr>
      <w:r>
        <w:rPr>
          <w:rStyle w:val="17"/>
          <w:rFonts w:ascii="Times New Roman" w:hAnsi="Times New Roman" w:cs="Times New Roman"/>
        </w:rPr>
        <w:footnoteRef/>
      </w:r>
      <w:r>
        <w:rPr>
          <w:rFonts w:ascii="Times New Roman" w:hAnsi="Times New Roman" w:cs="Times New Roman"/>
        </w:rPr>
        <w:t xml:space="preserve"> Załącznik nr 1 do Uchwały Nr XXXV.2021 Rady Powiatu Myślenickiego z dnia 24 czerwca 2021 r.</w:t>
      </w:r>
    </w:p>
  </w:footnote>
  <w:footnote w:id="42">
    <w:p w14:paraId="0DC3EC59">
      <w:pPr>
        <w:pStyle w:val="18"/>
        <w:jc w:val="both"/>
        <w:rPr>
          <w:rFonts w:ascii="Times New Roman" w:hAnsi="Times New Roman" w:cs="Times New Roman"/>
        </w:rPr>
      </w:pPr>
      <w:r>
        <w:rPr>
          <w:rStyle w:val="17"/>
        </w:rPr>
        <w:footnoteRef/>
      </w:r>
      <w:r>
        <w:t xml:space="preserve"> </w:t>
      </w:r>
      <w:r>
        <w:rPr>
          <w:rFonts w:ascii="Times New Roman" w:hAnsi="Times New Roman" w:cs="Times New Roman"/>
        </w:rPr>
        <w:t>Termin realizacji operacji planowanych do wsparcia w ramach środków FEM zależy od terminu naboru wniosków ustalonego przez Instytucję Zarządzającą programem regionalnym.</w:t>
      </w:r>
    </w:p>
  </w:footnote>
  <w:footnote w:id="43">
    <w:p w14:paraId="7B0E063A">
      <w:pPr>
        <w:pStyle w:val="18"/>
      </w:pPr>
      <w:r>
        <w:rPr>
          <w:rStyle w:val="17"/>
          <w:rFonts w:ascii="Times New Roman" w:hAnsi="Times New Roman" w:cs="Times New Roman"/>
        </w:rPr>
        <w:footnoteRef/>
      </w:r>
      <w:r>
        <w:rPr>
          <w:rFonts w:ascii="Times New Roman" w:hAnsi="Times New Roman" w:cs="Times New Roman"/>
        </w:rPr>
        <w:t xml:space="preserve"> jw</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A179DF"/>
    <w:multiLevelType w:val="multilevel"/>
    <w:tmpl w:val="03A179DF"/>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060F0EC9"/>
    <w:multiLevelType w:val="multilevel"/>
    <w:tmpl w:val="060F0EC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078B19B2"/>
    <w:multiLevelType w:val="multilevel"/>
    <w:tmpl w:val="078B19B2"/>
    <w:lvl w:ilvl="0" w:tentative="0">
      <w:start w:val="1"/>
      <w:numFmt w:val="bullet"/>
      <w:lvlText w:val=""/>
      <w:lvlJc w:val="left"/>
      <w:pPr>
        <w:ind w:left="1480" w:hanging="360"/>
      </w:pPr>
      <w:rPr>
        <w:rFonts w:hint="default" w:ascii="Symbol" w:hAnsi="Symbol"/>
      </w:rPr>
    </w:lvl>
    <w:lvl w:ilvl="1" w:tentative="0">
      <w:start w:val="1"/>
      <w:numFmt w:val="bullet"/>
      <w:lvlText w:val="o"/>
      <w:lvlJc w:val="left"/>
      <w:pPr>
        <w:ind w:left="2200" w:hanging="360"/>
      </w:pPr>
      <w:rPr>
        <w:rFonts w:hint="default" w:ascii="Courier New" w:hAnsi="Courier New" w:cs="Courier New"/>
      </w:rPr>
    </w:lvl>
    <w:lvl w:ilvl="2" w:tentative="0">
      <w:start w:val="1"/>
      <w:numFmt w:val="bullet"/>
      <w:lvlText w:val=""/>
      <w:lvlJc w:val="left"/>
      <w:pPr>
        <w:ind w:left="2920" w:hanging="360"/>
      </w:pPr>
      <w:rPr>
        <w:rFonts w:hint="default" w:ascii="Wingdings" w:hAnsi="Wingdings"/>
      </w:rPr>
    </w:lvl>
    <w:lvl w:ilvl="3" w:tentative="0">
      <w:start w:val="1"/>
      <w:numFmt w:val="bullet"/>
      <w:lvlText w:val=""/>
      <w:lvlJc w:val="left"/>
      <w:pPr>
        <w:ind w:left="3640" w:hanging="360"/>
      </w:pPr>
      <w:rPr>
        <w:rFonts w:hint="default" w:ascii="Symbol" w:hAnsi="Symbol"/>
      </w:rPr>
    </w:lvl>
    <w:lvl w:ilvl="4" w:tentative="0">
      <w:start w:val="1"/>
      <w:numFmt w:val="bullet"/>
      <w:lvlText w:val="o"/>
      <w:lvlJc w:val="left"/>
      <w:pPr>
        <w:ind w:left="4360" w:hanging="360"/>
      </w:pPr>
      <w:rPr>
        <w:rFonts w:hint="default" w:ascii="Courier New" w:hAnsi="Courier New" w:cs="Courier New"/>
      </w:rPr>
    </w:lvl>
    <w:lvl w:ilvl="5" w:tentative="0">
      <w:start w:val="1"/>
      <w:numFmt w:val="bullet"/>
      <w:lvlText w:val=""/>
      <w:lvlJc w:val="left"/>
      <w:pPr>
        <w:ind w:left="5080" w:hanging="360"/>
      </w:pPr>
      <w:rPr>
        <w:rFonts w:hint="default" w:ascii="Wingdings" w:hAnsi="Wingdings"/>
      </w:rPr>
    </w:lvl>
    <w:lvl w:ilvl="6" w:tentative="0">
      <w:start w:val="1"/>
      <w:numFmt w:val="bullet"/>
      <w:lvlText w:val=""/>
      <w:lvlJc w:val="left"/>
      <w:pPr>
        <w:ind w:left="5800" w:hanging="360"/>
      </w:pPr>
      <w:rPr>
        <w:rFonts w:hint="default" w:ascii="Symbol" w:hAnsi="Symbol"/>
      </w:rPr>
    </w:lvl>
    <w:lvl w:ilvl="7" w:tentative="0">
      <w:start w:val="1"/>
      <w:numFmt w:val="bullet"/>
      <w:lvlText w:val="o"/>
      <w:lvlJc w:val="left"/>
      <w:pPr>
        <w:ind w:left="6520" w:hanging="360"/>
      </w:pPr>
      <w:rPr>
        <w:rFonts w:hint="default" w:ascii="Courier New" w:hAnsi="Courier New" w:cs="Courier New"/>
      </w:rPr>
    </w:lvl>
    <w:lvl w:ilvl="8" w:tentative="0">
      <w:start w:val="1"/>
      <w:numFmt w:val="bullet"/>
      <w:lvlText w:val=""/>
      <w:lvlJc w:val="left"/>
      <w:pPr>
        <w:ind w:left="7240" w:hanging="360"/>
      </w:pPr>
      <w:rPr>
        <w:rFonts w:hint="default" w:ascii="Wingdings" w:hAnsi="Wingdings"/>
      </w:rPr>
    </w:lvl>
  </w:abstractNum>
  <w:abstractNum w:abstractNumId="3">
    <w:nsid w:val="0BFE4C21"/>
    <w:multiLevelType w:val="multilevel"/>
    <w:tmpl w:val="0BFE4C21"/>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4">
    <w:nsid w:val="0CBD649C"/>
    <w:multiLevelType w:val="multilevel"/>
    <w:tmpl w:val="0CBD649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EDE07F5"/>
    <w:multiLevelType w:val="multilevel"/>
    <w:tmpl w:val="0EDE07F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F196CC4"/>
    <w:multiLevelType w:val="multilevel"/>
    <w:tmpl w:val="0F196CC4"/>
    <w:lvl w:ilvl="0" w:tentative="0">
      <w:start w:val="1"/>
      <w:numFmt w:val="upperLetter"/>
      <w:lvlText w:val="%1."/>
      <w:lvlJc w:val="left"/>
      <w:pPr>
        <w:ind w:left="1428" w:hanging="360"/>
      </w:pPr>
      <w:rPr>
        <w:rFonts w:hint="default"/>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7">
    <w:nsid w:val="0F8468C3"/>
    <w:multiLevelType w:val="multilevel"/>
    <w:tmpl w:val="0F8468C3"/>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28"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2E51693"/>
    <w:multiLevelType w:val="multilevel"/>
    <w:tmpl w:val="12E516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47B6A16"/>
    <w:multiLevelType w:val="multilevel"/>
    <w:tmpl w:val="147B6A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6086B05"/>
    <w:multiLevelType w:val="multilevel"/>
    <w:tmpl w:val="16086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6903898"/>
    <w:multiLevelType w:val="multilevel"/>
    <w:tmpl w:val="16903898"/>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6B37821"/>
    <w:multiLevelType w:val="multilevel"/>
    <w:tmpl w:val="16B3782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82A287F"/>
    <w:multiLevelType w:val="multilevel"/>
    <w:tmpl w:val="182A287F"/>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4">
    <w:nsid w:val="195A5147"/>
    <w:multiLevelType w:val="multilevel"/>
    <w:tmpl w:val="195A5147"/>
    <w:lvl w:ilvl="0" w:tentative="0">
      <w:start w:val="1"/>
      <w:numFmt w:val="bullet"/>
      <w:lvlText w:val=""/>
      <w:lvlJc w:val="left"/>
      <w:pPr>
        <w:ind w:left="1480" w:hanging="360"/>
      </w:pPr>
      <w:rPr>
        <w:rFonts w:hint="default" w:ascii="Symbol" w:hAnsi="Symbol"/>
      </w:rPr>
    </w:lvl>
    <w:lvl w:ilvl="1" w:tentative="0">
      <w:start w:val="0"/>
      <w:numFmt w:val="bullet"/>
      <w:lvlText w:val="•"/>
      <w:lvlJc w:val="left"/>
      <w:pPr>
        <w:ind w:left="2545" w:hanging="705"/>
      </w:pPr>
      <w:rPr>
        <w:rFonts w:hint="default" w:ascii="Times New Roman" w:hAnsi="Times New Roman" w:cs="Times New Roman" w:eastAsiaTheme="minorHAnsi"/>
      </w:rPr>
    </w:lvl>
    <w:lvl w:ilvl="2" w:tentative="0">
      <w:start w:val="1"/>
      <w:numFmt w:val="bullet"/>
      <w:lvlText w:val=""/>
      <w:lvlJc w:val="left"/>
      <w:pPr>
        <w:ind w:left="2920" w:hanging="360"/>
      </w:pPr>
      <w:rPr>
        <w:rFonts w:hint="default" w:ascii="Wingdings" w:hAnsi="Wingdings"/>
      </w:rPr>
    </w:lvl>
    <w:lvl w:ilvl="3" w:tentative="0">
      <w:start w:val="1"/>
      <w:numFmt w:val="bullet"/>
      <w:lvlText w:val=""/>
      <w:lvlJc w:val="left"/>
      <w:pPr>
        <w:ind w:left="3640" w:hanging="360"/>
      </w:pPr>
      <w:rPr>
        <w:rFonts w:hint="default" w:ascii="Symbol" w:hAnsi="Symbol"/>
      </w:rPr>
    </w:lvl>
    <w:lvl w:ilvl="4" w:tentative="0">
      <w:start w:val="1"/>
      <w:numFmt w:val="bullet"/>
      <w:lvlText w:val="o"/>
      <w:lvlJc w:val="left"/>
      <w:pPr>
        <w:ind w:left="4360" w:hanging="360"/>
      </w:pPr>
      <w:rPr>
        <w:rFonts w:hint="default" w:ascii="Courier New" w:hAnsi="Courier New" w:cs="Courier New"/>
      </w:rPr>
    </w:lvl>
    <w:lvl w:ilvl="5" w:tentative="0">
      <w:start w:val="1"/>
      <w:numFmt w:val="bullet"/>
      <w:lvlText w:val=""/>
      <w:lvlJc w:val="left"/>
      <w:pPr>
        <w:ind w:left="5080" w:hanging="360"/>
      </w:pPr>
      <w:rPr>
        <w:rFonts w:hint="default" w:ascii="Wingdings" w:hAnsi="Wingdings"/>
      </w:rPr>
    </w:lvl>
    <w:lvl w:ilvl="6" w:tentative="0">
      <w:start w:val="1"/>
      <w:numFmt w:val="bullet"/>
      <w:lvlText w:val=""/>
      <w:lvlJc w:val="left"/>
      <w:pPr>
        <w:ind w:left="5800" w:hanging="360"/>
      </w:pPr>
      <w:rPr>
        <w:rFonts w:hint="default" w:ascii="Symbol" w:hAnsi="Symbol"/>
      </w:rPr>
    </w:lvl>
    <w:lvl w:ilvl="7" w:tentative="0">
      <w:start w:val="1"/>
      <w:numFmt w:val="bullet"/>
      <w:lvlText w:val="o"/>
      <w:lvlJc w:val="left"/>
      <w:pPr>
        <w:ind w:left="6520" w:hanging="360"/>
      </w:pPr>
      <w:rPr>
        <w:rFonts w:hint="default" w:ascii="Courier New" w:hAnsi="Courier New" w:cs="Courier New"/>
      </w:rPr>
    </w:lvl>
    <w:lvl w:ilvl="8" w:tentative="0">
      <w:start w:val="1"/>
      <w:numFmt w:val="bullet"/>
      <w:lvlText w:val=""/>
      <w:lvlJc w:val="left"/>
      <w:pPr>
        <w:ind w:left="7240" w:hanging="360"/>
      </w:pPr>
      <w:rPr>
        <w:rFonts w:hint="default" w:ascii="Wingdings" w:hAnsi="Wingdings"/>
      </w:rPr>
    </w:lvl>
  </w:abstractNum>
  <w:abstractNum w:abstractNumId="15">
    <w:nsid w:val="20D530D3"/>
    <w:multiLevelType w:val="multilevel"/>
    <w:tmpl w:val="20D530D3"/>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6">
    <w:nsid w:val="22053FC8"/>
    <w:multiLevelType w:val="multilevel"/>
    <w:tmpl w:val="22053F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3EB2B43"/>
    <w:multiLevelType w:val="multilevel"/>
    <w:tmpl w:val="23EB2B43"/>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8">
    <w:nsid w:val="26485565"/>
    <w:multiLevelType w:val="multilevel"/>
    <w:tmpl w:val="26485565"/>
    <w:lvl w:ilvl="0" w:tentative="0">
      <w:start w:val="1"/>
      <w:numFmt w:val="decimal"/>
      <w:lvlText w:val="%1)"/>
      <w:lvlJc w:val="left"/>
      <w:pPr>
        <w:ind w:left="720" w:hanging="360"/>
      </w:pPr>
    </w:lvl>
    <w:lvl w:ilvl="1" w:tentative="0">
      <w:start w:val="1"/>
      <w:numFmt w:val="decimal"/>
      <w:lvlText w:val="%2."/>
      <w:lvlJc w:val="left"/>
      <w:pPr>
        <w:ind w:left="1353" w:hanging="360"/>
      </w:pPr>
      <w:rPr>
        <w:rFonts w:hint="default"/>
        <w:i w:val="0"/>
        <w:iCs w:val="0"/>
      </w:rPr>
    </w:lvl>
    <w:lvl w:ilvl="2" w:tentative="0">
      <w:start w:val="3"/>
      <w:numFmt w:val="bullet"/>
      <w:lvlText w:val="•"/>
      <w:lvlJc w:val="left"/>
      <w:pPr>
        <w:ind w:left="2340" w:hanging="360"/>
      </w:pPr>
      <w:rPr>
        <w:rFonts w:hint="default" w:ascii="Times New Roman" w:hAnsi="Times New Roman" w:cs="Times New Roman" w:eastAsiaTheme="minorHAnsi"/>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287266CD"/>
    <w:multiLevelType w:val="multilevel"/>
    <w:tmpl w:val="287266C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28D35508"/>
    <w:multiLevelType w:val="multilevel"/>
    <w:tmpl w:val="28D35508"/>
    <w:lvl w:ilvl="0" w:tentative="0">
      <w:start w:val="1"/>
      <w:numFmt w:val="bullet"/>
      <w:lvlText w:val=""/>
      <w:lvlJc w:val="left"/>
      <w:pPr>
        <w:ind w:left="765" w:hanging="360"/>
      </w:pPr>
      <w:rPr>
        <w:rFonts w:hint="default" w:ascii="Wingdings" w:hAnsi="Wingdings"/>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21">
    <w:nsid w:val="35A8313F"/>
    <w:multiLevelType w:val="multilevel"/>
    <w:tmpl w:val="35A8313F"/>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2">
    <w:nsid w:val="3A2F4F6D"/>
    <w:multiLevelType w:val="multilevel"/>
    <w:tmpl w:val="3A2F4F6D"/>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3">
    <w:nsid w:val="406E050D"/>
    <w:multiLevelType w:val="multilevel"/>
    <w:tmpl w:val="406E050D"/>
    <w:lvl w:ilvl="0" w:tentative="0">
      <w:start w:val="1"/>
      <w:numFmt w:val="bullet"/>
      <w:lvlText w:val=""/>
      <w:lvlJc w:val="left"/>
      <w:pPr>
        <w:ind w:left="2148" w:hanging="360"/>
      </w:pPr>
      <w:rPr>
        <w:rFonts w:hint="default" w:ascii="Symbol" w:hAnsi="Symbol"/>
      </w:rPr>
    </w:lvl>
    <w:lvl w:ilvl="1" w:tentative="0">
      <w:start w:val="1"/>
      <w:numFmt w:val="bullet"/>
      <w:lvlText w:val="o"/>
      <w:lvlJc w:val="left"/>
      <w:pPr>
        <w:ind w:left="2868" w:hanging="360"/>
      </w:pPr>
      <w:rPr>
        <w:rFonts w:hint="default" w:ascii="Courier New" w:hAnsi="Courier New" w:cs="Courier New"/>
      </w:rPr>
    </w:lvl>
    <w:lvl w:ilvl="2" w:tentative="0">
      <w:start w:val="1"/>
      <w:numFmt w:val="bullet"/>
      <w:lvlText w:val=""/>
      <w:lvlJc w:val="left"/>
      <w:pPr>
        <w:ind w:left="3588" w:hanging="360"/>
      </w:pPr>
      <w:rPr>
        <w:rFonts w:hint="default" w:ascii="Wingdings" w:hAnsi="Wingdings"/>
      </w:rPr>
    </w:lvl>
    <w:lvl w:ilvl="3" w:tentative="0">
      <w:start w:val="1"/>
      <w:numFmt w:val="bullet"/>
      <w:lvlText w:val=""/>
      <w:lvlJc w:val="left"/>
      <w:pPr>
        <w:ind w:left="4308" w:hanging="360"/>
      </w:pPr>
      <w:rPr>
        <w:rFonts w:hint="default" w:ascii="Symbol" w:hAnsi="Symbol"/>
      </w:rPr>
    </w:lvl>
    <w:lvl w:ilvl="4" w:tentative="0">
      <w:start w:val="1"/>
      <w:numFmt w:val="bullet"/>
      <w:lvlText w:val="o"/>
      <w:lvlJc w:val="left"/>
      <w:pPr>
        <w:ind w:left="5028" w:hanging="360"/>
      </w:pPr>
      <w:rPr>
        <w:rFonts w:hint="default" w:ascii="Courier New" w:hAnsi="Courier New" w:cs="Courier New"/>
      </w:rPr>
    </w:lvl>
    <w:lvl w:ilvl="5" w:tentative="0">
      <w:start w:val="1"/>
      <w:numFmt w:val="bullet"/>
      <w:lvlText w:val=""/>
      <w:lvlJc w:val="left"/>
      <w:pPr>
        <w:ind w:left="5748" w:hanging="360"/>
      </w:pPr>
      <w:rPr>
        <w:rFonts w:hint="default" w:ascii="Wingdings" w:hAnsi="Wingdings"/>
      </w:rPr>
    </w:lvl>
    <w:lvl w:ilvl="6" w:tentative="0">
      <w:start w:val="1"/>
      <w:numFmt w:val="bullet"/>
      <w:lvlText w:val=""/>
      <w:lvlJc w:val="left"/>
      <w:pPr>
        <w:ind w:left="6468" w:hanging="360"/>
      </w:pPr>
      <w:rPr>
        <w:rFonts w:hint="default" w:ascii="Symbol" w:hAnsi="Symbol"/>
      </w:rPr>
    </w:lvl>
    <w:lvl w:ilvl="7" w:tentative="0">
      <w:start w:val="1"/>
      <w:numFmt w:val="bullet"/>
      <w:lvlText w:val="o"/>
      <w:lvlJc w:val="left"/>
      <w:pPr>
        <w:ind w:left="7188" w:hanging="360"/>
      </w:pPr>
      <w:rPr>
        <w:rFonts w:hint="default" w:ascii="Courier New" w:hAnsi="Courier New" w:cs="Courier New"/>
      </w:rPr>
    </w:lvl>
    <w:lvl w:ilvl="8" w:tentative="0">
      <w:start w:val="1"/>
      <w:numFmt w:val="bullet"/>
      <w:lvlText w:val=""/>
      <w:lvlJc w:val="left"/>
      <w:pPr>
        <w:ind w:left="7908" w:hanging="360"/>
      </w:pPr>
      <w:rPr>
        <w:rFonts w:hint="default" w:ascii="Wingdings" w:hAnsi="Wingdings"/>
      </w:rPr>
    </w:lvl>
  </w:abstractNum>
  <w:abstractNum w:abstractNumId="24">
    <w:nsid w:val="47E733E5"/>
    <w:multiLevelType w:val="multilevel"/>
    <w:tmpl w:val="47E733E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
    <w:nsid w:val="486F1827"/>
    <w:multiLevelType w:val="multilevel"/>
    <w:tmpl w:val="486F18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94344A6"/>
    <w:multiLevelType w:val="multilevel"/>
    <w:tmpl w:val="494344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97D0F33"/>
    <w:multiLevelType w:val="multilevel"/>
    <w:tmpl w:val="497D0F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4A864834"/>
    <w:multiLevelType w:val="multilevel"/>
    <w:tmpl w:val="4A864834"/>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28"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AE6299A"/>
    <w:multiLevelType w:val="multilevel"/>
    <w:tmpl w:val="4AE629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4B6D5570"/>
    <w:multiLevelType w:val="multilevel"/>
    <w:tmpl w:val="4B6D5570"/>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1">
    <w:nsid w:val="4C2149BC"/>
    <w:multiLevelType w:val="multilevel"/>
    <w:tmpl w:val="4C2149BC"/>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2">
    <w:nsid w:val="4E874C82"/>
    <w:multiLevelType w:val="multilevel"/>
    <w:tmpl w:val="4E874C82"/>
    <w:lvl w:ilvl="0" w:tentative="0">
      <w:start w:val="1"/>
      <w:numFmt w:val="decimal"/>
      <w:lvlText w:val="%1."/>
      <w:lvlJc w:val="left"/>
      <w:pPr>
        <w:ind w:left="720" w:hanging="360"/>
      </w:pPr>
    </w:lvl>
    <w:lvl w:ilvl="1" w:tentative="0">
      <w:start w:val="1"/>
      <w:numFmt w:val="decimal"/>
      <w:isLgl/>
      <w:lvlText w:val="%1.%2"/>
      <w:lvlJc w:val="left"/>
      <w:pPr>
        <w:ind w:left="720" w:hanging="360"/>
      </w:pPr>
      <w:rPr>
        <w:rFonts w:hint="default" w:ascii="Times New Roman" w:hAnsi="Times New Roman" w:eastAsia="Times New Roman" w:cs="Times New Roman"/>
        <w:b w:val="0"/>
      </w:rPr>
    </w:lvl>
    <w:lvl w:ilvl="2" w:tentative="0">
      <w:start w:val="1"/>
      <w:numFmt w:val="decimal"/>
      <w:isLgl/>
      <w:lvlText w:val="%1.%2.%3"/>
      <w:lvlJc w:val="left"/>
      <w:pPr>
        <w:ind w:left="1080" w:hanging="720"/>
      </w:pPr>
      <w:rPr>
        <w:rFonts w:hint="default" w:ascii="Times New Roman" w:hAnsi="Times New Roman" w:eastAsia="Times New Roman" w:cs="Times New Roman"/>
        <w:b w:val="0"/>
      </w:rPr>
    </w:lvl>
    <w:lvl w:ilvl="3" w:tentative="0">
      <w:start w:val="1"/>
      <w:numFmt w:val="decimal"/>
      <w:isLgl/>
      <w:lvlText w:val="%1.%2.%3.%4"/>
      <w:lvlJc w:val="left"/>
      <w:pPr>
        <w:ind w:left="1080" w:hanging="720"/>
      </w:pPr>
      <w:rPr>
        <w:rFonts w:hint="default" w:ascii="Times New Roman" w:hAnsi="Times New Roman" w:eastAsia="Times New Roman" w:cs="Times New Roman"/>
        <w:b w:val="0"/>
      </w:rPr>
    </w:lvl>
    <w:lvl w:ilvl="4" w:tentative="0">
      <w:start w:val="1"/>
      <w:numFmt w:val="decimal"/>
      <w:isLgl/>
      <w:lvlText w:val="%1.%2.%3.%4.%5"/>
      <w:lvlJc w:val="left"/>
      <w:pPr>
        <w:ind w:left="1080" w:hanging="720"/>
      </w:pPr>
      <w:rPr>
        <w:rFonts w:hint="default" w:ascii="Times New Roman" w:hAnsi="Times New Roman" w:eastAsia="Times New Roman" w:cs="Times New Roman"/>
        <w:b w:val="0"/>
      </w:rPr>
    </w:lvl>
    <w:lvl w:ilvl="5" w:tentative="0">
      <w:start w:val="1"/>
      <w:numFmt w:val="decimal"/>
      <w:isLgl/>
      <w:lvlText w:val="%1.%2.%3.%4.%5.%6"/>
      <w:lvlJc w:val="left"/>
      <w:pPr>
        <w:ind w:left="1440" w:hanging="1080"/>
      </w:pPr>
      <w:rPr>
        <w:rFonts w:hint="default" w:ascii="Times New Roman" w:hAnsi="Times New Roman" w:eastAsia="Times New Roman" w:cs="Times New Roman"/>
        <w:b w:val="0"/>
      </w:rPr>
    </w:lvl>
    <w:lvl w:ilvl="6" w:tentative="0">
      <w:start w:val="1"/>
      <w:numFmt w:val="decimal"/>
      <w:isLgl/>
      <w:lvlText w:val="%1.%2.%3.%4.%5.%6.%7"/>
      <w:lvlJc w:val="left"/>
      <w:pPr>
        <w:ind w:left="1440" w:hanging="1080"/>
      </w:pPr>
      <w:rPr>
        <w:rFonts w:hint="default" w:ascii="Times New Roman" w:hAnsi="Times New Roman" w:eastAsia="Times New Roman" w:cs="Times New Roman"/>
        <w:b w:val="0"/>
      </w:rPr>
    </w:lvl>
    <w:lvl w:ilvl="7" w:tentative="0">
      <w:start w:val="1"/>
      <w:numFmt w:val="decimal"/>
      <w:isLgl/>
      <w:lvlText w:val="%1.%2.%3.%4.%5.%6.%7.%8"/>
      <w:lvlJc w:val="left"/>
      <w:pPr>
        <w:ind w:left="1800" w:hanging="1440"/>
      </w:pPr>
      <w:rPr>
        <w:rFonts w:hint="default" w:ascii="Times New Roman" w:hAnsi="Times New Roman" w:eastAsia="Times New Roman" w:cs="Times New Roman"/>
        <w:b w:val="0"/>
      </w:rPr>
    </w:lvl>
    <w:lvl w:ilvl="8" w:tentative="0">
      <w:start w:val="1"/>
      <w:numFmt w:val="decimal"/>
      <w:isLgl/>
      <w:lvlText w:val="%1.%2.%3.%4.%5.%6.%7.%8.%9"/>
      <w:lvlJc w:val="left"/>
      <w:pPr>
        <w:ind w:left="1800" w:hanging="1440"/>
      </w:pPr>
      <w:rPr>
        <w:rFonts w:hint="default" w:ascii="Times New Roman" w:hAnsi="Times New Roman" w:eastAsia="Times New Roman" w:cs="Times New Roman"/>
        <w:b w:val="0"/>
      </w:rPr>
    </w:lvl>
  </w:abstractNum>
  <w:abstractNum w:abstractNumId="33">
    <w:nsid w:val="4EE32F02"/>
    <w:multiLevelType w:val="multilevel"/>
    <w:tmpl w:val="4EE32F02"/>
    <w:lvl w:ilvl="0" w:tentative="0">
      <w:start w:val="4"/>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4">
    <w:nsid w:val="51C249CD"/>
    <w:multiLevelType w:val="multilevel"/>
    <w:tmpl w:val="51C249CD"/>
    <w:lvl w:ilvl="0" w:tentative="0">
      <w:start w:val="1"/>
      <w:numFmt w:val="bullet"/>
      <w:lvlText w:val="−"/>
      <w:lvlJc w:val="left"/>
      <w:pPr>
        <w:ind w:left="770" w:hanging="360"/>
      </w:pPr>
      <w:rPr>
        <w:rFonts w:hint="default" w:ascii="Times New Roman" w:hAnsi="Times New Roman" w:cs="Times New Roman"/>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35">
    <w:nsid w:val="524442F0"/>
    <w:multiLevelType w:val="multilevel"/>
    <w:tmpl w:val="524442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594A2809"/>
    <w:multiLevelType w:val="multilevel"/>
    <w:tmpl w:val="594A2809"/>
    <w:lvl w:ilvl="0" w:tentative="0">
      <w:start w:val="1"/>
      <w:numFmt w:val="decimal"/>
      <w:lvlText w:val="%1)"/>
      <w:lvlJc w:val="left"/>
      <w:pPr>
        <w:ind w:left="720" w:hanging="360"/>
      </w:pPr>
    </w:lvl>
    <w:lvl w:ilvl="1" w:tentative="0">
      <w:start w:val="1"/>
      <w:numFmt w:val="decimal"/>
      <w:lvlText w:val="%2."/>
      <w:lvlJc w:val="left"/>
      <w:pPr>
        <w:ind w:left="1440" w:hanging="360"/>
      </w:pPr>
      <w:rPr>
        <w:rFonts w:hint="default"/>
      </w:rPr>
    </w:lvl>
    <w:lvl w:ilvl="2" w:tentative="0">
      <w:start w:val="3"/>
      <w:numFmt w:val="bullet"/>
      <w:lvlText w:val="•"/>
      <w:lvlJc w:val="left"/>
      <w:pPr>
        <w:ind w:left="2340" w:hanging="360"/>
      </w:pPr>
      <w:rPr>
        <w:rFonts w:hint="default" w:ascii="Times New Roman" w:hAnsi="Times New Roman" w:cs="Times New Roman" w:eastAsiaTheme="minorHAnsi"/>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5A0E024B"/>
    <w:multiLevelType w:val="multilevel"/>
    <w:tmpl w:val="5A0E024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5CD6527A"/>
    <w:multiLevelType w:val="multilevel"/>
    <w:tmpl w:val="5CD652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CEF07A1"/>
    <w:multiLevelType w:val="multilevel"/>
    <w:tmpl w:val="5CEF07A1"/>
    <w:lvl w:ilvl="0" w:tentative="0">
      <w:start w:val="1"/>
      <w:numFmt w:val="decimal"/>
      <w:lvlText w:val="%1."/>
      <w:lvlJc w:val="left"/>
      <w:pPr>
        <w:ind w:left="720" w:hanging="360"/>
      </w:pPr>
    </w:lvl>
    <w:lvl w:ilvl="1" w:tentative="0">
      <w:start w:val="1"/>
      <w:numFmt w:val="decimal"/>
      <w:lvlText w:val="%2."/>
      <w:lvlJc w:val="left"/>
      <w:pPr>
        <w:ind w:left="72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5D2115F6"/>
    <w:multiLevelType w:val="multilevel"/>
    <w:tmpl w:val="5D2115F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33C4199"/>
    <w:multiLevelType w:val="multilevel"/>
    <w:tmpl w:val="633C4199"/>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2">
    <w:nsid w:val="63952094"/>
    <w:multiLevelType w:val="multilevel"/>
    <w:tmpl w:val="63952094"/>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9B2290B"/>
    <w:multiLevelType w:val="multilevel"/>
    <w:tmpl w:val="69B229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69B3388C"/>
    <w:multiLevelType w:val="multilevel"/>
    <w:tmpl w:val="69B3388C"/>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5">
    <w:nsid w:val="6A853532"/>
    <w:multiLevelType w:val="multilevel"/>
    <w:tmpl w:val="6A853532"/>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6">
    <w:nsid w:val="70AE093F"/>
    <w:multiLevelType w:val="multilevel"/>
    <w:tmpl w:val="70AE093F"/>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1428" w:hanging="360"/>
      </w:pPr>
      <w:rPr>
        <w:rFonts w:hint="default" w:ascii="Symbol" w:hAnsi="Symbol"/>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47">
    <w:nsid w:val="70D903C1"/>
    <w:multiLevelType w:val="multilevel"/>
    <w:tmpl w:val="70D903C1"/>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8">
    <w:nsid w:val="71423195"/>
    <w:multiLevelType w:val="multilevel"/>
    <w:tmpl w:val="71423195"/>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9">
    <w:nsid w:val="721F626B"/>
    <w:multiLevelType w:val="multilevel"/>
    <w:tmpl w:val="721F62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7235317A"/>
    <w:multiLevelType w:val="multilevel"/>
    <w:tmpl w:val="7235317A"/>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1">
    <w:nsid w:val="750167A5"/>
    <w:multiLevelType w:val="multilevel"/>
    <w:tmpl w:val="750167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5271C10"/>
    <w:multiLevelType w:val="multilevel"/>
    <w:tmpl w:val="75271C10"/>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3">
    <w:nsid w:val="75CA2886"/>
    <w:multiLevelType w:val="multilevel"/>
    <w:tmpl w:val="75CA2886"/>
    <w:lvl w:ilvl="0" w:tentative="0">
      <w:start w:val="1"/>
      <w:numFmt w:val="decimal"/>
      <w:pStyle w:val="47"/>
      <w:lvlText w:val="%1."/>
      <w:lvlJc w:val="left"/>
      <w:pPr>
        <w:ind w:left="2487" w:hanging="360"/>
      </w:pPr>
      <w:rPr>
        <w:rFonts w:hint="default"/>
      </w:rPr>
    </w:lvl>
    <w:lvl w:ilvl="1" w:tentative="0">
      <w:start w:val="2"/>
      <w:numFmt w:val="decimal"/>
      <w:lvlText w:val="%2."/>
      <w:lvlJc w:val="left"/>
      <w:pPr>
        <w:ind w:left="720" w:hanging="360"/>
      </w:pPr>
      <w:rPr>
        <w:rFonts w:hint="default"/>
        <w:color w:val="auto"/>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54">
    <w:nsid w:val="769E67F5"/>
    <w:multiLevelType w:val="multilevel"/>
    <w:tmpl w:val="769E67F5"/>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5">
    <w:nsid w:val="79AE4EAD"/>
    <w:multiLevelType w:val="multilevel"/>
    <w:tmpl w:val="79AE4EAD"/>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6">
    <w:nsid w:val="7B426E1A"/>
    <w:multiLevelType w:val="multilevel"/>
    <w:tmpl w:val="7B426E1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7">
    <w:nsid w:val="7BBD445C"/>
    <w:multiLevelType w:val="multilevel"/>
    <w:tmpl w:val="7BBD445C"/>
    <w:lvl w:ilvl="0" w:tentative="0">
      <w:start w:val="1"/>
      <w:numFmt w:val="lowerLetter"/>
      <w:lvlText w:val="%1)"/>
      <w:lvlJc w:val="left"/>
      <w:pPr>
        <w:ind w:left="1428" w:hanging="360"/>
      </w:pPr>
      <w:rPr>
        <w:b w:val="0"/>
        <w:bCs w:val="0"/>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58">
    <w:nsid w:val="7DB60858"/>
    <w:multiLevelType w:val="multilevel"/>
    <w:tmpl w:val="7DB60858"/>
    <w:lvl w:ilvl="0" w:tentative="0">
      <w:start w:val="1"/>
      <w:numFmt w:val="upperRoman"/>
      <w:lvlText w:val="%1."/>
      <w:lvlJc w:val="right"/>
      <w:pPr>
        <w:ind w:left="720" w:hanging="360"/>
      </w:pPr>
    </w:lvl>
    <w:lvl w:ilvl="1" w:tentative="0">
      <w:start w:val="1"/>
      <w:numFmt w:val="decimal"/>
      <w:lvlText w:val="%2."/>
      <w:lvlJc w:val="left"/>
      <w:pPr>
        <w:ind w:left="1440" w:hanging="360"/>
      </w:pPr>
      <w:rPr>
        <w:rFonts w:hint="default"/>
      </w:rPr>
    </w:lvl>
    <w:lvl w:ilvl="2" w:tentative="0">
      <w:start w:val="3"/>
      <w:numFmt w:val="bullet"/>
      <w:lvlText w:val="•"/>
      <w:lvlJc w:val="left"/>
      <w:pPr>
        <w:ind w:left="2340" w:hanging="360"/>
      </w:pPr>
      <w:rPr>
        <w:rFonts w:hint="default" w:ascii="Times New Roman" w:hAnsi="Times New Roman" w:cs="Times New Roman" w:eastAsiaTheme="minorHAnsi"/>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3"/>
  </w:num>
  <w:num w:numId="2">
    <w:abstractNumId w:val="58"/>
  </w:num>
  <w:num w:numId="3">
    <w:abstractNumId w:val="25"/>
  </w:num>
  <w:num w:numId="4">
    <w:abstractNumId w:val="17"/>
  </w:num>
  <w:num w:numId="5">
    <w:abstractNumId w:val="50"/>
  </w:num>
  <w:num w:numId="6">
    <w:abstractNumId w:val="51"/>
  </w:num>
  <w:num w:numId="7">
    <w:abstractNumId w:val="33"/>
  </w:num>
  <w:num w:numId="8">
    <w:abstractNumId w:val="9"/>
  </w:num>
  <w:num w:numId="9">
    <w:abstractNumId w:val="4"/>
  </w:num>
  <w:num w:numId="10">
    <w:abstractNumId w:val="55"/>
  </w:num>
  <w:num w:numId="11">
    <w:abstractNumId w:val="46"/>
  </w:num>
  <w:num w:numId="12">
    <w:abstractNumId w:val="29"/>
  </w:num>
  <w:num w:numId="13">
    <w:abstractNumId w:val="52"/>
  </w:num>
  <w:num w:numId="14">
    <w:abstractNumId w:val="19"/>
  </w:num>
  <w:num w:numId="15">
    <w:abstractNumId w:val="45"/>
  </w:num>
  <w:num w:numId="16">
    <w:abstractNumId w:val="54"/>
  </w:num>
  <w:num w:numId="17">
    <w:abstractNumId w:val="21"/>
  </w:num>
  <w:num w:numId="18">
    <w:abstractNumId w:val="49"/>
  </w:num>
  <w:num w:numId="19">
    <w:abstractNumId w:val="24"/>
  </w:num>
  <w:num w:numId="20">
    <w:abstractNumId w:val="38"/>
  </w:num>
  <w:num w:numId="21">
    <w:abstractNumId w:val="13"/>
  </w:num>
  <w:num w:numId="22">
    <w:abstractNumId w:val="1"/>
  </w:num>
  <w:num w:numId="23">
    <w:abstractNumId w:val="47"/>
  </w:num>
  <w:num w:numId="24">
    <w:abstractNumId w:val="30"/>
  </w:num>
  <w:num w:numId="25">
    <w:abstractNumId w:val="16"/>
  </w:num>
  <w:num w:numId="26">
    <w:abstractNumId w:val="40"/>
  </w:num>
  <w:num w:numId="27">
    <w:abstractNumId w:val="43"/>
  </w:num>
  <w:num w:numId="28">
    <w:abstractNumId w:val="8"/>
  </w:num>
  <w:num w:numId="29">
    <w:abstractNumId w:val="6"/>
  </w:num>
  <w:num w:numId="30">
    <w:abstractNumId w:val="22"/>
  </w:num>
  <w:num w:numId="31">
    <w:abstractNumId w:val="20"/>
  </w:num>
  <w:num w:numId="32">
    <w:abstractNumId w:val="5"/>
  </w:num>
  <w:num w:numId="33">
    <w:abstractNumId w:val="26"/>
  </w:num>
  <w:num w:numId="34">
    <w:abstractNumId w:val="11"/>
  </w:num>
  <w:num w:numId="35">
    <w:abstractNumId w:val="34"/>
  </w:num>
  <w:num w:numId="36">
    <w:abstractNumId w:val="42"/>
  </w:num>
  <w:num w:numId="37">
    <w:abstractNumId w:val="14"/>
  </w:num>
  <w:num w:numId="38">
    <w:abstractNumId w:val="10"/>
  </w:num>
  <w:num w:numId="39">
    <w:abstractNumId w:val="2"/>
  </w:num>
  <w:num w:numId="40">
    <w:abstractNumId w:val="36"/>
  </w:num>
  <w:num w:numId="41">
    <w:abstractNumId w:val="0"/>
  </w:num>
  <w:num w:numId="42">
    <w:abstractNumId w:val="56"/>
  </w:num>
  <w:num w:numId="43">
    <w:abstractNumId w:val="3"/>
  </w:num>
  <w:num w:numId="44">
    <w:abstractNumId w:val="23"/>
  </w:num>
  <w:num w:numId="45">
    <w:abstractNumId w:val="44"/>
  </w:num>
  <w:num w:numId="46">
    <w:abstractNumId w:val="27"/>
  </w:num>
  <w:num w:numId="47">
    <w:abstractNumId w:val="35"/>
  </w:num>
  <w:num w:numId="48">
    <w:abstractNumId w:val="32"/>
  </w:num>
  <w:num w:numId="49">
    <w:abstractNumId w:val="18"/>
  </w:num>
  <w:num w:numId="50">
    <w:abstractNumId w:val="15"/>
  </w:num>
  <w:num w:numId="51">
    <w:abstractNumId w:val="48"/>
  </w:num>
  <w:num w:numId="52">
    <w:abstractNumId w:val="57"/>
  </w:num>
  <w:num w:numId="53">
    <w:abstractNumId w:val="41"/>
  </w:num>
  <w:num w:numId="54">
    <w:abstractNumId w:val="31"/>
  </w:num>
  <w:num w:numId="55">
    <w:abstractNumId w:val="39"/>
  </w:num>
  <w:num w:numId="56">
    <w:abstractNumId w:val="37"/>
  </w:num>
  <w:num w:numId="57">
    <w:abstractNumId w:val="28"/>
  </w:num>
  <w:num w:numId="58">
    <w:abstractNumId w:val="7"/>
  </w:num>
  <w:num w:numId="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88"/>
    <w:footnote w:id="89"/>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CA8"/>
    <w:rsid w:val="0000174B"/>
    <w:rsid w:val="00003739"/>
    <w:rsid w:val="00003D89"/>
    <w:rsid w:val="000145F9"/>
    <w:rsid w:val="00016D26"/>
    <w:rsid w:val="0002004D"/>
    <w:rsid w:val="00025824"/>
    <w:rsid w:val="0003795F"/>
    <w:rsid w:val="00045A10"/>
    <w:rsid w:val="00050509"/>
    <w:rsid w:val="00053831"/>
    <w:rsid w:val="00064D6D"/>
    <w:rsid w:val="00065457"/>
    <w:rsid w:val="000859EB"/>
    <w:rsid w:val="00093D79"/>
    <w:rsid w:val="000A6B90"/>
    <w:rsid w:val="000A7231"/>
    <w:rsid w:val="000C3848"/>
    <w:rsid w:val="000C419C"/>
    <w:rsid w:val="000C4B83"/>
    <w:rsid w:val="000D18D7"/>
    <w:rsid w:val="000E5D9E"/>
    <w:rsid w:val="000F4940"/>
    <w:rsid w:val="0010776D"/>
    <w:rsid w:val="001120E7"/>
    <w:rsid w:val="00113577"/>
    <w:rsid w:val="00116899"/>
    <w:rsid w:val="0012095F"/>
    <w:rsid w:val="001305CD"/>
    <w:rsid w:val="00152140"/>
    <w:rsid w:val="00162374"/>
    <w:rsid w:val="001663B1"/>
    <w:rsid w:val="001669B3"/>
    <w:rsid w:val="00174CA4"/>
    <w:rsid w:val="001800AC"/>
    <w:rsid w:val="00185374"/>
    <w:rsid w:val="00185759"/>
    <w:rsid w:val="00197441"/>
    <w:rsid w:val="001C0B92"/>
    <w:rsid w:val="001D3AF0"/>
    <w:rsid w:val="001D4F20"/>
    <w:rsid w:val="001D67E1"/>
    <w:rsid w:val="001F4400"/>
    <w:rsid w:val="001F5DBA"/>
    <w:rsid w:val="002006FE"/>
    <w:rsid w:val="00212E97"/>
    <w:rsid w:val="002149F4"/>
    <w:rsid w:val="0021683B"/>
    <w:rsid w:val="002223D7"/>
    <w:rsid w:val="00222AE2"/>
    <w:rsid w:val="00223866"/>
    <w:rsid w:val="0022651D"/>
    <w:rsid w:val="00233A1A"/>
    <w:rsid w:val="002504DB"/>
    <w:rsid w:val="002533FF"/>
    <w:rsid w:val="00253BFB"/>
    <w:rsid w:val="00272592"/>
    <w:rsid w:val="00281461"/>
    <w:rsid w:val="0028283D"/>
    <w:rsid w:val="002903C3"/>
    <w:rsid w:val="00296D66"/>
    <w:rsid w:val="002A6C3E"/>
    <w:rsid w:val="002A7B31"/>
    <w:rsid w:val="002B5058"/>
    <w:rsid w:val="002C508F"/>
    <w:rsid w:val="002D0D7B"/>
    <w:rsid w:val="002D12DD"/>
    <w:rsid w:val="002D1ECA"/>
    <w:rsid w:val="002D62B6"/>
    <w:rsid w:val="002E0124"/>
    <w:rsid w:val="002E4EC9"/>
    <w:rsid w:val="002E54D9"/>
    <w:rsid w:val="002F3809"/>
    <w:rsid w:val="002F3C5D"/>
    <w:rsid w:val="002F576F"/>
    <w:rsid w:val="0030338A"/>
    <w:rsid w:val="00306D55"/>
    <w:rsid w:val="00307004"/>
    <w:rsid w:val="00311461"/>
    <w:rsid w:val="003167D3"/>
    <w:rsid w:val="0031716E"/>
    <w:rsid w:val="003339FD"/>
    <w:rsid w:val="00337722"/>
    <w:rsid w:val="003401CD"/>
    <w:rsid w:val="00351A03"/>
    <w:rsid w:val="003524F2"/>
    <w:rsid w:val="0035284A"/>
    <w:rsid w:val="00353C04"/>
    <w:rsid w:val="003560CE"/>
    <w:rsid w:val="00356294"/>
    <w:rsid w:val="00367071"/>
    <w:rsid w:val="00377FF4"/>
    <w:rsid w:val="00381B0C"/>
    <w:rsid w:val="003828DF"/>
    <w:rsid w:val="00383E5E"/>
    <w:rsid w:val="00386C13"/>
    <w:rsid w:val="00395E14"/>
    <w:rsid w:val="0039737D"/>
    <w:rsid w:val="003A4910"/>
    <w:rsid w:val="003A595A"/>
    <w:rsid w:val="003A7074"/>
    <w:rsid w:val="003B0C84"/>
    <w:rsid w:val="003C226C"/>
    <w:rsid w:val="003D1473"/>
    <w:rsid w:val="003D1497"/>
    <w:rsid w:val="003D3A06"/>
    <w:rsid w:val="003D5868"/>
    <w:rsid w:val="003E0310"/>
    <w:rsid w:val="003E38AE"/>
    <w:rsid w:val="003E4959"/>
    <w:rsid w:val="003E5689"/>
    <w:rsid w:val="003E69F7"/>
    <w:rsid w:val="003E7AE3"/>
    <w:rsid w:val="00402362"/>
    <w:rsid w:val="00402BDA"/>
    <w:rsid w:val="00404E21"/>
    <w:rsid w:val="0041104A"/>
    <w:rsid w:val="00411FC9"/>
    <w:rsid w:val="004129DF"/>
    <w:rsid w:val="0041625B"/>
    <w:rsid w:val="0042086B"/>
    <w:rsid w:val="00425462"/>
    <w:rsid w:val="00427174"/>
    <w:rsid w:val="00436A9C"/>
    <w:rsid w:val="00442D38"/>
    <w:rsid w:val="00444C5A"/>
    <w:rsid w:val="00445C23"/>
    <w:rsid w:val="00450687"/>
    <w:rsid w:val="00452E65"/>
    <w:rsid w:val="004542FC"/>
    <w:rsid w:val="00462710"/>
    <w:rsid w:val="00464534"/>
    <w:rsid w:val="00466711"/>
    <w:rsid w:val="00484396"/>
    <w:rsid w:val="00494B0D"/>
    <w:rsid w:val="004A6F3D"/>
    <w:rsid w:val="004B0E22"/>
    <w:rsid w:val="004B6078"/>
    <w:rsid w:val="004C593F"/>
    <w:rsid w:val="004C5A1B"/>
    <w:rsid w:val="004E0210"/>
    <w:rsid w:val="004E0D53"/>
    <w:rsid w:val="004E5269"/>
    <w:rsid w:val="004F23FF"/>
    <w:rsid w:val="004F4C1A"/>
    <w:rsid w:val="00504C6E"/>
    <w:rsid w:val="00506481"/>
    <w:rsid w:val="00511A6C"/>
    <w:rsid w:val="00511AE6"/>
    <w:rsid w:val="00521F14"/>
    <w:rsid w:val="005255B9"/>
    <w:rsid w:val="00532EEE"/>
    <w:rsid w:val="00533A4B"/>
    <w:rsid w:val="00544D19"/>
    <w:rsid w:val="00550744"/>
    <w:rsid w:val="00551696"/>
    <w:rsid w:val="005526ED"/>
    <w:rsid w:val="00567CDA"/>
    <w:rsid w:val="005750D3"/>
    <w:rsid w:val="00575308"/>
    <w:rsid w:val="005804AE"/>
    <w:rsid w:val="00580BAA"/>
    <w:rsid w:val="005819C6"/>
    <w:rsid w:val="00591CDC"/>
    <w:rsid w:val="005B01EC"/>
    <w:rsid w:val="005B110D"/>
    <w:rsid w:val="005B2EEF"/>
    <w:rsid w:val="005B3B40"/>
    <w:rsid w:val="005C1A93"/>
    <w:rsid w:val="005C3D0D"/>
    <w:rsid w:val="005C4372"/>
    <w:rsid w:val="005C4F13"/>
    <w:rsid w:val="005C6A45"/>
    <w:rsid w:val="005C721D"/>
    <w:rsid w:val="005C7CE9"/>
    <w:rsid w:val="005D70D1"/>
    <w:rsid w:val="005E78C4"/>
    <w:rsid w:val="005F2F38"/>
    <w:rsid w:val="005F32F0"/>
    <w:rsid w:val="005F720A"/>
    <w:rsid w:val="00600640"/>
    <w:rsid w:val="0061734B"/>
    <w:rsid w:val="00625231"/>
    <w:rsid w:val="00625D4C"/>
    <w:rsid w:val="006377C3"/>
    <w:rsid w:val="00640C21"/>
    <w:rsid w:val="006417FF"/>
    <w:rsid w:val="00643660"/>
    <w:rsid w:val="006548FD"/>
    <w:rsid w:val="00654DFF"/>
    <w:rsid w:val="0066280A"/>
    <w:rsid w:val="0066594C"/>
    <w:rsid w:val="00671198"/>
    <w:rsid w:val="00675F63"/>
    <w:rsid w:val="00684C05"/>
    <w:rsid w:val="00690B76"/>
    <w:rsid w:val="00696358"/>
    <w:rsid w:val="006A1595"/>
    <w:rsid w:val="006A2C82"/>
    <w:rsid w:val="006B0895"/>
    <w:rsid w:val="006B2F2F"/>
    <w:rsid w:val="006B7519"/>
    <w:rsid w:val="006D3497"/>
    <w:rsid w:val="006E03E2"/>
    <w:rsid w:val="006E4BE3"/>
    <w:rsid w:val="006F63D7"/>
    <w:rsid w:val="007000AA"/>
    <w:rsid w:val="00711AB4"/>
    <w:rsid w:val="0071435E"/>
    <w:rsid w:val="00722115"/>
    <w:rsid w:val="00732E86"/>
    <w:rsid w:val="00733FBF"/>
    <w:rsid w:val="0075210D"/>
    <w:rsid w:val="007535B5"/>
    <w:rsid w:val="00755B1B"/>
    <w:rsid w:val="00760955"/>
    <w:rsid w:val="00760E36"/>
    <w:rsid w:val="00783779"/>
    <w:rsid w:val="00796A7D"/>
    <w:rsid w:val="007A19FE"/>
    <w:rsid w:val="007B324A"/>
    <w:rsid w:val="007B7D16"/>
    <w:rsid w:val="007C4ECF"/>
    <w:rsid w:val="007D2AE8"/>
    <w:rsid w:val="007D7382"/>
    <w:rsid w:val="007E3B23"/>
    <w:rsid w:val="007E5CA5"/>
    <w:rsid w:val="007F18A2"/>
    <w:rsid w:val="007F2EA9"/>
    <w:rsid w:val="007F40F4"/>
    <w:rsid w:val="007F4A4F"/>
    <w:rsid w:val="00807C8C"/>
    <w:rsid w:val="00811151"/>
    <w:rsid w:val="008144C7"/>
    <w:rsid w:val="0082678C"/>
    <w:rsid w:val="00827E68"/>
    <w:rsid w:val="00830918"/>
    <w:rsid w:val="00831785"/>
    <w:rsid w:val="008340DB"/>
    <w:rsid w:val="00842273"/>
    <w:rsid w:val="008503AA"/>
    <w:rsid w:val="00851210"/>
    <w:rsid w:val="00851268"/>
    <w:rsid w:val="008602F3"/>
    <w:rsid w:val="008805B1"/>
    <w:rsid w:val="008A771D"/>
    <w:rsid w:val="008B0D7E"/>
    <w:rsid w:val="008B2EAF"/>
    <w:rsid w:val="008C7822"/>
    <w:rsid w:val="008D516D"/>
    <w:rsid w:val="008D7797"/>
    <w:rsid w:val="008E394C"/>
    <w:rsid w:val="008E4655"/>
    <w:rsid w:val="00900CA9"/>
    <w:rsid w:val="00900E93"/>
    <w:rsid w:val="00920EC9"/>
    <w:rsid w:val="009322D0"/>
    <w:rsid w:val="00946265"/>
    <w:rsid w:val="009519A1"/>
    <w:rsid w:val="0095361E"/>
    <w:rsid w:val="009537F4"/>
    <w:rsid w:val="00954955"/>
    <w:rsid w:val="00956384"/>
    <w:rsid w:val="00957EFD"/>
    <w:rsid w:val="009671D8"/>
    <w:rsid w:val="00971266"/>
    <w:rsid w:val="00974A85"/>
    <w:rsid w:val="00982EBC"/>
    <w:rsid w:val="00984448"/>
    <w:rsid w:val="009929B2"/>
    <w:rsid w:val="00993644"/>
    <w:rsid w:val="00996C53"/>
    <w:rsid w:val="009B3089"/>
    <w:rsid w:val="009B6AF2"/>
    <w:rsid w:val="009C2067"/>
    <w:rsid w:val="009C2644"/>
    <w:rsid w:val="009D00AE"/>
    <w:rsid w:val="009E1B9A"/>
    <w:rsid w:val="009F1F46"/>
    <w:rsid w:val="009F59E2"/>
    <w:rsid w:val="00A03BC7"/>
    <w:rsid w:val="00A13486"/>
    <w:rsid w:val="00A14365"/>
    <w:rsid w:val="00A17A79"/>
    <w:rsid w:val="00A24CA0"/>
    <w:rsid w:val="00A30E1D"/>
    <w:rsid w:val="00A31C9C"/>
    <w:rsid w:val="00A3201D"/>
    <w:rsid w:val="00A33A71"/>
    <w:rsid w:val="00A33FFC"/>
    <w:rsid w:val="00A35915"/>
    <w:rsid w:val="00A35A20"/>
    <w:rsid w:val="00A44120"/>
    <w:rsid w:val="00A44543"/>
    <w:rsid w:val="00A50BAC"/>
    <w:rsid w:val="00A71900"/>
    <w:rsid w:val="00A736BB"/>
    <w:rsid w:val="00A77437"/>
    <w:rsid w:val="00A81F76"/>
    <w:rsid w:val="00A84238"/>
    <w:rsid w:val="00A905D8"/>
    <w:rsid w:val="00A92C43"/>
    <w:rsid w:val="00A95AD6"/>
    <w:rsid w:val="00A9742F"/>
    <w:rsid w:val="00AA21E3"/>
    <w:rsid w:val="00AA38C6"/>
    <w:rsid w:val="00AA69FC"/>
    <w:rsid w:val="00AD0602"/>
    <w:rsid w:val="00AE1202"/>
    <w:rsid w:val="00AE6BC7"/>
    <w:rsid w:val="00AF349B"/>
    <w:rsid w:val="00AF54E7"/>
    <w:rsid w:val="00B043D4"/>
    <w:rsid w:val="00B05BA0"/>
    <w:rsid w:val="00B13742"/>
    <w:rsid w:val="00B14227"/>
    <w:rsid w:val="00B15B86"/>
    <w:rsid w:val="00B21029"/>
    <w:rsid w:val="00B22853"/>
    <w:rsid w:val="00B23560"/>
    <w:rsid w:val="00B303C2"/>
    <w:rsid w:val="00B34DEF"/>
    <w:rsid w:val="00B350CA"/>
    <w:rsid w:val="00B37A1F"/>
    <w:rsid w:val="00B37F79"/>
    <w:rsid w:val="00B4158B"/>
    <w:rsid w:val="00B430B3"/>
    <w:rsid w:val="00B458B3"/>
    <w:rsid w:val="00B45BEC"/>
    <w:rsid w:val="00B4793E"/>
    <w:rsid w:val="00B501DF"/>
    <w:rsid w:val="00B52CA8"/>
    <w:rsid w:val="00B54CE2"/>
    <w:rsid w:val="00B576E2"/>
    <w:rsid w:val="00B632AE"/>
    <w:rsid w:val="00B637A9"/>
    <w:rsid w:val="00B70C72"/>
    <w:rsid w:val="00B73F36"/>
    <w:rsid w:val="00B76046"/>
    <w:rsid w:val="00B76E4C"/>
    <w:rsid w:val="00B81AE2"/>
    <w:rsid w:val="00B81D6F"/>
    <w:rsid w:val="00B91404"/>
    <w:rsid w:val="00BA07A9"/>
    <w:rsid w:val="00BA0D8A"/>
    <w:rsid w:val="00BA15DD"/>
    <w:rsid w:val="00BA294B"/>
    <w:rsid w:val="00BA5B0B"/>
    <w:rsid w:val="00BA6B4C"/>
    <w:rsid w:val="00BB2477"/>
    <w:rsid w:val="00BB3848"/>
    <w:rsid w:val="00BB7DBF"/>
    <w:rsid w:val="00BC1CD5"/>
    <w:rsid w:val="00BC7B94"/>
    <w:rsid w:val="00BD207A"/>
    <w:rsid w:val="00BE204F"/>
    <w:rsid w:val="00BE217E"/>
    <w:rsid w:val="00C05A70"/>
    <w:rsid w:val="00C064ED"/>
    <w:rsid w:val="00C06AC8"/>
    <w:rsid w:val="00C14441"/>
    <w:rsid w:val="00C44595"/>
    <w:rsid w:val="00C50A22"/>
    <w:rsid w:val="00C80732"/>
    <w:rsid w:val="00C816F6"/>
    <w:rsid w:val="00C85C7D"/>
    <w:rsid w:val="00CA0C7B"/>
    <w:rsid w:val="00CA2CF6"/>
    <w:rsid w:val="00CB0367"/>
    <w:rsid w:val="00CB1B40"/>
    <w:rsid w:val="00CD1365"/>
    <w:rsid w:val="00CD2078"/>
    <w:rsid w:val="00CD35A1"/>
    <w:rsid w:val="00CD6DC3"/>
    <w:rsid w:val="00CE3EAC"/>
    <w:rsid w:val="00CE6C75"/>
    <w:rsid w:val="00CF1C4A"/>
    <w:rsid w:val="00CF25F2"/>
    <w:rsid w:val="00D026A8"/>
    <w:rsid w:val="00D119F2"/>
    <w:rsid w:val="00D11C3E"/>
    <w:rsid w:val="00D2779D"/>
    <w:rsid w:val="00D33ED7"/>
    <w:rsid w:val="00D350A1"/>
    <w:rsid w:val="00D429EB"/>
    <w:rsid w:val="00D56B1D"/>
    <w:rsid w:val="00D610D1"/>
    <w:rsid w:val="00D64EA3"/>
    <w:rsid w:val="00D657DC"/>
    <w:rsid w:val="00D666F2"/>
    <w:rsid w:val="00D66C8D"/>
    <w:rsid w:val="00D81B68"/>
    <w:rsid w:val="00D85E85"/>
    <w:rsid w:val="00D87739"/>
    <w:rsid w:val="00D92BDE"/>
    <w:rsid w:val="00DA1E5F"/>
    <w:rsid w:val="00DB3DD0"/>
    <w:rsid w:val="00DB66D6"/>
    <w:rsid w:val="00DB7444"/>
    <w:rsid w:val="00DB7626"/>
    <w:rsid w:val="00DC18BB"/>
    <w:rsid w:val="00DC4285"/>
    <w:rsid w:val="00DD504E"/>
    <w:rsid w:val="00DD5B99"/>
    <w:rsid w:val="00DE4375"/>
    <w:rsid w:val="00DF2E92"/>
    <w:rsid w:val="00E00DFB"/>
    <w:rsid w:val="00E0128A"/>
    <w:rsid w:val="00E014B9"/>
    <w:rsid w:val="00E075E2"/>
    <w:rsid w:val="00E1400E"/>
    <w:rsid w:val="00E16A58"/>
    <w:rsid w:val="00E255FF"/>
    <w:rsid w:val="00E268AB"/>
    <w:rsid w:val="00E45EDD"/>
    <w:rsid w:val="00E50961"/>
    <w:rsid w:val="00E525CF"/>
    <w:rsid w:val="00E54351"/>
    <w:rsid w:val="00E5443A"/>
    <w:rsid w:val="00E60D17"/>
    <w:rsid w:val="00E653BD"/>
    <w:rsid w:val="00E709A2"/>
    <w:rsid w:val="00E74F9A"/>
    <w:rsid w:val="00E75655"/>
    <w:rsid w:val="00E776BC"/>
    <w:rsid w:val="00E801A6"/>
    <w:rsid w:val="00E90F2E"/>
    <w:rsid w:val="00E938CB"/>
    <w:rsid w:val="00E93FDA"/>
    <w:rsid w:val="00E96045"/>
    <w:rsid w:val="00EB1A76"/>
    <w:rsid w:val="00EB527D"/>
    <w:rsid w:val="00EB5559"/>
    <w:rsid w:val="00EC0FFF"/>
    <w:rsid w:val="00EC1FF5"/>
    <w:rsid w:val="00EC20B8"/>
    <w:rsid w:val="00EC48B9"/>
    <w:rsid w:val="00ED131B"/>
    <w:rsid w:val="00ED18B9"/>
    <w:rsid w:val="00ED1D99"/>
    <w:rsid w:val="00EF1A33"/>
    <w:rsid w:val="00F03AF2"/>
    <w:rsid w:val="00F0621A"/>
    <w:rsid w:val="00F11D5C"/>
    <w:rsid w:val="00F13BE7"/>
    <w:rsid w:val="00F14B33"/>
    <w:rsid w:val="00F15652"/>
    <w:rsid w:val="00F27971"/>
    <w:rsid w:val="00F34820"/>
    <w:rsid w:val="00F41EB1"/>
    <w:rsid w:val="00F43124"/>
    <w:rsid w:val="00F44253"/>
    <w:rsid w:val="00F53CF3"/>
    <w:rsid w:val="00F62874"/>
    <w:rsid w:val="00F64488"/>
    <w:rsid w:val="00F64A15"/>
    <w:rsid w:val="00F67103"/>
    <w:rsid w:val="00F72C94"/>
    <w:rsid w:val="00F857A4"/>
    <w:rsid w:val="00F96A2C"/>
    <w:rsid w:val="00FA20B4"/>
    <w:rsid w:val="00FA7FE7"/>
    <w:rsid w:val="00FB0955"/>
    <w:rsid w:val="00FB305A"/>
    <w:rsid w:val="00FB76D2"/>
    <w:rsid w:val="00FC2546"/>
    <w:rsid w:val="00FD3057"/>
    <w:rsid w:val="00FE179C"/>
    <w:rsid w:val="00FE656E"/>
    <w:rsid w:val="00FF086B"/>
    <w:rsid w:val="00FF73A6"/>
    <w:rsid w:val="59A41A5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l-PL" w:eastAsia="en-US" w:bidi="ar-SA"/>
    </w:rPr>
  </w:style>
  <w:style w:type="paragraph" w:styleId="2">
    <w:name w:val="heading 1"/>
    <w:basedOn w:val="1"/>
    <w:next w:val="1"/>
    <w:link w:val="29"/>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37"/>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4"/>
    <w:basedOn w:val="1"/>
    <w:next w:val="1"/>
    <w:link w:val="46"/>
    <w:semiHidden/>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48"/>
    <w:semiHidden/>
    <w:unhideWhenUsed/>
    <w:uiPriority w:val="99"/>
    <w:pPr>
      <w:spacing w:after="0" w:line="240" w:lineRule="auto"/>
    </w:pPr>
    <w:rPr>
      <w:rFonts w:ascii="Segoe UI" w:hAnsi="Segoe UI" w:cs="Segoe UI"/>
      <w:sz w:val="18"/>
      <w:szCs w:val="18"/>
    </w:rPr>
  </w:style>
  <w:style w:type="paragraph" w:styleId="8">
    <w:name w:val="Body Text"/>
    <w:basedOn w:val="1"/>
    <w:link w:val="40"/>
    <w:semiHidden/>
    <w:unhideWhenUsed/>
    <w:uiPriority w:val="99"/>
    <w:pPr>
      <w:spacing w:after="120"/>
    </w:pPr>
  </w:style>
  <w:style w:type="paragraph" w:styleId="9">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0">
    <w:name w:val="annotation reference"/>
    <w:basedOn w:val="5"/>
    <w:semiHidden/>
    <w:unhideWhenUsed/>
    <w:uiPriority w:val="99"/>
    <w:rPr>
      <w:sz w:val="16"/>
      <w:szCs w:val="16"/>
    </w:rPr>
  </w:style>
  <w:style w:type="paragraph" w:styleId="11">
    <w:name w:val="annotation text"/>
    <w:basedOn w:val="1"/>
    <w:link w:val="35"/>
    <w:unhideWhenUsed/>
    <w:uiPriority w:val="99"/>
    <w:pPr>
      <w:spacing w:line="240" w:lineRule="auto"/>
    </w:pPr>
    <w:rPr>
      <w:rFonts w:ascii="Times New Roman" w:hAnsi="Times New Roman" w:eastAsia="Calibri" w:cs="Times New Roman"/>
      <w:sz w:val="20"/>
      <w:szCs w:val="20"/>
    </w:rPr>
  </w:style>
  <w:style w:type="paragraph" w:styleId="12">
    <w:name w:val="annotation subject"/>
    <w:basedOn w:val="11"/>
    <w:next w:val="11"/>
    <w:link w:val="36"/>
    <w:semiHidden/>
    <w:unhideWhenUsed/>
    <w:uiPriority w:val="99"/>
    <w:rPr>
      <w:rFonts w:asciiTheme="minorHAnsi" w:hAnsiTheme="minorHAnsi" w:eastAsiaTheme="minorHAnsi" w:cstheme="minorBidi"/>
      <w:b/>
      <w:bCs/>
    </w:rPr>
  </w:style>
  <w:style w:type="character" w:styleId="13">
    <w:name w:val="endnote reference"/>
    <w:basedOn w:val="5"/>
    <w:semiHidden/>
    <w:unhideWhenUsed/>
    <w:uiPriority w:val="99"/>
    <w:rPr>
      <w:vertAlign w:val="superscript"/>
    </w:rPr>
  </w:style>
  <w:style w:type="paragraph" w:styleId="14">
    <w:name w:val="endnote text"/>
    <w:basedOn w:val="1"/>
    <w:link w:val="42"/>
    <w:semiHidden/>
    <w:unhideWhenUsed/>
    <w:uiPriority w:val="99"/>
    <w:pPr>
      <w:spacing w:after="0" w:line="240" w:lineRule="auto"/>
    </w:pPr>
    <w:rPr>
      <w:sz w:val="20"/>
      <w:szCs w:val="20"/>
    </w:rPr>
  </w:style>
  <w:style w:type="character" w:styleId="15">
    <w:name w:val="FollowedHyperlink"/>
    <w:basedOn w:val="5"/>
    <w:semiHidden/>
    <w:unhideWhenUsed/>
    <w:uiPriority w:val="99"/>
    <w:rPr>
      <w:color w:val="954F72" w:themeColor="followedHyperlink"/>
      <w:u w:val="single"/>
      <w14:textFill>
        <w14:solidFill>
          <w14:schemeClr w14:val="folHlink"/>
        </w14:solidFill>
      </w14:textFill>
    </w:rPr>
  </w:style>
  <w:style w:type="paragraph" w:styleId="16">
    <w:name w:val="footer"/>
    <w:basedOn w:val="1"/>
    <w:link w:val="32"/>
    <w:unhideWhenUsed/>
    <w:uiPriority w:val="99"/>
    <w:pPr>
      <w:tabs>
        <w:tab w:val="center" w:pos="4536"/>
        <w:tab w:val="right" w:pos="9072"/>
      </w:tabs>
      <w:spacing w:after="0" w:line="240" w:lineRule="auto"/>
    </w:pPr>
  </w:style>
  <w:style w:type="character" w:styleId="17">
    <w:name w:val="footnote reference"/>
    <w:basedOn w:val="5"/>
    <w:unhideWhenUsed/>
    <w:uiPriority w:val="99"/>
    <w:rPr>
      <w:vertAlign w:val="superscript"/>
    </w:rPr>
  </w:style>
  <w:style w:type="paragraph" w:styleId="18">
    <w:name w:val="footnote text"/>
    <w:basedOn w:val="1"/>
    <w:link w:val="33"/>
    <w:unhideWhenUsed/>
    <w:uiPriority w:val="99"/>
    <w:pPr>
      <w:spacing w:after="0" w:line="240" w:lineRule="auto"/>
    </w:pPr>
    <w:rPr>
      <w:sz w:val="20"/>
      <w:szCs w:val="20"/>
    </w:rPr>
  </w:style>
  <w:style w:type="paragraph" w:styleId="19">
    <w:name w:val="header"/>
    <w:basedOn w:val="1"/>
    <w:link w:val="34"/>
    <w:unhideWhenUsed/>
    <w:uiPriority w:val="99"/>
    <w:pPr>
      <w:tabs>
        <w:tab w:val="center" w:pos="4536"/>
        <w:tab w:val="right" w:pos="9072"/>
      </w:tabs>
      <w:spacing w:after="0" w:line="240" w:lineRule="auto"/>
    </w:pPr>
  </w:style>
  <w:style w:type="character" w:styleId="20">
    <w:name w:val="Hyperlink"/>
    <w:basedOn w:val="5"/>
    <w:unhideWhenUsed/>
    <w:uiPriority w:val="99"/>
    <w:rPr>
      <w:color w:val="0563C1" w:themeColor="hyperlink"/>
      <w:u w:val="single"/>
      <w14:textFill>
        <w14:solidFill>
          <w14:schemeClr w14:val="hlink"/>
        </w14:solidFill>
      </w14:textFill>
    </w:rPr>
  </w:style>
  <w:style w:type="paragraph" w:styleId="21">
    <w:name w:val="Normal (Web)"/>
    <w:basedOn w:val="1"/>
    <w:semiHidden/>
    <w:unhideWhenUsed/>
    <w:uiPriority w:val="99"/>
    <w:rPr>
      <w:rFonts w:ascii="Times New Roman" w:hAnsi="Times New Roman" w:cs="Times New Roman"/>
      <w:sz w:val="24"/>
      <w:szCs w:val="24"/>
    </w:rPr>
  </w:style>
  <w:style w:type="character" w:styleId="22">
    <w:name w:val="Strong"/>
    <w:basedOn w:val="5"/>
    <w:qFormat/>
    <w:uiPriority w:val="22"/>
    <w:rPr>
      <w:b/>
      <w:bCs/>
    </w:rPr>
  </w:style>
  <w:style w:type="table" w:styleId="23">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
    <w:name w:val="table of figures"/>
    <w:basedOn w:val="1"/>
    <w:next w:val="1"/>
    <w:unhideWhenUsed/>
    <w:uiPriority w:val="99"/>
    <w:pPr>
      <w:spacing w:after="0"/>
    </w:pPr>
  </w:style>
  <w:style w:type="paragraph" w:styleId="25">
    <w:name w:val="toc 1"/>
    <w:basedOn w:val="1"/>
    <w:next w:val="1"/>
    <w:autoRedefine/>
    <w:unhideWhenUsed/>
    <w:uiPriority w:val="39"/>
    <w:pPr>
      <w:tabs>
        <w:tab w:val="left" w:pos="426"/>
        <w:tab w:val="left" w:pos="567"/>
        <w:tab w:val="right" w:leader="dot" w:pos="10194"/>
      </w:tabs>
      <w:spacing w:after="100" w:line="276" w:lineRule="auto"/>
      <w:jc w:val="both"/>
    </w:pPr>
  </w:style>
  <w:style w:type="paragraph" w:styleId="26">
    <w:name w:val="toc 2"/>
    <w:basedOn w:val="1"/>
    <w:next w:val="1"/>
    <w:autoRedefine/>
    <w:unhideWhenUsed/>
    <w:uiPriority w:val="39"/>
    <w:pPr>
      <w:tabs>
        <w:tab w:val="left" w:pos="567"/>
        <w:tab w:val="right" w:leader="dot" w:pos="10194"/>
      </w:tabs>
      <w:spacing w:after="100" w:line="276" w:lineRule="auto"/>
      <w:ind w:left="220"/>
      <w:jc w:val="both"/>
    </w:pPr>
  </w:style>
  <w:style w:type="paragraph" w:styleId="27">
    <w:name w:val="toc 3"/>
    <w:basedOn w:val="1"/>
    <w:next w:val="1"/>
    <w:autoRedefine/>
    <w:unhideWhenUsed/>
    <w:uiPriority w:val="39"/>
    <w:pPr>
      <w:spacing w:after="100"/>
      <w:ind w:left="440"/>
    </w:pPr>
  </w:style>
  <w:style w:type="paragraph" w:styleId="28">
    <w:name w:val="List Paragraph"/>
    <w:basedOn w:val="1"/>
    <w:link w:val="31"/>
    <w:qFormat/>
    <w:uiPriority w:val="34"/>
    <w:pPr>
      <w:ind w:left="720"/>
      <w:contextualSpacing/>
    </w:pPr>
  </w:style>
  <w:style w:type="character" w:customStyle="1" w:styleId="29">
    <w:name w:val="Nagłówek 1 Znak"/>
    <w:basedOn w:val="5"/>
    <w:link w:val="2"/>
    <w:uiPriority w:val="9"/>
    <w:rPr>
      <w:rFonts w:asciiTheme="majorHAnsi" w:hAnsiTheme="majorHAnsi" w:eastAsiaTheme="majorEastAsia" w:cstheme="majorBidi"/>
      <w:color w:val="2F5597" w:themeColor="accent1" w:themeShade="BF"/>
      <w:sz w:val="32"/>
      <w:szCs w:val="32"/>
    </w:rPr>
  </w:style>
  <w:style w:type="paragraph" w:customStyle="1" w:styleId="30">
    <w:name w:val="TOC Heading"/>
    <w:basedOn w:val="2"/>
    <w:next w:val="1"/>
    <w:unhideWhenUsed/>
    <w:qFormat/>
    <w:uiPriority w:val="39"/>
    <w:pPr>
      <w:outlineLvl w:val="9"/>
    </w:pPr>
    <w:rPr>
      <w:lang w:eastAsia="pl-PL"/>
    </w:rPr>
  </w:style>
  <w:style w:type="character" w:customStyle="1" w:styleId="31">
    <w:name w:val="Akapit z listą Znak"/>
    <w:basedOn w:val="5"/>
    <w:link w:val="28"/>
    <w:qFormat/>
    <w:uiPriority w:val="34"/>
  </w:style>
  <w:style w:type="character" w:customStyle="1" w:styleId="32">
    <w:name w:val="Stopka Znak"/>
    <w:basedOn w:val="5"/>
    <w:link w:val="16"/>
    <w:uiPriority w:val="99"/>
  </w:style>
  <w:style w:type="character" w:customStyle="1" w:styleId="33">
    <w:name w:val="Tekst przypisu dolnego Znak"/>
    <w:basedOn w:val="5"/>
    <w:link w:val="18"/>
    <w:uiPriority w:val="99"/>
    <w:rPr>
      <w:sz w:val="20"/>
      <w:szCs w:val="20"/>
    </w:rPr>
  </w:style>
  <w:style w:type="character" w:customStyle="1" w:styleId="34">
    <w:name w:val="Nagłówek Znak"/>
    <w:basedOn w:val="5"/>
    <w:link w:val="19"/>
    <w:uiPriority w:val="99"/>
  </w:style>
  <w:style w:type="character" w:customStyle="1" w:styleId="35">
    <w:name w:val="Tekst komentarza Znak"/>
    <w:basedOn w:val="5"/>
    <w:link w:val="11"/>
    <w:uiPriority w:val="99"/>
    <w:rPr>
      <w:rFonts w:ascii="Times New Roman" w:hAnsi="Times New Roman" w:eastAsia="Calibri" w:cs="Times New Roman"/>
      <w:sz w:val="20"/>
      <w:szCs w:val="20"/>
    </w:rPr>
  </w:style>
  <w:style w:type="character" w:customStyle="1" w:styleId="36">
    <w:name w:val="Temat komentarza Znak"/>
    <w:basedOn w:val="35"/>
    <w:link w:val="12"/>
    <w:semiHidden/>
    <w:uiPriority w:val="99"/>
    <w:rPr>
      <w:rFonts w:ascii="Times New Roman" w:hAnsi="Times New Roman" w:eastAsia="Calibri" w:cs="Times New Roman"/>
      <w:b/>
      <w:bCs/>
      <w:sz w:val="20"/>
      <w:szCs w:val="20"/>
    </w:rPr>
  </w:style>
  <w:style w:type="character" w:customStyle="1" w:styleId="37">
    <w:name w:val="Nagłówek 2 Znak"/>
    <w:basedOn w:val="5"/>
    <w:link w:val="3"/>
    <w:uiPriority w:val="9"/>
    <w:rPr>
      <w:rFonts w:asciiTheme="majorHAnsi" w:hAnsiTheme="majorHAnsi" w:eastAsiaTheme="majorEastAsia" w:cstheme="majorBidi"/>
      <w:color w:val="2F5597" w:themeColor="accent1" w:themeShade="BF"/>
      <w:sz w:val="26"/>
      <w:szCs w:val="26"/>
    </w:rPr>
  </w:style>
  <w:style w:type="paragraph" w:customStyle="1" w:styleId="38">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pl-PL" w:eastAsia="en-US" w:bidi="ar-SA"/>
    </w:rPr>
  </w:style>
  <w:style w:type="paragraph" w:customStyle="1" w:styleId="39">
    <w:name w:val="Nagłówek1"/>
    <w:basedOn w:val="1"/>
    <w:next w:val="8"/>
    <w:uiPriority w:val="0"/>
    <w:pPr>
      <w:keepNext/>
      <w:tabs>
        <w:tab w:val="center" w:pos="4536"/>
        <w:tab w:val="right" w:pos="9072"/>
      </w:tabs>
      <w:suppressAutoHyphens/>
      <w:spacing w:before="240" w:after="120" w:line="100" w:lineRule="atLeast"/>
      <w:jc w:val="both"/>
    </w:pPr>
    <w:rPr>
      <w:rFonts w:ascii="Arial" w:hAnsi="Arial" w:eastAsia="Lucida Sans Unicode" w:cs="Mangal"/>
      <w:kern w:val="1"/>
      <w:sz w:val="28"/>
      <w:szCs w:val="20"/>
      <w:lang w:eastAsia="ar-SA"/>
    </w:rPr>
  </w:style>
  <w:style w:type="character" w:customStyle="1" w:styleId="40">
    <w:name w:val="Tekst podstawowy Znak"/>
    <w:basedOn w:val="5"/>
    <w:link w:val="8"/>
    <w:semiHidden/>
    <w:uiPriority w:val="99"/>
  </w:style>
  <w:style w:type="character" w:styleId="41">
    <w:name w:val="Placeholder Text"/>
    <w:basedOn w:val="5"/>
    <w:semiHidden/>
    <w:uiPriority w:val="99"/>
    <w:rPr>
      <w:color w:val="808080"/>
    </w:rPr>
  </w:style>
  <w:style w:type="character" w:customStyle="1" w:styleId="42">
    <w:name w:val="Tekst przypisu końcowego Znak"/>
    <w:basedOn w:val="5"/>
    <w:link w:val="14"/>
    <w:semiHidden/>
    <w:uiPriority w:val="99"/>
    <w:rPr>
      <w:sz w:val="20"/>
      <w:szCs w:val="20"/>
    </w:rPr>
  </w:style>
  <w:style w:type="character" w:customStyle="1" w:styleId="43">
    <w:name w:val="Nierozpoznana wzmianka1"/>
    <w:basedOn w:val="5"/>
    <w:semiHidden/>
    <w:unhideWhenUsed/>
    <w:uiPriority w:val="99"/>
    <w:rPr>
      <w:color w:val="605E5C"/>
      <w:shd w:val="clear" w:color="auto" w:fill="E1DFDD"/>
    </w:rPr>
  </w:style>
  <w:style w:type="character" w:customStyle="1" w:styleId="44">
    <w:name w:val="markedcontent"/>
    <w:basedOn w:val="5"/>
    <w:uiPriority w:val="0"/>
  </w:style>
  <w:style w:type="paragraph" w:customStyle="1" w:styleId="45">
    <w:name w:val="Revision"/>
    <w:hidden/>
    <w:semiHidden/>
    <w:uiPriority w:val="99"/>
    <w:pPr>
      <w:spacing w:after="0" w:line="240" w:lineRule="auto"/>
    </w:pPr>
    <w:rPr>
      <w:rFonts w:asciiTheme="minorHAnsi" w:hAnsiTheme="minorHAnsi" w:eastAsiaTheme="minorHAnsi" w:cstheme="minorBidi"/>
      <w:sz w:val="22"/>
      <w:szCs w:val="22"/>
      <w:lang w:val="pl-PL" w:eastAsia="en-US" w:bidi="ar-SA"/>
    </w:rPr>
  </w:style>
  <w:style w:type="character" w:customStyle="1" w:styleId="46">
    <w:name w:val="Nagłówek 4 Znak"/>
    <w:basedOn w:val="5"/>
    <w:link w:val="4"/>
    <w:semiHidden/>
    <w:uiPriority w:val="9"/>
    <w:rPr>
      <w:rFonts w:asciiTheme="majorHAnsi" w:hAnsiTheme="majorHAnsi" w:eastAsiaTheme="majorEastAsia" w:cstheme="majorBidi"/>
      <w:i/>
      <w:iCs/>
      <w:color w:val="2F5597" w:themeColor="accent1" w:themeShade="BF"/>
    </w:rPr>
  </w:style>
  <w:style w:type="paragraph" w:customStyle="1" w:styleId="47">
    <w:name w:val="podnagłowek"/>
    <w:qFormat/>
    <w:uiPriority w:val="0"/>
    <w:pPr>
      <w:numPr>
        <w:ilvl w:val="0"/>
        <w:numId w:val="1"/>
      </w:numPr>
      <w:spacing w:after="160" w:line="259" w:lineRule="auto"/>
      <w:jc w:val="both"/>
      <w:outlineLvl w:val="1"/>
    </w:pPr>
    <w:rPr>
      <w:rFonts w:ascii="Times New Roman" w:hAnsi="Times New Roman" w:cs="Times New Roman" w:eastAsiaTheme="minorHAnsi"/>
      <w:b/>
      <w:bCs/>
      <w:color w:val="000000" w:themeColor="text1"/>
      <w:sz w:val="24"/>
      <w:szCs w:val="24"/>
      <w:lang w:val="pl-PL" w:eastAsia="en-US" w:bidi="ar-SA"/>
      <w14:textFill>
        <w14:solidFill>
          <w14:schemeClr w14:val="tx1"/>
        </w14:solidFill>
      </w14:textFill>
    </w:rPr>
  </w:style>
  <w:style w:type="character" w:customStyle="1" w:styleId="48">
    <w:name w:val="Tekst dymka Znak"/>
    <w:basedOn w:val="5"/>
    <w:link w:val="7"/>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chart" Target="charts/chart13.xml"/><Relationship Id="rId23" Type="http://schemas.openxmlformats.org/officeDocument/2006/relationships/chart" Target="charts/chart12.xml"/><Relationship Id="rId22" Type="http://schemas.openxmlformats.org/officeDocument/2006/relationships/chart" Target="charts/chart11.xml"/><Relationship Id="rId21" Type="http://schemas.openxmlformats.org/officeDocument/2006/relationships/chart" Target="charts/chart10.xml"/><Relationship Id="rId20" Type="http://schemas.openxmlformats.org/officeDocument/2006/relationships/chart" Target="charts/chart9.xml"/><Relationship Id="rId2" Type="http://schemas.openxmlformats.org/officeDocument/2006/relationships/settings" Target="settings.xml"/><Relationship Id="rId19" Type="http://schemas.openxmlformats.org/officeDocument/2006/relationships/chart" Target="charts/chart8.xml"/><Relationship Id="rId18" Type="http://schemas.openxmlformats.org/officeDocument/2006/relationships/chart" Target="charts/chart7.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embeddings/oleObject6.bin"/></Relationships>
</file>

<file path=word/charts/_rels/chart10.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embeddings/oleObject10.bin"/></Relationships>
</file>

<file path=word/charts/_rels/chart1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xlsx"/></Relationships>
</file>

<file path=word/charts/_rels/chart1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embeddings/oleObject7.bin"/></Relationships>
</file>

<file path=word/charts/_rels/chart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embeddings/oleObject8.bin"/></Relationships>
</file>

<file path=word/charts/_rels/chart4.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3.xml"/><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'[LGD Między Dalinem i Gościbią ver.2.xlsx]demografia'!$H$3:$M$3</c:f>
              <c:numCache>
                <c:formatCode>General</c:formatCode>
                <c:ptCount val="6"/>
                <c:pt idx="0">
                  <c:v>2016</c:v>
                </c:pt>
                <c:pt idx="1">
                  <c:v>2017</c:v>
                </c:pt>
                <c:pt idx="2">
                  <c:v>2018</c:v>
                </c:pt>
                <c:pt idx="3">
                  <c:v>2019</c:v>
                </c:pt>
                <c:pt idx="4">
                  <c:v>2020</c:v>
                </c:pt>
                <c:pt idx="5">
                  <c:v>2021</c:v>
                </c:pt>
              </c:numCache>
            </c:numRef>
          </c:cat>
          <c:val>
            <c:numRef>
              <c:f>'[LGD Między Dalinem i Gościbią ver.2.xlsx]demografia'!$H$11:$M$11</c:f>
              <c:numCache>
                <c:formatCode>#,##0</c:formatCode>
                <c:ptCount val="6"/>
                <c:pt idx="0">
                  <c:v>101732</c:v>
                </c:pt>
                <c:pt idx="1">
                  <c:v>102260</c:v>
                </c:pt>
                <c:pt idx="2">
                  <c:v>102803</c:v>
                </c:pt>
                <c:pt idx="3">
                  <c:v>103278</c:v>
                </c:pt>
                <c:pt idx="4">
                  <c:v>104240</c:v>
                </c:pt>
                <c:pt idx="5">
                  <c:v>104399</c:v>
                </c:pt>
              </c:numCache>
            </c:numRef>
          </c:val>
          <c:smooth val="0"/>
        </c:ser>
        <c:dLbls>
          <c:showLegendKey val="0"/>
          <c:showVal val="0"/>
          <c:showCatName val="0"/>
          <c:showSerName val="0"/>
          <c:showPercent val="0"/>
          <c:showBubbleSize val="0"/>
        </c:dLbls>
        <c:marker val="1"/>
        <c:smooth val="0"/>
        <c:axId val="347695664"/>
        <c:axId val="347696912"/>
      </c:lineChart>
      <c:catAx>
        <c:axId val="34769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47696912"/>
        <c:crosses val="autoZero"/>
        <c:auto val="1"/>
        <c:lblAlgn val="ctr"/>
        <c:lblOffset val="100"/>
        <c:noMultiLvlLbl val="0"/>
      </c:catAx>
      <c:valAx>
        <c:axId val="347696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47695664"/>
        <c:crosses val="autoZero"/>
        <c:crossBetween val="between"/>
      </c:valAx>
      <c:spPr>
        <a:noFill/>
        <a:ln>
          <a:noFill/>
        </a:ln>
        <a:effectLst/>
      </c:spPr>
    </c:plotArea>
    <c:plotVisOnly val="1"/>
    <c:dispBlanksAs val="gap"/>
    <c:showDLblsOverMax val="0"/>
    <c:extLst>
      <c:ext uri="{0b15fc19-7d7d-44ad-8c2d-2c3a37ce22c3}">
        <chartProps xmlns="https://web.wps.cn/et/2018/main" chartId="{dc038a99-3590-4eb3-88fc-7b32cb0e2b92}"/>
      </c:ext>
    </c:extLst>
  </c:chart>
  <c:spPr>
    <a:solidFill>
      <a:schemeClr val="bg1"/>
    </a:solidFill>
    <a:ln w="9525" cap="flat" cmpd="sng" algn="ctr">
      <a:noFill/>
      <a:round/>
    </a:ln>
    <a:effectLst/>
  </c:spPr>
  <c:txPr>
    <a:bodyPr/>
    <a:lstStyle/>
    <a:p>
      <a:pPr>
        <a:defRPr lang="pl-PL"/>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'[LGD Między Dalinem i Gościbią ver.2.xlsx]pomoc społeczna'!$R$3:$V$3</c:f>
              <c:strCache>
                <c:ptCount val="5"/>
                <c:pt idx="0">
                  <c:v>2016</c:v>
                </c:pt>
                <c:pt idx="1">
                  <c:v>2017</c:v>
                </c:pt>
                <c:pt idx="2">
                  <c:v>2018</c:v>
                </c:pt>
                <c:pt idx="3">
                  <c:v>2019</c:v>
                </c:pt>
                <c:pt idx="4">
                  <c:v>2020</c:v>
                </c:pt>
              </c:strCache>
            </c:strRef>
          </c:cat>
          <c:val>
            <c:numRef>
              <c:f>'[LGD Między Dalinem i Gościbią ver.2.xlsx]pomoc społeczna'!$R$11:$V$11</c:f>
              <c:numCache>
                <c:formatCode>#\ ##0.0</c:formatCode>
                <c:ptCount val="5"/>
                <c:pt idx="0">
                  <c:v>5.5</c:v>
                </c:pt>
                <c:pt idx="1">
                  <c:v>4.4</c:v>
                </c:pt>
                <c:pt idx="2">
                  <c:v>3.9</c:v>
                </c:pt>
                <c:pt idx="3">
                  <c:v>3.6</c:v>
                </c:pt>
                <c:pt idx="4">
                  <c:v>3.1</c:v>
                </c:pt>
              </c:numCache>
            </c:numRef>
          </c:val>
        </c:ser>
        <c:dLbls>
          <c:showLegendKey val="0"/>
          <c:showVal val="0"/>
          <c:showCatName val="0"/>
          <c:showSerName val="0"/>
          <c:showPercent val="0"/>
          <c:showBubbleSize val="0"/>
        </c:dLbls>
        <c:gapWidth val="185"/>
        <c:overlap val="-27"/>
        <c:axId val="346006544"/>
        <c:axId val="346009040"/>
      </c:barChart>
      <c:catAx>
        <c:axId val="3460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46009040"/>
        <c:crosses val="autoZero"/>
        <c:auto val="1"/>
        <c:lblAlgn val="ctr"/>
        <c:lblOffset val="100"/>
        <c:noMultiLvlLbl val="0"/>
      </c:catAx>
      <c:valAx>
        <c:axId val="34600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46006544"/>
        <c:crosses val="autoZero"/>
        <c:crossBetween val="between"/>
        <c:majorUnit val="1"/>
      </c:valAx>
      <c:spPr>
        <a:noFill/>
        <a:ln>
          <a:noFill/>
        </a:ln>
        <a:effectLst/>
      </c:spPr>
    </c:plotArea>
    <c:plotVisOnly val="1"/>
    <c:dispBlanksAs val="gap"/>
    <c:showDLblsOverMax val="0"/>
    <c:extLst>
      <c:ext uri="{0b15fc19-7d7d-44ad-8c2d-2c3a37ce22c3}">
        <chartProps xmlns="https://web.wps.cn/et/2018/main" chartId="{d3969e98-b1cf-45cd-97e7-586ab3803132}"/>
      </c:ext>
    </c:extLst>
  </c:chart>
  <c:spPr>
    <a:solidFill>
      <a:schemeClr val="bg1"/>
    </a:solidFill>
    <a:ln w="9525" cap="flat" cmpd="sng" algn="ctr">
      <a:noFill/>
      <a:round/>
    </a:ln>
    <a:effectLst/>
  </c:spPr>
  <c:txPr>
    <a:bodyPr/>
    <a:lstStyle/>
    <a:p>
      <a:pPr>
        <a:defRPr lang="pl-PL"/>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dPt>
          <c:dPt>
            <c:idx val="1"/>
            <c:invertIfNegative val="0"/>
            <c:bubble3D val="0"/>
            <c:spPr>
              <a:solidFill>
                <a:schemeClr val="accent6">
                  <a:lumMod val="40000"/>
                  <a:lumOff val="60000"/>
                </a:schemeClr>
              </a:solidFill>
              <a:ln>
                <a:noFill/>
              </a:ln>
              <a:effectLst/>
            </c:spPr>
          </c:dPt>
          <c:dPt>
            <c:idx val="2"/>
            <c:invertIfNegative val="0"/>
            <c:bubble3D val="0"/>
            <c:spPr>
              <a:solidFill>
                <a:schemeClr val="accent3">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ver.2.xlsx]pomoc społeczna'!$B$11:$B$13</c:f>
              <c:strCache>
                <c:ptCount val="3"/>
                <c:pt idx="0">
                  <c:v>LGD</c:v>
                </c:pt>
                <c:pt idx="1">
                  <c:v>województwo małopolskie</c:v>
                </c:pt>
                <c:pt idx="2">
                  <c:v>Polska</c:v>
                </c:pt>
              </c:strCache>
            </c:strRef>
          </c:cat>
          <c:val>
            <c:numRef>
              <c:f>'[LGD Między Dalinem i Gościbią ver.2.xlsx]pomoc społeczna'!$V$11:$V$13</c:f>
              <c:numCache>
                <c:formatCode>#\ ##0.0</c:formatCode>
                <c:ptCount val="3"/>
                <c:pt idx="0">
                  <c:v>3.1</c:v>
                </c:pt>
                <c:pt idx="1" c:formatCode="0.0">
                  <c:v>3.7</c:v>
                </c:pt>
                <c:pt idx="2" c:formatCode="0.0">
                  <c:v>4.2</c:v>
                </c:pt>
              </c:numCache>
            </c:numRef>
          </c:val>
        </c:ser>
        <c:dLbls>
          <c:showLegendKey val="0"/>
          <c:showVal val="0"/>
          <c:showCatName val="0"/>
          <c:showSerName val="0"/>
          <c:showPercent val="0"/>
          <c:showBubbleSize val="0"/>
        </c:dLbls>
        <c:gapWidth val="219"/>
        <c:overlap val="-27"/>
        <c:axId val="1088971215"/>
        <c:axId val="1088957071"/>
      </c:barChart>
      <c:catAx>
        <c:axId val="108897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088957071"/>
        <c:crosses val="autoZero"/>
        <c:auto val="1"/>
        <c:lblAlgn val="ctr"/>
        <c:lblOffset val="100"/>
        <c:noMultiLvlLbl val="0"/>
      </c:catAx>
      <c:valAx>
        <c:axId val="1088957071"/>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088971215"/>
        <c:crosses val="autoZero"/>
        <c:crossBetween val="between"/>
        <c:majorUnit val="1"/>
      </c:valAx>
      <c:spPr>
        <a:noFill/>
        <a:ln>
          <a:noFill/>
        </a:ln>
        <a:effectLst/>
      </c:spPr>
    </c:plotArea>
    <c:plotVisOnly val="1"/>
    <c:dispBlanksAs val="gap"/>
    <c:showDLblsOverMax val="0"/>
    <c:extLst>
      <c:ext uri="{0b15fc19-7d7d-44ad-8c2d-2c3a37ce22c3}">
        <chartProps xmlns="https://web.wps.cn/et/2018/main" chartId="{b2560877-ea85-4409-b270-3a8333ea55f5}"/>
      </c:ext>
    </c:extLst>
  </c:chart>
  <c:spPr>
    <a:solidFill>
      <a:schemeClr val="bg1"/>
    </a:solidFill>
    <a:ln w="9525" cap="flat" cmpd="sng" algn="ctr">
      <a:noFill/>
      <a:round/>
    </a:ln>
    <a:effectLst/>
  </c:spPr>
  <c:txPr>
    <a:bodyPr/>
    <a:lstStyle/>
    <a:p>
      <a:pPr>
        <a:defRPr lang="pl-PL"/>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środowisko!$G$34</c:f>
              <c:strCache>
                <c:ptCount val="1"/>
                <c:pt idx="0">
                  <c:v>wodociągi</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środowisko!$F$35:$F$37</c:f>
              <c:strCache>
                <c:ptCount val="3"/>
                <c:pt idx="0">
                  <c:v>LGD</c:v>
                </c:pt>
                <c:pt idx="1">
                  <c:v>województwo małopolskie</c:v>
                </c:pt>
                <c:pt idx="2">
                  <c:v>Polska</c:v>
                </c:pt>
              </c:strCache>
            </c:strRef>
          </c:cat>
          <c:val>
            <c:numRef>
              <c:f>środowisko!$G$35:$G$37</c:f>
              <c:numCache>
                <c:formatCode>0.0</c:formatCode>
                <c:ptCount val="3"/>
                <c:pt idx="0">
                  <c:v>41.7714285714286</c:v>
                </c:pt>
                <c:pt idx="1">
                  <c:v>81.9</c:v>
                </c:pt>
                <c:pt idx="2">
                  <c:v>92.2</c:v>
                </c:pt>
              </c:numCache>
            </c:numRef>
          </c:val>
        </c:ser>
        <c:ser>
          <c:idx val="1"/>
          <c:order val="1"/>
          <c:tx>
            <c:strRef>
              <c:f>środowisko!$H$34</c:f>
              <c:strCache>
                <c:ptCount val="1"/>
                <c:pt idx="0">
                  <c:v>kanalizacja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środowisko!$F$35:$F$37</c:f>
              <c:strCache>
                <c:ptCount val="3"/>
                <c:pt idx="0">
                  <c:v>LGD</c:v>
                </c:pt>
                <c:pt idx="1">
                  <c:v>województwo małopolskie</c:v>
                </c:pt>
                <c:pt idx="2">
                  <c:v>Polska</c:v>
                </c:pt>
              </c:strCache>
            </c:strRef>
          </c:cat>
          <c:val>
            <c:numRef>
              <c:f>środowisko!$H$35:$H$37</c:f>
              <c:numCache>
                <c:formatCode>0.0</c:formatCode>
                <c:ptCount val="3"/>
                <c:pt idx="0">
                  <c:v>42.5857142857143</c:v>
                </c:pt>
                <c:pt idx="1">
                  <c:v>64.6</c:v>
                </c:pt>
                <c:pt idx="2">
                  <c:v>71.5</c:v>
                </c:pt>
              </c:numCache>
            </c:numRef>
          </c:val>
        </c:ser>
        <c:ser>
          <c:idx val="2"/>
          <c:order val="2"/>
          <c:tx>
            <c:strRef>
              <c:f>środowisko!$I$34</c:f>
              <c:strCache>
                <c:ptCount val="1"/>
                <c:pt idx="0">
                  <c:v>gaz</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środowisko!$F$35:$F$37</c:f>
              <c:strCache>
                <c:ptCount val="3"/>
                <c:pt idx="0">
                  <c:v>LGD</c:v>
                </c:pt>
                <c:pt idx="1">
                  <c:v>województwo małopolskie</c:v>
                </c:pt>
                <c:pt idx="2">
                  <c:v>Polska</c:v>
                </c:pt>
              </c:strCache>
            </c:strRef>
          </c:cat>
          <c:val>
            <c:numRef>
              <c:f>środowisko!$I$35:$I$37</c:f>
              <c:numCache>
                <c:formatCode>0.0</c:formatCode>
                <c:ptCount val="3"/>
                <c:pt idx="0">
                  <c:v>43.7285714285714</c:v>
                </c:pt>
                <c:pt idx="1">
                  <c:v>64.8</c:v>
                </c:pt>
                <c:pt idx="2">
                  <c:v>54.2</c:v>
                </c:pt>
              </c:numCache>
            </c:numRef>
          </c:val>
        </c:ser>
        <c:dLbls>
          <c:showLegendKey val="0"/>
          <c:showVal val="0"/>
          <c:showCatName val="0"/>
          <c:showSerName val="0"/>
          <c:showPercent val="0"/>
          <c:showBubbleSize val="0"/>
        </c:dLbls>
        <c:gapWidth val="219"/>
        <c:overlap val="-27"/>
        <c:axId val="1045318239"/>
        <c:axId val="1045321567"/>
      </c:barChart>
      <c:catAx>
        <c:axId val="104531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045321567"/>
        <c:crosses val="autoZero"/>
        <c:auto val="1"/>
        <c:lblAlgn val="ctr"/>
        <c:lblOffset val="100"/>
        <c:noMultiLvlLbl val="0"/>
      </c:catAx>
      <c:valAx>
        <c:axId val="1045321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0453182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581929b4-d15d-475f-96c8-f9ae3848db03}"/>
      </c:ext>
    </c:extLst>
  </c:chart>
  <c:spPr>
    <a:solidFill>
      <a:schemeClr val="bg1"/>
    </a:solidFill>
    <a:ln w="9525" cap="flat" cmpd="sng" algn="ctr">
      <a:noFill/>
      <a:round/>
    </a:ln>
    <a:effectLst/>
  </c:spPr>
  <c:txPr>
    <a:bodyPr/>
    <a:lstStyle/>
    <a:p>
      <a:pPr>
        <a:defRPr lang="pl-PL"/>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c:invertIfNegative val="0"/>
          <c:dPt>
            <c:idx val="0"/>
            <c:invertIfNegative val="0"/>
            <c:bubble3D val="0"/>
            <c:spPr>
              <a:solidFill>
                <a:schemeClr val="accent4">
                  <a:lumMod val="60000"/>
                  <a:lumOff val="40000"/>
                </a:schemeClr>
              </a:solidFill>
              <a:ln>
                <a:noFill/>
              </a:ln>
              <a:effectLst/>
            </c:spPr>
          </c:dPt>
          <c:dPt>
            <c:idx val="1"/>
            <c:invertIfNegative val="0"/>
            <c:bubble3D val="0"/>
            <c:spPr>
              <a:solidFill>
                <a:schemeClr val="accent6">
                  <a:lumMod val="40000"/>
                  <a:lumOff val="60000"/>
                </a:schemeClr>
              </a:solidFill>
              <a:ln>
                <a:noFill/>
              </a:ln>
              <a:effectLst/>
            </c:spPr>
          </c:dPt>
          <c:dPt>
            <c:idx val="2"/>
            <c:invertIfNegative val="0"/>
            <c:bubble3D val="0"/>
            <c:spPr>
              <a:solidFill>
                <a:schemeClr val="accent3">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'pomoc społeczna'!$B$11:$B$13</c:f>
              <c:strCache>
                <c:ptCount val="3"/>
                <c:pt idx="0">
                  <c:v>LGD</c:v>
                </c:pt>
                <c:pt idx="1">
                  <c:v>województwo małopolskie</c:v>
                </c:pt>
                <c:pt idx="2">
                  <c:v>Polska</c:v>
                </c:pt>
              </c:strCache>
            </c:strRef>
          </c:cat>
          <c:val>
            <c:numRef>
              <c:f>NIEPEŁNOSPRAWNI!$W$18:$W$20</c:f>
              <c:numCache>
                <c:formatCode>0</c:formatCode>
                <c:ptCount val="3"/>
                <c:pt idx="0">
                  <c:v>22.6055805132233</c:v>
                </c:pt>
                <c:pt idx="1">
                  <c:v>20.493416162105</c:v>
                </c:pt>
                <c:pt idx="2" c:formatCode="General">
                  <c:v>27</c:v>
                </c:pt>
              </c:numCache>
            </c:numRef>
          </c:val>
        </c:ser>
        <c:dLbls>
          <c:showLegendKey val="0"/>
          <c:showVal val="1"/>
          <c:showCatName val="0"/>
          <c:showSerName val="0"/>
          <c:showPercent val="0"/>
          <c:showBubbleSize val="0"/>
        </c:dLbls>
        <c:gapWidth val="219"/>
        <c:overlap val="-27"/>
        <c:axId val="1378540191"/>
        <c:axId val="1378539775"/>
      </c:barChart>
      <c:catAx>
        <c:axId val="13785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378539775"/>
        <c:crosses val="autoZero"/>
        <c:auto val="1"/>
        <c:lblAlgn val="ctr"/>
        <c:lblOffset val="100"/>
        <c:noMultiLvlLbl val="0"/>
      </c:catAx>
      <c:valAx>
        <c:axId val="1378539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378540191"/>
        <c:crosses val="autoZero"/>
        <c:crossBetween val="between"/>
      </c:valAx>
      <c:spPr>
        <a:noFill/>
        <a:ln>
          <a:noFill/>
        </a:ln>
        <a:effectLst/>
      </c:spPr>
    </c:plotArea>
    <c:plotVisOnly val="1"/>
    <c:dispBlanksAs val="gap"/>
    <c:showDLblsOverMax val="0"/>
    <c:extLst>
      <c:ext uri="{0b15fc19-7d7d-44ad-8c2d-2c3a37ce22c3}">
        <chartProps xmlns="https://web.wps.cn/et/2018/main" chartId="{1e031d9d-e422-434d-9e87-5e2a685fa362}"/>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'[LGD Między Dalinem i Gościbią ver.2.xlsx]demografia'!$B$15</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{2016,2017,2018,2019,2020,2021}</c:f>
              <c:numCache>
                <c:formatCode>General</c:formatCode>
                <c:ptCount val="6"/>
                <c:pt idx="0">
                  <c:v>2016</c:v>
                </c:pt>
                <c:pt idx="1">
                  <c:v>2017</c:v>
                </c:pt>
                <c:pt idx="2">
                  <c:v>2018</c:v>
                </c:pt>
                <c:pt idx="3">
                  <c:v>2019</c:v>
                </c:pt>
                <c:pt idx="4">
                  <c:v>2020</c:v>
                </c:pt>
                <c:pt idx="5">
                  <c:v>2021</c:v>
                </c:pt>
              </c:numCache>
            </c:numRef>
          </c:cat>
          <c:val>
            <c:numRef>
              <c:f>'[LGD Między Dalinem i Gościbią ver.2.xlsx]demografia'!$T$24:$Y$24</c:f>
              <c:numCache>
                <c:formatCode>#\ ##0.0</c:formatCode>
                <c:ptCount val="6"/>
                <c:pt idx="0">
                  <c:v>21.6</c:v>
                </c:pt>
                <c:pt idx="1">
                  <c:v>21.5</c:v>
                </c:pt>
                <c:pt idx="2">
                  <c:v>21.4</c:v>
                </c:pt>
                <c:pt idx="3">
                  <c:v>21.4</c:v>
                </c:pt>
                <c:pt idx="4">
                  <c:v>22.1</c:v>
                </c:pt>
                <c:pt idx="5">
                  <c:v>22.2</c:v>
                </c:pt>
              </c:numCache>
            </c:numRef>
          </c:val>
        </c:ser>
        <c:ser>
          <c:idx val="1"/>
          <c:order val="1"/>
          <c:tx>
            <c:strRef>
              <c:f>'[LGD Między Dalinem i Gościbią ver.2.xlsx]demografia'!$Z$15</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{2016,2017,2018,2019,2020,2021}</c:f>
              <c:numCache>
                <c:formatCode>General</c:formatCode>
                <c:ptCount val="6"/>
                <c:pt idx="0">
                  <c:v>2016</c:v>
                </c:pt>
                <c:pt idx="1">
                  <c:v>2017</c:v>
                </c:pt>
                <c:pt idx="2">
                  <c:v>2018</c:v>
                </c:pt>
                <c:pt idx="3">
                  <c:v>2019</c:v>
                </c:pt>
                <c:pt idx="4">
                  <c:v>2020</c:v>
                </c:pt>
                <c:pt idx="5">
                  <c:v>2021</c:v>
                </c:pt>
              </c:numCache>
            </c:numRef>
          </c:cat>
          <c:val>
            <c:numRef>
              <c:f>'[LGD Między Dalinem i Gościbią ver.2.xlsx]demografia'!$Z$24:$AE$24</c:f>
              <c:numCache>
                <c:formatCode>#\ ##0.0</c:formatCode>
                <c:ptCount val="6"/>
                <c:pt idx="0">
                  <c:v>62.6</c:v>
                </c:pt>
                <c:pt idx="1">
                  <c:v>62.3</c:v>
                </c:pt>
                <c:pt idx="2">
                  <c:v>61.9</c:v>
                </c:pt>
                <c:pt idx="3">
                  <c:v>61.5</c:v>
                </c:pt>
                <c:pt idx="4">
                  <c:v>60.2</c:v>
                </c:pt>
                <c:pt idx="5">
                  <c:v>59.8</c:v>
                </c:pt>
              </c:numCache>
            </c:numRef>
          </c:val>
        </c:ser>
        <c:ser>
          <c:idx val="2"/>
          <c:order val="2"/>
          <c:tx>
            <c:strRef>
              <c:f>'[LGD Między Dalinem i Gościbią ver.2.xlsx]demografia'!$AF$15</c:f>
              <c:strCache>
                <c:ptCount val="1"/>
                <c:pt idx="0">
                  <c:v>wiek poprodukcyjny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{2016,2017,2018,2019,2020,2021}</c:f>
              <c:numCache>
                <c:formatCode>General</c:formatCode>
                <c:ptCount val="6"/>
                <c:pt idx="0">
                  <c:v>2016</c:v>
                </c:pt>
                <c:pt idx="1">
                  <c:v>2017</c:v>
                </c:pt>
                <c:pt idx="2">
                  <c:v>2018</c:v>
                </c:pt>
                <c:pt idx="3">
                  <c:v>2019</c:v>
                </c:pt>
                <c:pt idx="4">
                  <c:v>2020</c:v>
                </c:pt>
                <c:pt idx="5">
                  <c:v>2021</c:v>
                </c:pt>
              </c:numCache>
            </c:numRef>
          </c:cat>
          <c:val>
            <c:numRef>
              <c:f>'[LGD Między Dalinem i Gościbią ver.2.xlsx]demografia'!$AF$24:$AK$24</c:f>
              <c:numCache>
                <c:formatCode>#\ ##0.0</c:formatCode>
                <c:ptCount val="6"/>
                <c:pt idx="0">
                  <c:v>15.7875594699799</c:v>
                </c:pt>
                <c:pt idx="1">
                  <c:v>16.2008605515353</c:v>
                </c:pt>
                <c:pt idx="2">
                  <c:v>16.7</c:v>
                </c:pt>
                <c:pt idx="3">
                  <c:v>17.0752725653092</c:v>
                </c:pt>
                <c:pt idx="4">
                  <c:v>17.7</c:v>
                </c:pt>
                <c:pt idx="5">
                  <c:v>17.9867623253096</c:v>
                </c:pt>
              </c:numCache>
            </c:numRef>
          </c:val>
        </c:ser>
        <c:dLbls>
          <c:showLegendKey val="0"/>
          <c:showVal val="1"/>
          <c:showCatName val="0"/>
          <c:showSerName val="0"/>
          <c:showPercent val="0"/>
          <c:showBubbleSize val="0"/>
        </c:dLbls>
        <c:gapWidth val="150"/>
        <c:overlap val="100"/>
        <c:axId val="1424603328"/>
        <c:axId val="1424591264"/>
      </c:barChart>
      <c:catAx>
        <c:axId val="142460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424591264"/>
        <c:crosses val="autoZero"/>
        <c:auto val="1"/>
        <c:lblAlgn val="ctr"/>
        <c:lblOffset val="100"/>
        <c:noMultiLvlLbl val="0"/>
      </c:catAx>
      <c:valAx>
        <c:axId val="14245912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424603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1281a561-9056-4e82-9091-816c68e1fe0c}"/>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'[LGD Między Dalinem i Gościbią ver.2.xlsx]demografia'!$T$15</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ver.2.xlsx]demografia'!$A$24:$A$26</c:f>
              <c:strCache>
                <c:ptCount val="3"/>
                <c:pt idx="0">
                  <c:v>LGD</c:v>
                </c:pt>
                <c:pt idx="1">
                  <c:v>województwo małopolskie</c:v>
                </c:pt>
                <c:pt idx="2">
                  <c:v>Polska</c:v>
                </c:pt>
              </c:strCache>
            </c:strRef>
          </c:cat>
          <c:val>
            <c:numRef>
              <c:f>'[LGD Między Dalinem i Gościbią ver.2.xlsx]demografia'!$Y$24:$Y$26</c:f>
              <c:numCache>
                <c:formatCode>#\ ##0.0</c:formatCode>
                <c:ptCount val="3"/>
                <c:pt idx="0">
                  <c:v>22.2</c:v>
                </c:pt>
                <c:pt idx="1" c:formatCode="0.0">
                  <c:v>19.3</c:v>
                </c:pt>
                <c:pt idx="2" c:formatCode="0.0">
                  <c:v>18.4</c:v>
                </c:pt>
              </c:numCache>
            </c:numRef>
          </c:val>
        </c:ser>
        <c:ser>
          <c:idx val="1"/>
          <c:order val="1"/>
          <c:tx>
            <c:strRef>
              <c:f>'[LGD Między Dalinem i Gościbią ver.2.xlsx]demografia'!$Z$15</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ver.2.xlsx]demografia'!$A$24:$A$26</c:f>
              <c:strCache>
                <c:ptCount val="3"/>
                <c:pt idx="0">
                  <c:v>LGD</c:v>
                </c:pt>
                <c:pt idx="1">
                  <c:v>województwo małopolskie</c:v>
                </c:pt>
                <c:pt idx="2">
                  <c:v>Polska</c:v>
                </c:pt>
              </c:strCache>
            </c:strRef>
          </c:cat>
          <c:val>
            <c:numRef>
              <c:f>'[LGD Między Dalinem i Gościbią ver.2.xlsx]demografia'!$AE$24:$AE$26</c:f>
              <c:numCache>
                <c:formatCode>#\ ##0.0</c:formatCode>
                <c:ptCount val="3"/>
                <c:pt idx="0">
                  <c:v>59.8</c:v>
                </c:pt>
                <c:pt idx="1" c:formatCode="0.0">
                  <c:v>60</c:v>
                </c:pt>
                <c:pt idx="2" c:formatCode="0.0">
                  <c:v>59.1</c:v>
                </c:pt>
              </c:numCache>
            </c:numRef>
          </c:val>
        </c:ser>
        <c:ser>
          <c:idx val="2"/>
          <c:order val="2"/>
          <c:tx>
            <c:strRef>
              <c:f>'[LGD Między Dalinem i Gościbią ver.2.xlsx]demografia'!$AF$15</c:f>
              <c:strCache>
                <c:ptCount val="1"/>
                <c:pt idx="0">
                  <c:v>wiek poprodukcyjny</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ver.2.xlsx]demografia'!$A$24:$A$26</c:f>
              <c:strCache>
                <c:ptCount val="3"/>
                <c:pt idx="0">
                  <c:v>LGD</c:v>
                </c:pt>
                <c:pt idx="1">
                  <c:v>województwo małopolskie</c:v>
                </c:pt>
                <c:pt idx="2">
                  <c:v>Polska</c:v>
                </c:pt>
              </c:strCache>
            </c:strRef>
          </c:cat>
          <c:val>
            <c:numRef>
              <c:f>'[LGD Między Dalinem i Gościbią ver.2.xlsx]demografia'!$AK$24:$AK$26</c:f>
              <c:numCache>
                <c:formatCode>#\ ##0.0</c:formatCode>
                <c:ptCount val="3"/>
                <c:pt idx="0">
                  <c:v>17.9867623253096</c:v>
                </c:pt>
                <c:pt idx="1" c:formatCode="0.0">
                  <c:v>20.6909458746433</c:v>
                </c:pt>
                <c:pt idx="2" c:formatCode="0.0">
                  <c:v>22.5011332788712</c:v>
                </c:pt>
              </c:numCache>
            </c:numRef>
          </c:val>
        </c:ser>
        <c:dLbls>
          <c:showLegendKey val="0"/>
          <c:showVal val="1"/>
          <c:showCatName val="0"/>
          <c:showSerName val="0"/>
          <c:showPercent val="0"/>
          <c:showBubbleSize val="0"/>
        </c:dLbls>
        <c:gapWidth val="219"/>
        <c:overlap val="100"/>
        <c:axId val="1671127039"/>
        <c:axId val="1671122463"/>
      </c:barChart>
      <c:catAx>
        <c:axId val="167112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71122463"/>
        <c:crosses val="autoZero"/>
        <c:auto val="1"/>
        <c:lblAlgn val="ctr"/>
        <c:lblOffset val="100"/>
        <c:noMultiLvlLbl val="0"/>
      </c:catAx>
      <c:valAx>
        <c:axId val="1671122463"/>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txPr>
          <a:bodyPr rot="-60000000" spcFirstLastPara="0"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711270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dfa65fad-dfc1-44bc-8058-1f52366914fd}"/>
      </c:ext>
    </c:extLst>
  </c:chart>
  <c:spPr>
    <a:solidFill>
      <a:schemeClr val="bg1"/>
    </a:solidFill>
    <a:ln w="9525" cap="flat" cmpd="sng" algn="ctr">
      <a:noFill/>
      <a:round/>
    </a:ln>
    <a:effectLst/>
  </c:spPr>
  <c:txPr>
    <a:bodyPr/>
    <a:lstStyle/>
    <a:p>
      <a:pPr>
        <a:defRPr lang="pl-PL">
          <a:solidFill>
            <a:sysClr val="windowText" lastClr="000000"/>
          </a:solidFill>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 Między Dalinem i Gościbią ver.2.xlsx]demografia'!$H$28</c:f>
              <c:strCache>
                <c:ptCount val="1"/>
                <c:pt idx="0">
                  <c:v>Przyrost naturalny na 1 000 ludności </c:v>
                </c:pt>
              </c:strCache>
            </c:strRef>
          </c:tx>
          <c:spPr>
            <a:solidFill>
              <a:srgbClr val="FFC000">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'[LGD Między Dalinem i Gościbią ver.2.xlsx]demografia'!$H$29:$M$29</c:f>
              <c:numCache>
                <c:formatCode>@</c:formatCode>
                <c:ptCount val="6"/>
                <c:pt idx="0" c:formatCode="@">
                  <c:v>2016</c:v>
                </c:pt>
                <c:pt idx="1" c:formatCode="@">
                  <c:v>2017</c:v>
                </c:pt>
                <c:pt idx="2" c:formatCode="@">
                  <c:v>2018</c:v>
                </c:pt>
                <c:pt idx="3" c:formatCode="@">
                  <c:v>2019</c:v>
                </c:pt>
                <c:pt idx="4" c:formatCode="@">
                  <c:v>2020</c:v>
                </c:pt>
                <c:pt idx="5" c:formatCode="@">
                  <c:v>2021</c:v>
                </c:pt>
              </c:numCache>
            </c:numRef>
          </c:cat>
          <c:val>
            <c:numRef>
              <c:f>'[LGD Między Dalinem i Gościbią ver.2.xlsx]demografia'!$H$37:$M$37</c:f>
              <c:numCache>
                <c:formatCode>0.0</c:formatCode>
                <c:ptCount val="6"/>
                <c:pt idx="0">
                  <c:v>4.2</c:v>
                </c:pt>
                <c:pt idx="1">
                  <c:v>3.9</c:v>
                </c:pt>
                <c:pt idx="2">
                  <c:v>3.9</c:v>
                </c:pt>
                <c:pt idx="3">
                  <c:v>2.7</c:v>
                </c:pt>
                <c:pt idx="4">
                  <c:v>1</c:v>
                </c:pt>
                <c:pt idx="5">
                  <c:v>0</c:v>
                </c:pt>
              </c:numCache>
            </c:numRef>
          </c:val>
        </c:ser>
        <c:dLbls>
          <c:showLegendKey val="0"/>
          <c:showVal val="0"/>
          <c:showCatName val="0"/>
          <c:showSerName val="0"/>
          <c:showPercent val="0"/>
          <c:showBubbleSize val="0"/>
        </c:dLbls>
        <c:gapWidth val="150"/>
        <c:overlap val="-27"/>
        <c:axId val="1658835647"/>
        <c:axId val="1658834399"/>
      </c:barChart>
      <c:catAx>
        <c:axId val="1658835647"/>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58834399"/>
        <c:crosses val="autoZero"/>
        <c:auto val="1"/>
        <c:lblAlgn val="ctr"/>
        <c:lblOffset val="100"/>
        <c:noMultiLvlLbl val="0"/>
      </c:catAx>
      <c:valAx>
        <c:axId val="1658834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58835647"/>
        <c:crosses val="autoZero"/>
        <c:crossBetween val="between"/>
        <c:majorUnit val="1"/>
      </c:valAx>
      <c:spPr>
        <a:noFill/>
        <a:ln>
          <a:noFill/>
        </a:ln>
        <a:effectLst/>
      </c:spPr>
    </c:plotArea>
    <c:plotVisOnly val="1"/>
    <c:dispBlanksAs val="gap"/>
    <c:showDLblsOverMax val="0"/>
    <c:extLst>
      <c:ext uri="{0b15fc19-7d7d-44ad-8c2d-2c3a37ce22c3}">
        <chartProps xmlns="https://web.wps.cn/et/2018/main" chartId="{479bc560-9409-440d-a2a9-137df165e7df}"/>
      </c:ext>
    </c:extLst>
  </c:chart>
  <c:spPr>
    <a:solidFill>
      <a:schemeClr val="bg1"/>
    </a:solidFill>
    <a:ln w="9525" cap="flat" cmpd="sng" algn="ctr">
      <a:noFill/>
      <a:round/>
    </a:ln>
    <a:effectLst/>
  </c:spPr>
  <c:txPr>
    <a:bodyPr/>
    <a:lstStyle/>
    <a:p>
      <a:pPr>
        <a:defRPr lang="pl-PL">
          <a:solidFill>
            <a:sysClr val="windowText" lastClr="000000"/>
          </a:solidFill>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 Między Dalinem i Gościbią ver.2.xlsx]demografia'!$H$42</c:f>
              <c:strCache>
                <c:ptCount val="1"/>
                <c:pt idx="0">
                  <c:v>Saldo migracji na 1 000 ludności</c:v>
                </c:pt>
              </c:strCache>
            </c:strRef>
          </c:tx>
          <c:spPr>
            <a:solidFill>
              <a:srgbClr val="FFC000">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'[LGD Między Dalinem i Gościbią ver.2.xlsx]demografia'!$H$43:$M$43</c:f>
              <c:numCache>
                <c:formatCode>@</c:formatCode>
                <c:ptCount val="6"/>
                <c:pt idx="0" c:formatCode="@">
                  <c:v>2016</c:v>
                </c:pt>
                <c:pt idx="1" c:formatCode="@">
                  <c:v>2017</c:v>
                </c:pt>
                <c:pt idx="2" c:formatCode="@">
                  <c:v>2018</c:v>
                </c:pt>
                <c:pt idx="3" c:formatCode="@">
                  <c:v>2019</c:v>
                </c:pt>
                <c:pt idx="4" c:formatCode="@">
                  <c:v>2020</c:v>
                </c:pt>
                <c:pt idx="5" c:formatCode="@">
                  <c:v>2021</c:v>
                </c:pt>
              </c:numCache>
            </c:numRef>
          </c:cat>
          <c:val>
            <c:numRef>
              <c:f>'[LGD Między Dalinem i Gościbią ver.2.xlsx]demografia'!$H$51:$M$51</c:f>
              <c:numCache>
                <c:formatCode>0.0</c:formatCode>
                <c:ptCount val="6"/>
                <c:pt idx="0">
                  <c:v>0.9</c:v>
                </c:pt>
                <c:pt idx="1">
                  <c:v>1.3</c:v>
                </c:pt>
                <c:pt idx="2">
                  <c:v>1.7</c:v>
                </c:pt>
                <c:pt idx="3">
                  <c:v>2</c:v>
                </c:pt>
                <c:pt idx="4">
                  <c:v>1.2</c:v>
                </c:pt>
                <c:pt idx="5">
                  <c:v>1</c:v>
                </c:pt>
              </c:numCache>
            </c:numRef>
          </c:val>
        </c:ser>
        <c:dLbls>
          <c:showLegendKey val="0"/>
          <c:showVal val="1"/>
          <c:showCatName val="0"/>
          <c:showSerName val="0"/>
          <c:showPercent val="0"/>
          <c:showBubbleSize val="0"/>
        </c:dLbls>
        <c:gapWidth val="150"/>
        <c:overlap val="-27"/>
        <c:axId val="371682015"/>
        <c:axId val="371680767"/>
      </c:barChart>
      <c:catAx>
        <c:axId val="371682015"/>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71680767"/>
        <c:crosses val="autoZero"/>
        <c:auto val="1"/>
        <c:lblAlgn val="ctr"/>
        <c:lblOffset val="300"/>
        <c:noMultiLvlLbl val="0"/>
      </c:catAx>
      <c:valAx>
        <c:axId val="3716807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71682015"/>
        <c:crosses val="autoZero"/>
        <c:crossBetween val="between"/>
        <c:majorUnit val="1"/>
      </c:valAx>
      <c:spPr>
        <a:noFill/>
        <a:ln>
          <a:noFill/>
        </a:ln>
        <a:effectLst/>
      </c:spPr>
    </c:plotArea>
    <c:plotVisOnly val="1"/>
    <c:dispBlanksAs val="gap"/>
    <c:showDLblsOverMax val="0"/>
    <c:extLst>
      <c:ext uri="{0b15fc19-7d7d-44ad-8c2d-2c3a37ce22c3}">
        <chartProps xmlns="https://web.wps.cn/et/2018/main" chartId="{1d1ac9cc-4969-4c5b-8097-12ae81a5ad7a}"/>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'[LGD Między Dalinem i Gościbią ver.2.xlsx]demografia'!$H$42</c:f>
              <c:strCache>
                <c:ptCount val="1"/>
                <c:pt idx="0">
                  <c:v>Saldo migracji na 1 000 ludności</c:v>
                </c:pt>
              </c:strCache>
            </c:strRef>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dPt>
          <c:dPt>
            <c:idx val="1"/>
            <c:invertIfNegative val="0"/>
            <c:bubble3D val="0"/>
            <c:spPr>
              <a:solidFill>
                <a:schemeClr val="accent6">
                  <a:lumMod val="40000"/>
                  <a:lumOff val="60000"/>
                </a:schemeClr>
              </a:solidFill>
              <a:ln>
                <a:noFill/>
              </a:ln>
              <a:effectLst/>
            </c:spPr>
          </c:dPt>
          <c:dPt>
            <c:idx val="2"/>
            <c:invertIfNegative val="0"/>
            <c:bubble3D val="0"/>
            <c:spPr>
              <a:solidFill>
                <a:schemeClr val="accent3">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ver.2.xlsx]demografia'!$A$51:$A$53</c:f>
              <c:strCache>
                <c:ptCount val="3"/>
                <c:pt idx="0">
                  <c:v>LGD</c:v>
                </c:pt>
                <c:pt idx="1">
                  <c:v>województwo małopolskie</c:v>
                </c:pt>
                <c:pt idx="2">
                  <c:v>Polska</c:v>
                </c:pt>
              </c:strCache>
            </c:strRef>
          </c:cat>
          <c:val>
            <c:numRef>
              <c:f>'[LGD Między Dalinem i Gościbią ver.2.xlsx]demografia'!$M$51:$M$53</c:f>
              <c:numCache>
                <c:formatCode>0.0</c:formatCode>
                <c:ptCount val="3"/>
                <c:pt idx="0">
                  <c:v>1</c:v>
                </c:pt>
                <c:pt idx="1">
                  <c:v>1.4</c:v>
                </c:pt>
                <c:pt idx="2">
                  <c:v>0.1</c:v>
                </c:pt>
              </c:numCache>
            </c:numRef>
          </c:val>
        </c:ser>
        <c:dLbls>
          <c:showLegendKey val="0"/>
          <c:showVal val="1"/>
          <c:showCatName val="0"/>
          <c:showSerName val="0"/>
          <c:showPercent val="0"/>
          <c:showBubbleSize val="0"/>
        </c:dLbls>
        <c:gapWidth val="150"/>
        <c:overlap val="-27"/>
        <c:axId val="1671151999"/>
        <c:axId val="1671152831"/>
      </c:barChart>
      <c:catAx>
        <c:axId val="167115199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671152831"/>
        <c:crosses val="autoZero"/>
        <c:auto val="1"/>
        <c:lblAlgn val="ctr"/>
        <c:lblOffset val="100"/>
        <c:noMultiLvlLbl val="0"/>
      </c:catAx>
      <c:valAx>
        <c:axId val="16711528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671151999"/>
        <c:crosses val="autoZero"/>
        <c:crossBetween val="between"/>
        <c:majorUnit val="0.5"/>
      </c:valAx>
      <c:spPr>
        <a:noFill/>
        <a:ln>
          <a:noFill/>
        </a:ln>
        <a:effectLst/>
      </c:spPr>
    </c:plotArea>
    <c:plotVisOnly val="1"/>
    <c:dispBlanksAs val="gap"/>
    <c:showDLblsOverMax val="0"/>
    <c:extLst>
      <c:ext uri="{0b15fc19-7d7d-44ad-8c2d-2c3a37ce22c3}">
        <chartProps xmlns="https://web.wps.cn/et/2018/main" chartId="{1e37f777-6043-4a26-a702-8ac8456992d6}"/>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'[LGD Między Dalinem i Gościbią ver.2.xlsx]gospodarka'!$A$38</c:f>
              <c:strCache>
                <c:ptCount val="1"/>
                <c:pt idx="0">
                  <c:v>LGD</c:v>
                </c:pt>
              </c:strCache>
            </c:strRef>
          </c:tx>
          <c:spPr>
            <a:solidFill>
              <a:schemeClr val="accent4">
                <a:lumMod val="40000"/>
                <a:lumOff val="60000"/>
              </a:schemeClr>
            </a:solidFill>
            <a:ln>
              <a:noFill/>
            </a:ln>
            <a:effectLst/>
          </c:spPr>
          <c:invertIfNegative val="0"/>
          <c:dPt>
            <c:idx val="0"/>
            <c:invertIfNegative val="0"/>
            <c:bubble3D val="0"/>
            <c:spPr>
              <a:solidFill>
                <a:schemeClr val="accent4">
                  <a:lumMod val="40000"/>
                  <a:lumOff val="60000"/>
                </a:schemeClr>
              </a:solidFill>
              <a:ln>
                <a:noFill/>
              </a:ln>
              <a:effectLst/>
            </c:spPr>
          </c:dPt>
          <c:dPt>
            <c:idx val="1"/>
            <c:invertIfNegative val="0"/>
            <c:bubble3D val="0"/>
            <c:spPr>
              <a:solidFill>
                <a:schemeClr val="accent4">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ver.2.xlsx]gospodarka'!$B$16,'[LGD Między Dalinem i Gościbią ver.2.xlsx]gospodarka'!$H$16</c:f>
              <c:strCache>
                <c:ptCount val="2"/>
                <c:pt idx="0">
                  <c:v>Podmioty wpisane do rejestru REGON na 10 tys. mieszkańców ogółem</c:v>
                </c:pt>
                <c:pt idx="1">
                  <c:v>Nowo zarejestrowane podmioty w rejestrze REGON na 10 tys. mieszkańców w wieku produkcyjnym</c:v>
                </c:pt>
              </c:strCache>
            </c:strRef>
          </c:cat>
          <c:val>
            <c:numRef>
              <c:f>'[LGD Między Dalinem i Gościbią ver.2.xlsx]gospodarka'!$B$38:$C$38</c:f>
              <c:numCache>
                <c:formatCode>0.0</c:formatCode>
                <c:ptCount val="2"/>
                <c:pt idx="0">
                  <c:v>19.8</c:v>
                </c:pt>
                <c:pt idx="1">
                  <c:v>16.1538461538462</c:v>
                </c:pt>
              </c:numCache>
            </c:numRef>
          </c:val>
        </c:ser>
        <c:ser>
          <c:idx val="1"/>
          <c:order val="1"/>
          <c:tx>
            <c:strRef>
              <c:f>'[LGD Między Dalinem i Gościbią ver.2.xlsx]gospodarka'!$A$39</c:f>
              <c:strCache>
                <c:ptCount val="1"/>
                <c:pt idx="0">
                  <c:v>województwo małopolskie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ver.2.xlsx]gospodarka'!$B$16,'[LGD Między Dalinem i Gościbią ver.2.xlsx]gospodarka'!$H$16</c:f>
              <c:strCache>
                <c:ptCount val="2"/>
                <c:pt idx="0">
                  <c:v>Podmioty wpisane do rejestru REGON na 10 tys. mieszkańców ogółem</c:v>
                </c:pt>
                <c:pt idx="1">
                  <c:v>Nowo zarejestrowane podmioty w rejestrze REGON na 10 tys. mieszkańców w wieku produkcyjnym</c:v>
                </c:pt>
              </c:strCache>
            </c:strRef>
          </c:cat>
          <c:val>
            <c:numRef>
              <c:f>'[LGD Między Dalinem i Gościbią ver.2.xlsx]gospodarka'!$B$39:$C$39</c:f>
              <c:numCache>
                <c:formatCode>0.0</c:formatCode>
                <c:ptCount val="2"/>
                <c:pt idx="0">
                  <c:v>18.3</c:v>
                </c:pt>
                <c:pt idx="1">
                  <c:v>12.3</c:v>
                </c:pt>
              </c:numCache>
            </c:numRef>
          </c:val>
        </c:ser>
        <c:ser>
          <c:idx val="3"/>
          <c:order val="3"/>
          <c:tx>
            <c:strRef>
              <c:f>'[LGD Między Dalinem i Gościbią ver.2.xlsx]gospodarka'!$A$40</c:f>
              <c:strCache>
                <c:ptCount val="1"/>
                <c:pt idx="0">
                  <c:v>Polska</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ver.2.xlsx]gospodarka'!$B$16,'[LGD Między Dalinem i Gościbią ver.2.xlsx]gospodarka'!$H$16</c:f>
              <c:strCache>
                <c:ptCount val="2"/>
                <c:pt idx="0">
                  <c:v>Podmioty wpisane do rejestru REGON na 10 tys. mieszkańców ogółem</c:v>
                </c:pt>
                <c:pt idx="1">
                  <c:v>Nowo zarejestrowane podmioty w rejestrze REGON na 10 tys. mieszkańców w wieku produkcyjnym</c:v>
                </c:pt>
              </c:strCache>
            </c:strRef>
          </c:cat>
          <c:val>
            <c:numRef>
              <c:f>'[LGD Między Dalinem i Gościbią ver.2.xlsx]gospodarka'!$B$40:$C$40</c:f>
              <c:numCache>
                <c:formatCode>0.0</c:formatCode>
                <c:ptCount val="2"/>
                <c:pt idx="0">
                  <c:v>15.7</c:v>
                </c:pt>
                <c:pt idx="1">
                  <c:v>12.2448979591837</c:v>
                </c:pt>
              </c:numCache>
            </c:numRef>
          </c:val>
        </c:ser>
        <c:dLbls>
          <c:showLegendKey val="0"/>
          <c:showVal val="1"/>
          <c:showCatName val="0"/>
          <c:showSerName val="0"/>
          <c:showPercent val="0"/>
          <c:showBubbleSize val="0"/>
        </c:dLbls>
        <c:gapWidth val="150"/>
        <c:overlap val="-27"/>
        <c:axId val="1676227408"/>
        <c:axId val="1676216176"/>
        <c:extLst>
          <c:ext xmlns:c15="http://schemas.microsoft.com/office/drawing/2012/chart" uri="{02D57815-91ED-43cb-92C2-25804820EDAC}">
            <c15:filteredBarSeries>
              <c15:ser>
                <c:idx val="2"/>
                <c:order val="2"/>
                <c:tx>
                  <c:strRef>
                    <c:extLst>
                      <c:ext uri="{02D57815-91ED-43cb-92C2-25804820EDAC}">
                        <c15:formulaRef>
                          <c15:sqref>gospodarka!#REF!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'[LGD Między Dalinem i Gościbią ver.2.xlsx]gospodarka'!$B$16,'[LGD Między Dalinem i Gościbią ver.2.xlsx]gospodarka'!$H$16</c15:sqref>
                        </c15:formulaRef>
                      </c:ext>
                    </c:extLst>
                    <c:strCache>
                      <c:ptCount val="2"/>
                      <c:pt idx="0">
                        <c:v>Podmioty wpisane do rejestru REGON na 10 tys. mieszkańców ogółem</c:v>
                      </c:pt>
                      <c:pt idx="1">
                        <c:v>Nowo zarejestrowane podmioty w rejestrze REGON na 10 tys. mieszkańców w wieku produkcyjnym</c:v>
                      </c:pt>
                    </c:strCache>
                  </c:strRef>
                </c:cat>
                <c:val>
                  <c:numRef>
                    <c:extLst>
                      <c:ext uri="{02D57815-91ED-43cb-92C2-25804820EDAC}">
                        <c15:formulaRef>
                          <c15:sqref>gospodarka!#REF!</c15:sqref>
                        </c15:formulaRef>
                      </c:ext>
                    </c:extLst>
                    <c:numCache>
                      <c:formatCode>General</c:formatCode>
                      <c:ptCount val="1"/>
                      <c:pt idx="0">
                        <c:v>1</c:v>
                      </c:pt>
                    </c:numCache>
                  </c:numRef>
                </c:val>
              </c15:ser>
            </c15:filteredBarSeries>
          </c:ext>
        </c:extLst>
      </c:barChart>
      <c:catAx>
        <c:axId val="167622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676216176"/>
        <c:crosses val="autoZero"/>
        <c:auto val="1"/>
        <c:lblAlgn val="ctr"/>
        <c:lblOffset val="100"/>
        <c:noMultiLvlLbl val="0"/>
      </c:catAx>
      <c:valAx>
        <c:axId val="167621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676227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fb272e63-34ee-4ce0-a439-5b5a8660f938}"/>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'[LGD Między Dalinem i Gościbią ver.2.xlsx]gospodarka'!$T$55</c:f>
              <c:strCache>
                <c:ptCount val="1"/>
                <c:pt idx="0">
                  <c:v>Fundacje, stowarzyszenia, organizacje społeczne na 10 tys. mieszkańców </c:v>
                </c:pt>
              </c:strCache>
            </c:strRef>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dPt>
          <c:dPt>
            <c:idx val="1"/>
            <c:invertIfNegative val="0"/>
            <c:bubble3D val="0"/>
            <c:spPr>
              <a:solidFill>
                <a:schemeClr val="accent6">
                  <a:lumMod val="40000"/>
                  <a:lumOff val="60000"/>
                </a:schemeClr>
              </a:solidFill>
              <a:ln>
                <a:noFill/>
              </a:ln>
              <a:effectLst/>
            </c:spPr>
          </c:dPt>
          <c:dPt>
            <c:idx val="2"/>
            <c:invertIfNegative val="0"/>
            <c:bubble3D val="0"/>
            <c:spPr>
              <a:solidFill>
                <a:schemeClr val="accent3">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ver.2.xlsx]gospodarka'!$A$64:$A$66</c:f>
              <c:strCache>
                <c:ptCount val="3"/>
                <c:pt idx="0">
                  <c:v>LGD</c:v>
                </c:pt>
                <c:pt idx="1">
                  <c:v>województwo małopolskie</c:v>
                </c:pt>
                <c:pt idx="2">
                  <c:v>Polska</c:v>
                </c:pt>
              </c:strCache>
            </c:strRef>
          </c:cat>
          <c:val>
            <c:numRef>
              <c:f>'[LGD Między Dalinem i Gościbią ver.2.xlsx]gospodarka'!$Y$64:$Y$66</c:f>
              <c:numCache>
                <c:formatCode>#,##0</c:formatCode>
                <c:ptCount val="3"/>
                <c:pt idx="0">
                  <c:v>31.513711817163</c:v>
                </c:pt>
                <c:pt idx="1">
                  <c:v>40.8235846278973</c:v>
                </c:pt>
                <c:pt idx="2">
                  <c:v>40.8634614219843</c:v>
                </c:pt>
              </c:numCache>
            </c:numRef>
          </c:val>
        </c:ser>
        <c:dLbls>
          <c:showLegendKey val="0"/>
          <c:showVal val="1"/>
          <c:showCatName val="0"/>
          <c:showSerName val="0"/>
          <c:showPercent val="0"/>
          <c:showBubbleSize val="0"/>
        </c:dLbls>
        <c:gapWidth val="150"/>
        <c:overlap val="-27"/>
        <c:axId val="1671151999"/>
        <c:axId val="1671152831"/>
      </c:barChart>
      <c:catAx>
        <c:axId val="167115199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671152831"/>
        <c:crosses val="autoZero"/>
        <c:auto val="1"/>
        <c:lblAlgn val="ctr"/>
        <c:lblOffset val="100"/>
        <c:noMultiLvlLbl val="0"/>
      </c:catAx>
      <c:valAx>
        <c:axId val="1671152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671151999"/>
        <c:crosses val="autoZero"/>
        <c:crossBetween val="between"/>
      </c:valAx>
      <c:spPr>
        <a:noFill/>
        <a:ln>
          <a:noFill/>
        </a:ln>
        <a:effectLst/>
      </c:spPr>
    </c:plotArea>
    <c:plotVisOnly val="1"/>
    <c:dispBlanksAs val="gap"/>
    <c:showDLblsOverMax val="0"/>
    <c:extLst>
      <c:ext uri="{0b15fc19-7d7d-44ad-8c2d-2c3a37ce22c3}">
        <chartProps xmlns="https://web.wps.cn/et/2018/main" chartId="{8167810d-4daf-4d3b-9583-391197543e76}"/>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 Między Dalinem i Gościbią ver.2.xlsx]bezrobocie'!$B$25</c:f>
              <c:strCache>
                <c:ptCount val="1"/>
                <c:pt idx="0">
                  <c:v>LGD</c:v>
                </c:pt>
              </c:strCache>
            </c:strRef>
          </c:tx>
          <c:spPr>
            <a:solidFill>
              <a:schemeClr val="accent4">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ver.2.xlsx]bezrobocie'!$O$16,'[LGD Między Dalinem i Gościbią ver.2.xlsx]bezrobocie'!$U$16</c:f>
              <c:strCache>
                <c:ptCount val="2"/>
                <c:pt idx="0">
                  <c:v>Udział bezrobotnych kobiet </c:v>
                </c:pt>
                <c:pt idx="1">
                  <c:v>Udział bezrobotnych mężczyzn </c:v>
                </c:pt>
              </c:strCache>
            </c:strRef>
          </c:cat>
          <c:val>
            <c:numRef>
              <c:f>'[LGD Między Dalinem i Gościbią ver.2.xlsx]bezrobocie'!$T$25,'[LGD Między Dalinem i Gościbią ver.2.xlsx]bezrobocie'!$Z$25</c:f>
              <c:numCache>
                <c:formatCode>0.0</c:formatCode>
                <c:ptCount val="2"/>
                <c:pt idx="0">
                  <c:v>50.7218479307026</c:v>
                </c:pt>
                <c:pt idx="1">
                  <c:v>49.2781520692974</c:v>
                </c:pt>
              </c:numCache>
            </c:numRef>
          </c:val>
        </c:ser>
        <c:ser>
          <c:idx val="1"/>
          <c:order val="1"/>
          <c:tx>
            <c:strRef>
              <c:f>'[LGD Między Dalinem i Gościbią ver.2.xlsx]bezrobocie'!$B$26</c:f>
              <c:strCache>
                <c:ptCount val="1"/>
                <c:pt idx="0">
                  <c:v>województwo małopolskie</c:v>
                </c:pt>
              </c:strCache>
            </c:strRef>
          </c:tx>
          <c:spPr>
            <a:solidFill>
              <a:schemeClr val="accent6">
                <a:lumMod val="40000"/>
                <a:lumOff val="60000"/>
              </a:schemeClr>
            </a:solidFill>
            <a:ln>
              <a:noFill/>
            </a:ln>
            <a:effectLst/>
          </c:spPr>
          <c:invertIfNegative val="0"/>
          <c:dPt>
            <c:idx val="0"/>
            <c:invertIfNegative val="0"/>
            <c:bubble3D val="0"/>
            <c:spPr>
              <a:solidFill>
                <a:schemeClr val="accent6">
                  <a:lumMod val="40000"/>
                  <a:lumOff val="60000"/>
                </a:schemeClr>
              </a:solidFill>
              <a:ln>
                <a:noFill/>
              </a:ln>
              <a:effectLst/>
            </c:spPr>
          </c:dPt>
          <c:dPt>
            <c:idx val="1"/>
            <c:invertIfNegative val="0"/>
            <c:bubble3D val="0"/>
            <c:spPr>
              <a:solidFill>
                <a:schemeClr val="accent6">
                  <a:lumMod val="40000"/>
                  <a:lumOff val="60000"/>
                </a:schemeClr>
              </a:solidFill>
              <a:ln>
                <a:noFill/>
              </a:ln>
              <a:effectLst/>
            </c:spPr>
          </c:dPt>
          <c:dLbls>
            <c:numFmt formatCode="#,##0.0" sourceLinked="0"/>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ver.2.xlsx]bezrobocie'!$O$16,'[LGD Między Dalinem i Gościbią ver.2.xlsx]bezrobocie'!$U$16</c:f>
              <c:strCache>
                <c:ptCount val="2"/>
                <c:pt idx="0">
                  <c:v>Udział bezrobotnych kobiet </c:v>
                </c:pt>
                <c:pt idx="1">
                  <c:v>Udział bezrobotnych mężczyzn </c:v>
                </c:pt>
              </c:strCache>
            </c:strRef>
          </c:cat>
          <c:val>
            <c:numRef>
              <c:f>'[LGD Między Dalinem i Gościbią ver.2.xlsx]bezrobocie'!$T$26,'[LGD Między Dalinem i Gościbią ver.2.xlsx]bezrobocie'!$Z$26</c:f>
              <c:numCache>
                <c:formatCode>0.0</c:formatCode>
                <c:ptCount val="2"/>
                <c:pt idx="0">
                  <c:v>54.424715502945</c:v>
                </c:pt>
                <c:pt idx="1">
                  <c:v>45.575284497055</c:v>
                </c:pt>
              </c:numCache>
            </c:numRef>
          </c:val>
        </c:ser>
        <c:ser>
          <c:idx val="3"/>
          <c:order val="3"/>
          <c:tx>
            <c:strRef>
              <c:f>'[LGD Między Dalinem i Gościbią ver.2.xlsx]bezrobocie'!$B$27</c:f>
              <c:strCache>
                <c:ptCount val="1"/>
                <c:pt idx="0">
                  <c:v>Polska</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 Między Dalinem i Gościbią ver.2.xlsx]bezrobocie'!$O$16,'[LGD Między Dalinem i Gościbią ver.2.xlsx]bezrobocie'!$U$16</c:f>
              <c:strCache>
                <c:ptCount val="2"/>
                <c:pt idx="0">
                  <c:v>Udział bezrobotnych kobiet </c:v>
                </c:pt>
                <c:pt idx="1">
                  <c:v>Udział bezrobotnych mężczyzn </c:v>
                </c:pt>
              </c:strCache>
            </c:strRef>
          </c:cat>
          <c:val>
            <c:numRef>
              <c:f>'[LGD Między Dalinem i Gościbią ver.2.xlsx]bezrobocie'!$T$27,'[LGD Między Dalinem i Gościbią ver.2.xlsx]bezrobocie'!$Z$27</c:f>
              <c:numCache>
                <c:formatCode>0.0</c:formatCode>
                <c:ptCount val="2"/>
                <c:pt idx="0">
                  <c:v>53.8352753509539</c:v>
                </c:pt>
                <c:pt idx="1">
                  <c:v>46.1647246490461</c:v>
                </c:pt>
              </c:numCache>
            </c:numRef>
          </c:val>
        </c:ser>
        <c:dLbls>
          <c:showLegendKey val="0"/>
          <c:showVal val="1"/>
          <c:showCatName val="0"/>
          <c:showSerName val="0"/>
          <c:showPercent val="0"/>
          <c:showBubbleSize val="0"/>
        </c:dLbls>
        <c:gapWidth val="150"/>
        <c:overlap val="-27"/>
        <c:axId val="1767796656"/>
        <c:axId val="1767787920"/>
        <c:extLst>
          <c:ext xmlns:c15="http://schemas.microsoft.com/office/drawing/2012/chart" uri="{02D57815-91ED-43cb-92C2-25804820EDAC}">
            <c15:filteredBarSeries>
              <c15:ser>
                <c:idx val="2"/>
                <c:order val="2"/>
                <c:tx>
                  <c:strRef>
                    <c:extLst>
                      <c:ext uri="{02D57815-91ED-43cb-92C2-25804820EDAC}">
                        <c15:formulaRef>
                          <c15:sqref>bezrobocie!#REF!</c15:sqref>
                        </c15:formulaRef>
                      </c:ext>
                    </c:extLst>
                    <c:strCache>
                      <c:ptCount val="1"/>
                      <c:pt idx="0">
                        <c:v>#REF!</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'[LGD Między Dalinem i Gościbią ver.2.xlsx]bezrobocie'!$O$16,'[LGD Między Dalinem i Gościbią ver.2.xlsx]bezrobocie'!$U$16</c15:sqref>
                        </c15:formulaRef>
                      </c:ext>
                    </c:extLst>
                    <c:strCache>
                      <c:ptCount val="2"/>
                      <c:pt idx="0">
                        <c:v>Udział bezrobotnych kobiet </c:v>
                      </c:pt>
                      <c:pt idx="1">
                        <c:v>Udział bezrobotnych mężczyzn </c:v>
                      </c:pt>
                    </c:strCache>
                  </c:strRef>
                </c:cat>
                <c:val>
                  <c:numRef>
                    <c:extLst>
                      <c:ext uri="{02D57815-91ED-43cb-92C2-25804820EDAC}">
                        <c15:formulaRef>
                          <c15:sqref>(bezrobocie!#REF!,bezrobocie!#REF!)</c15:sqref>
                        </c15:formulaRef>
                      </c:ext>
                    </c:extLst>
                    <c:numCache>
                      <c:formatCode>General</c:formatCode>
                      <c:ptCount val="1"/>
                      <c:pt idx="0">
                        <c:v>1</c:v>
                      </c:pt>
                    </c:numCache>
                  </c:numRef>
                </c:val>
              </c15:ser>
            </c15:filteredBarSeries>
          </c:ext>
        </c:extLst>
      </c:barChart>
      <c:catAx>
        <c:axId val="176779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767787920"/>
        <c:crosses val="autoZero"/>
        <c:auto val="1"/>
        <c:lblAlgn val="ctr"/>
        <c:lblOffset val="100"/>
        <c:noMultiLvlLbl val="0"/>
      </c:catAx>
      <c:valAx>
        <c:axId val="1767787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crossAx val="1767796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l-PL" sz="9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c708cd24-2635-4b5c-869a-ef7fce6751d7}"/>
      </c:ext>
    </c:extLst>
  </c:chart>
  <c:spPr>
    <a:solidFill>
      <a:schemeClr val="bg1"/>
    </a:solidFill>
    <a:ln w="9525" cap="flat" cmpd="sng" algn="ctr">
      <a:noFill/>
      <a:round/>
    </a:ln>
    <a:effectLst/>
  </c:spPr>
  <c:txPr>
    <a:bodyPr/>
    <a:lstStyle/>
    <a:p>
      <a:pPr>
        <a:defRPr lang="pl-PL">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2">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B5B1E5-87B9-4548-98CF-E550FD3BC2F9}">
  <ds:schemaRefs/>
</ds:datastoreItem>
</file>

<file path=docProps/app.xml><?xml version="1.0" encoding="utf-8"?>
<Properties xmlns="http://schemas.openxmlformats.org/officeDocument/2006/extended-properties" xmlns:vt="http://schemas.openxmlformats.org/officeDocument/2006/docPropsVTypes">
  <Template>Normal</Template>
  <Pages>91</Pages>
  <Words>42488</Words>
  <Characters>254934</Characters>
  <Lines>2124</Lines>
  <Paragraphs>593</Paragraphs>
  <TotalTime>1</TotalTime>
  <ScaleCrop>false</ScaleCrop>
  <LinksUpToDate>false</LinksUpToDate>
  <CharactersWithSpaces>296829</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2023-06-07T07:29:00Z</dcterms:created>
  <dc:creator>Klaudia Guzy</dc:creator>
  <cp:lastModifiedBy>ADMIN</cp:lastModifiedBy>
  <cp:lastPrinted>2023-06-06T12:21:00Z</cp:lastPrinted>
  <dcterms:modified xsi:type="dcterms:W3CDTF">2024-12-30T12:58:22Z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1045-12.2.0.19307</vt:lpwstr>
  </property>
  <property fmtid="{D5CDD505-2E9C-101B-9397-08002B2CF9AE}" pid="3" name="ICV">
    <vt:lpwstr>9AA4301589A149E4ACF52820C2214ED7_13</vt:lpwstr>
  </property>
</Properties>
</file>